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2FA7D19D" w:rsidR="008C39DC" w:rsidRDefault="005B068E" w:rsidP="008C39DC">
      <w:pPr>
        <w:pStyle w:val="Subtitle"/>
      </w:pPr>
      <w:r>
        <w:t xml:space="preserve">Glossary of </w:t>
      </w:r>
      <w:r w:rsidR="00E049A6">
        <w:t xml:space="preserve">ICT Specific </w:t>
      </w:r>
      <w:r>
        <w:t xml:space="preserve">Terms: </w:t>
      </w:r>
      <w:r>
        <w:br/>
        <w:t>Change &amp; Transition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28DA9894" w14:textId="00FD0C5A" w:rsidR="00201617" w:rsidRPr="00F929E7" w:rsidRDefault="00201617" w:rsidP="00201617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1C3F3A" w14:textId="63C2741C" w:rsidR="00201617" w:rsidRPr="00921365" w:rsidRDefault="00201617" w:rsidP="00201617">
      <w:pPr>
        <w:pStyle w:val="BodyText"/>
      </w:pPr>
      <w:r>
        <w:t xml:space="preserve"> 0.3</w:t>
      </w:r>
    </w:p>
    <w:p w14:paraId="2865A61B" w14:textId="77777777" w:rsidR="0031685A" w:rsidRDefault="0031685A" w:rsidP="0031685A">
      <w:pPr>
        <w:pStyle w:val="Heading2"/>
      </w:pPr>
      <w:bookmarkStart w:id="0" w:name="_Toc146637998"/>
      <w:bookmarkStart w:id="1" w:name="_Toc150844189"/>
      <w:bookmarkStart w:id="2" w:name="_Hlk150784954"/>
      <w:r>
        <w:t>Description</w:t>
      </w:r>
      <w:bookmarkEnd w:id="0"/>
      <w:bookmarkEnd w:id="1"/>
    </w:p>
    <w:p w14:paraId="5EA21D78" w14:textId="71191CD7" w:rsidR="0031685A" w:rsidRDefault="0031685A" w:rsidP="0031685A">
      <w:pPr>
        <w:pStyle w:val="BodyText"/>
      </w:pPr>
      <w:r>
        <w:t>A Glossary of common ICT Terms related to Change &amp; Transition Management, to establish a common understanding, while reducing duplication of effort in downstream documents.</w:t>
      </w:r>
    </w:p>
    <w:p w14:paraId="0C515F43" w14:textId="77777777" w:rsidR="0031685A" w:rsidRDefault="0031685A" w:rsidP="0031685A">
      <w:pPr>
        <w:pStyle w:val="Heading2"/>
      </w:pPr>
      <w:bookmarkStart w:id="3" w:name="_Toc150844190"/>
      <w:r>
        <w:t>Synopsis</w:t>
      </w:r>
      <w:bookmarkEnd w:id="3"/>
    </w:p>
    <w:p w14:paraId="28C03893" w14:textId="2505CEAC" w:rsidR="0031685A" w:rsidRDefault="0031685A" w:rsidP="0031685A">
      <w:pPr>
        <w:pStyle w:val="BodyText"/>
      </w:pPr>
      <w:r>
        <w:t>Included are the meanings of acronyms and industry terms used to manage change and transition.</w:t>
      </w:r>
    </w:p>
    <w:bookmarkEnd w:id="2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50844191"/>
      <w:r>
        <w:lastRenderedPageBreak/>
        <w:t>Contents</w:t>
      </w:r>
      <w:bookmarkEnd w:id="4"/>
      <w:bookmarkEnd w:id="5"/>
    </w:p>
    <w:p w14:paraId="5792C666" w14:textId="0C0B15C0" w:rsidR="00202A2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189" w:history="1">
        <w:r w:rsidR="00202A2B" w:rsidRPr="008A5E41">
          <w:rPr>
            <w:rStyle w:val="Hyperlink"/>
            <w:noProof/>
          </w:rPr>
          <w:t>Description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_Toc150844189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1</w:t>
        </w:r>
        <w:r w:rsidR="00202A2B">
          <w:rPr>
            <w:noProof/>
            <w:webHidden/>
          </w:rPr>
          <w:fldChar w:fldCharType="end"/>
        </w:r>
      </w:hyperlink>
    </w:p>
    <w:p w14:paraId="34D22653" w14:textId="0FAAD94F" w:rsidR="00202A2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0" w:history="1">
        <w:r w:rsidR="00202A2B" w:rsidRPr="008A5E41">
          <w:rPr>
            <w:rStyle w:val="Hyperlink"/>
            <w:noProof/>
          </w:rPr>
          <w:t>Synopsis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_Toc150844190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1</w:t>
        </w:r>
        <w:r w:rsidR="00202A2B">
          <w:rPr>
            <w:noProof/>
            <w:webHidden/>
          </w:rPr>
          <w:fldChar w:fldCharType="end"/>
        </w:r>
      </w:hyperlink>
    </w:p>
    <w:p w14:paraId="7D150DDF" w14:textId="6CDCA566" w:rsidR="00202A2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1" w:history="1">
        <w:r w:rsidR="00202A2B" w:rsidRPr="008A5E41">
          <w:rPr>
            <w:rStyle w:val="Hyperlink"/>
            <w:noProof/>
          </w:rPr>
          <w:t>Contents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_Toc150844191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2</w:t>
        </w:r>
        <w:r w:rsidR="00202A2B">
          <w:rPr>
            <w:noProof/>
            <w:webHidden/>
          </w:rPr>
          <w:fldChar w:fldCharType="end"/>
        </w:r>
      </w:hyperlink>
    </w:p>
    <w:p w14:paraId="2BC22E68" w14:textId="78205B55" w:rsidR="00202A2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2" w:history="1">
        <w:r w:rsidR="00202A2B" w:rsidRPr="008A5E41">
          <w:rPr>
            <w:rStyle w:val="Hyperlink"/>
            <w:noProof/>
          </w:rPr>
          <w:t>Introduction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_Toc150844192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3</w:t>
        </w:r>
        <w:r w:rsidR="00202A2B">
          <w:rPr>
            <w:noProof/>
            <w:webHidden/>
          </w:rPr>
          <w:fldChar w:fldCharType="end"/>
        </w:r>
      </w:hyperlink>
    </w:p>
    <w:p w14:paraId="537B1223" w14:textId="016CF71A" w:rsidR="00202A2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3" w:history="1">
        <w:r w:rsidR="00202A2B" w:rsidRPr="008A5E41">
          <w:rPr>
            <w:rStyle w:val="Hyperlink"/>
            <w:noProof/>
          </w:rPr>
          <w:t>Objective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_Toc150844193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3</w:t>
        </w:r>
        <w:r w:rsidR="00202A2B">
          <w:rPr>
            <w:noProof/>
            <w:webHidden/>
          </w:rPr>
          <w:fldChar w:fldCharType="end"/>
        </w:r>
      </w:hyperlink>
    </w:p>
    <w:p w14:paraId="3373B80F" w14:textId="5D9633FA" w:rsidR="00202A2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4" w:history="1">
        <w:r w:rsidR="00202A2B" w:rsidRPr="008A5E41">
          <w:rPr>
            <w:rStyle w:val="Hyperlink"/>
            <w:noProof/>
          </w:rPr>
          <w:t>Terms &amp; Acronyms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_Toc150844194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7968EE23" w14:textId="22C476F4" w:rsidR="00202A2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5" w:history="1">
        <w:r w:rsidR="00202A2B" w:rsidRPr="008A5E41">
          <w:rPr>
            <w:rStyle w:val="Hyperlink"/>
            <w:noProof/>
          </w:rPr>
          <w:t>Service Change Communications &amp; Management Terms &amp; Acronyms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_Toc150844195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4984BAFC" w14:textId="15FEE645" w:rsidR="00202A2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6" w:history="1">
        <w:r w:rsidR="00202A2B" w:rsidRPr="008A5E41">
          <w:rPr>
            <w:rStyle w:val="Hyperlink"/>
            <w:noProof/>
          </w:rPr>
          <w:t>CAB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_Toc150844196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04064292" w14:textId="75B95519" w:rsidR="00202A2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7" w:history="1">
        <w:r w:rsidR="00202A2B" w:rsidRPr="008A5E41">
          <w:rPr>
            <w:rStyle w:val="Hyperlink"/>
            <w:noProof/>
          </w:rPr>
          <w:t>Change Advisory Board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_Toc150844197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7F349987" w14:textId="12673460" w:rsidR="00202A2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8" w:history="1">
        <w:r w:rsidR="00202A2B" w:rsidRPr="008A5E41">
          <w:rPr>
            <w:rStyle w:val="Hyperlink"/>
            <w:noProof/>
          </w:rPr>
          <w:t>Corporate Website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_Toc150844198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1FF2BC9E" w14:textId="23F3A915" w:rsidR="00202A2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9" w:history="1">
        <w:r w:rsidR="00202A2B" w:rsidRPr="008A5E41">
          <w:rPr>
            <w:rStyle w:val="Hyperlink"/>
            <w:noProof/>
          </w:rPr>
          <w:t>Enterprise Website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_Toc150844199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3E3AB484" w14:textId="6E4B7B92" w:rsidR="00202A2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0" w:history="1">
        <w:r w:rsidR="00202A2B" w:rsidRPr="008A5E41">
          <w:rPr>
            <w:rStyle w:val="Hyperlink"/>
            <w:noProof/>
          </w:rPr>
          <w:t>Service Request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_Toc150844200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6D2C11DA" w14:textId="3DFEEEC5" w:rsidR="00202A2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1" w:history="1">
        <w:r w:rsidR="00202A2B" w:rsidRPr="008A5E41">
          <w:rPr>
            <w:rStyle w:val="Hyperlink"/>
            <w:noProof/>
          </w:rPr>
          <w:t>Appendices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_Toc150844201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EB5D999" w14:textId="29896F5D" w:rsidR="00202A2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2" w:history="1">
        <w:r w:rsidR="00202A2B" w:rsidRPr="008A5E41">
          <w:rPr>
            <w:rStyle w:val="Hyperlink"/>
            <w:noProof/>
          </w:rPr>
          <w:t>Appendix A - Document Information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_Toc150844202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316990BC" w14:textId="564D7B88" w:rsidR="00202A2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3" w:history="1">
        <w:r w:rsidR="00202A2B" w:rsidRPr="008A5E41">
          <w:rPr>
            <w:rStyle w:val="Hyperlink"/>
            <w:noProof/>
          </w:rPr>
          <w:t>Versions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_Toc150844203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39E24115" w14:textId="38FAA7AE" w:rsidR="00202A2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4" w:history="1">
        <w:r w:rsidR="00202A2B" w:rsidRPr="008A5E41">
          <w:rPr>
            <w:rStyle w:val="Hyperlink"/>
            <w:noProof/>
          </w:rPr>
          <w:t>Images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_Toc150844204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37E792BA" w14:textId="00B1EFA3" w:rsidR="00202A2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5" w:history="1">
        <w:r w:rsidR="00202A2B" w:rsidRPr="008A5E41">
          <w:rPr>
            <w:rStyle w:val="Hyperlink"/>
            <w:noProof/>
          </w:rPr>
          <w:t>Tables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_Toc150844205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9F4CA14" w14:textId="6B7DB86A" w:rsidR="00202A2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6" w:history="1">
        <w:r w:rsidR="00202A2B" w:rsidRPr="008A5E41">
          <w:rPr>
            <w:rStyle w:val="Hyperlink"/>
            <w:noProof/>
          </w:rPr>
          <w:t>References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_Toc150844206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EF9394E" w14:textId="51407DF9" w:rsidR="00202A2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7" w:history="1">
        <w:r w:rsidR="00202A2B" w:rsidRPr="008A5E41">
          <w:rPr>
            <w:rStyle w:val="Hyperlink"/>
            <w:noProof/>
          </w:rPr>
          <w:t>Review Distribution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_Toc150844207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A184F95" w14:textId="021CDD85" w:rsidR="00202A2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8" w:history="1">
        <w:r w:rsidR="00202A2B" w:rsidRPr="008A5E41">
          <w:rPr>
            <w:rStyle w:val="Hyperlink"/>
            <w:noProof/>
          </w:rPr>
          <w:t>Audience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_Toc150844208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21B1F6B3" w14:textId="1C30850E" w:rsidR="00202A2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9" w:history="1">
        <w:r w:rsidR="00202A2B" w:rsidRPr="008A5E41">
          <w:rPr>
            <w:rStyle w:val="Hyperlink"/>
            <w:noProof/>
          </w:rPr>
          <w:t>Diagrams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_Toc150844209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56715546" w14:textId="4351F64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50844192"/>
      <w:r w:rsidRPr="00F929E7">
        <w:lastRenderedPageBreak/>
        <w:t>Introduction</w:t>
      </w:r>
      <w:bookmarkEnd w:id="6"/>
      <w:bookmarkEnd w:id="7"/>
    </w:p>
    <w:p w14:paraId="444D14EE" w14:textId="77777777" w:rsidR="00E049A6" w:rsidRDefault="00E049A6" w:rsidP="00E049A6">
      <w:pPr>
        <w:pStyle w:val="Heading2"/>
      </w:pPr>
      <w:bookmarkStart w:id="8" w:name="_Toc150844193"/>
      <w:r>
        <w:t>Objective</w:t>
      </w:r>
      <w:bookmarkEnd w:id="8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4194"/>
      <w:r w:rsidRPr="00CC5E39">
        <w:lastRenderedPageBreak/>
        <w:t>Terms &amp; Acronyms</w:t>
      </w:r>
      <w:bookmarkEnd w:id="9"/>
    </w:p>
    <w:p w14:paraId="2BDEC119" w14:textId="77777777" w:rsidR="00CC5E39" w:rsidRPr="00CC5E39" w:rsidRDefault="00CC5E39" w:rsidP="003B3AE1">
      <w:pPr>
        <w:pStyle w:val="Heading2"/>
      </w:pPr>
      <w:bookmarkStart w:id="10" w:name="_Toc150844195"/>
      <w:r w:rsidRPr="00CC5E39">
        <w:t>Service Change Communications &amp; Management Terms &amp; Acronyms</w:t>
      </w:r>
      <w:bookmarkEnd w:id="10"/>
    </w:p>
    <w:p w14:paraId="1BA2A85D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196"/>
      <w:r w:rsidRPr="00CC5E39">
        <w:t>CAB</w:t>
      </w:r>
      <w:bookmarkEnd w:id="11"/>
    </w:p>
    <w:p w14:paraId="4A21A7D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see </w:t>
      </w:r>
      <w:r w:rsidRPr="00CC5E39">
        <w:rPr>
          <w:i/>
          <w:iCs/>
        </w:rPr>
        <w:t>Change Advisory Board.</w:t>
      </w:r>
    </w:p>
    <w:p w14:paraId="082FC0F7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197"/>
      <w:r w:rsidRPr="00CC5E39">
        <w:t>Change Advisory Board</w:t>
      </w:r>
      <w:bookmarkEnd w:id="12"/>
    </w:p>
    <w:p w14:paraId="2B0A7483" w14:textId="77777777" w:rsidR="00CC5E39" w:rsidRPr="00CC5E39" w:rsidRDefault="00CC5E39" w:rsidP="00CC5E39">
      <w:pPr>
        <w:pStyle w:val="BodyText"/>
      </w:pPr>
      <w:r w:rsidRPr="00CC5E39">
        <w:t xml:space="preserve"> : a governance board to ensure that before a solution can go live all stakeholders are satisfied with the state of deliverables required to support, </w:t>
      </w:r>
      <w:proofErr w:type="gramStart"/>
      <w:r w:rsidRPr="00CC5E39">
        <w:t>operate</w:t>
      </w:r>
      <w:proofErr w:type="gramEnd"/>
      <w:r w:rsidRPr="00CC5E39">
        <w:t xml:space="preserve"> and maintain the service over its service lifespan. </w:t>
      </w:r>
    </w:p>
    <w:p w14:paraId="4B248295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4198"/>
      <w:r w:rsidRPr="00CC5E39">
        <w:t>Corporate Website</w:t>
      </w:r>
      <w:bookmarkEnd w:id="13"/>
    </w:p>
    <w:p w14:paraId="52B2626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Enterprise website</w:t>
      </w:r>
      <w:r w:rsidRPr="00CC5E39">
        <w:t>.</w:t>
      </w:r>
    </w:p>
    <w:p w14:paraId="2076B057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199"/>
      <w:r w:rsidRPr="00CC5E39">
        <w:t>Enterprise Website</w:t>
      </w:r>
      <w:bookmarkEnd w:id="14"/>
    </w:p>
    <w:p w14:paraId="0457AAB0" w14:textId="261F1729" w:rsidR="00CC5E39" w:rsidRPr="00CC5E39" w:rsidRDefault="00CC5E39" w:rsidP="00CC5E39">
      <w:pPr>
        <w:pStyle w:val="BodyText"/>
      </w:pPr>
      <w:r w:rsidRPr="00CC5E39">
        <w:t xml:space="preserve"> : </w:t>
      </w:r>
      <w:r w:rsidR="00202A2B">
        <w:t xml:space="preserve">the </w:t>
      </w:r>
      <w:r w:rsidRPr="00CC5E39">
        <w:t xml:space="preserve">enterprise’s website, on which information about the new service is made available and the service is made discoverable by linking to the service. </w:t>
      </w:r>
    </w:p>
    <w:p w14:paraId="323BD471" w14:textId="2B41C22D" w:rsid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 xml:space="preserve">Note: Information about the Service commonly will include Purpose, Objectives, Background, Terms &amp; Conditions, Use Cases, Usage Examples, Scope, Scheduling, Applicability (e.g.: phased roll outs), a FAQ, direct Contact information to a Business Support Specialist group, or General Support that can direct inquiries to them. </w:t>
      </w:r>
    </w:p>
    <w:p w14:paraId="208BA618" w14:textId="77777777" w:rsidR="006F65BC" w:rsidRPr="006F65BC" w:rsidRDefault="006F65BC" w:rsidP="006F65BC">
      <w:pPr>
        <w:pStyle w:val="Heading4"/>
        <w:rPr>
          <w:vanish/>
          <w:specVanish/>
        </w:rPr>
      </w:pPr>
      <w:r w:rsidRPr="006F65BC">
        <w:t>Offboarding</w:t>
      </w:r>
    </w:p>
    <w:p w14:paraId="286FA656" w14:textId="4CC310B0" w:rsidR="006F65BC" w:rsidRPr="006F65BC" w:rsidRDefault="006F65BC" w:rsidP="006F65BC">
      <w:r>
        <w:t xml:space="preserve"> </w:t>
      </w:r>
      <w:r w:rsidRPr="006F65BC">
        <w:t xml:space="preserve">: </w:t>
      </w:r>
      <w:r>
        <w:t>a</w:t>
      </w:r>
      <w:r w:rsidRPr="006F65BC">
        <w:t xml:space="preserve"> process which completes the life cycle of permanent or non-permanent staff and disables agreements and permission access to Organisation systems and </w:t>
      </w:r>
      <w:proofErr w:type="gramStart"/>
      <w:r w:rsidRPr="006F65BC">
        <w:t>processes</w:t>
      </w:r>
      <w:proofErr w:type="gramEnd"/>
    </w:p>
    <w:p w14:paraId="22AAB2CD" w14:textId="77777777" w:rsidR="006F65BC" w:rsidRPr="006F65BC" w:rsidRDefault="006F65BC" w:rsidP="006F65BC">
      <w:pPr>
        <w:pStyle w:val="Heading4"/>
        <w:rPr>
          <w:vanish/>
          <w:specVanish/>
        </w:rPr>
      </w:pPr>
      <w:proofErr w:type="spellStart"/>
      <w:r w:rsidRPr="006F65BC">
        <w:t>OnBoarding</w:t>
      </w:r>
      <w:proofErr w:type="spellEnd"/>
    </w:p>
    <w:p w14:paraId="14C2FD6F" w14:textId="726418E9" w:rsidR="006F65BC" w:rsidRPr="006F65BC" w:rsidRDefault="006F65BC" w:rsidP="006F65BC">
      <w:r>
        <w:t xml:space="preserve"> </w:t>
      </w:r>
      <w:r w:rsidRPr="006F65BC">
        <w:t xml:space="preserve">: </w:t>
      </w:r>
      <w:r>
        <w:t>a</w:t>
      </w:r>
      <w:r w:rsidRPr="006F65BC">
        <w:t xml:space="preserve"> process to register permanent and non-permanent staff detailing reasons for procurement and permissions for access to Organisation systems and </w:t>
      </w:r>
      <w:proofErr w:type="gramStart"/>
      <w:r w:rsidRPr="006F65BC">
        <w:t>processes</w:t>
      </w:r>
      <w:proofErr w:type="gramEnd"/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200"/>
      <w:r w:rsidRPr="00CC5E39">
        <w:t>Service Request</w:t>
      </w:r>
      <w:bookmarkEnd w:id="15"/>
    </w:p>
    <w:p w14:paraId="54C73907" w14:textId="743DB512" w:rsidR="00CC5E39" w:rsidRPr="00CC5E39" w:rsidRDefault="00CC5E39" w:rsidP="00CC5E39">
      <w:pPr>
        <w:pStyle w:val="BodyText"/>
      </w:pPr>
      <w:r w:rsidRPr="00CC5E39">
        <w:t xml:space="preserve"> </w:t>
      </w:r>
      <w:r w:rsidR="00202A2B">
        <w:t>: a</w:t>
      </w:r>
      <w:r w:rsidRPr="00CC5E39">
        <w:t xml:space="preserve">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6" w:name="_Toc145049430"/>
      <w:bookmarkStart w:id="17" w:name="_Toc150844201"/>
      <w:r>
        <w:lastRenderedPageBreak/>
        <w:t>Appendices</w:t>
      </w:r>
      <w:bookmarkEnd w:id="16"/>
      <w:bookmarkEnd w:id="17"/>
    </w:p>
    <w:p w14:paraId="2F89881E" w14:textId="74A8DB32" w:rsidR="000D0A25" w:rsidRPr="005C7C13" w:rsidRDefault="005255FC" w:rsidP="005C7C13">
      <w:pPr>
        <w:pStyle w:val="Appendix"/>
      </w:pPr>
      <w:bookmarkStart w:id="18" w:name="_Toc145049431"/>
      <w:bookmarkStart w:id="19" w:name="_Toc15084420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8"/>
      <w:bookmarkEnd w:id="19"/>
    </w:p>
    <w:p w14:paraId="5BADA8B5" w14:textId="302E057E" w:rsidR="00201617" w:rsidRDefault="00201617" w:rsidP="005255FC">
      <w:pPr>
        <w:pStyle w:val="Heading3"/>
      </w:pPr>
      <w:bookmarkStart w:id="20" w:name="_Toc150844203"/>
      <w:r>
        <w:t>Versions</w:t>
      </w:r>
      <w:bookmarkEnd w:id="20"/>
    </w:p>
    <w:p w14:paraId="70956F2A" w14:textId="1EA4F4D7" w:rsidR="00201617" w:rsidRDefault="00201617" w:rsidP="00201617">
      <w:pPr>
        <w:pStyle w:val="BodyText"/>
        <w:numPr>
          <w:ilvl w:val="1"/>
          <w:numId w:val="48"/>
        </w:numPr>
      </w:pPr>
      <w:r>
        <w:t>Initial Draft</w:t>
      </w:r>
    </w:p>
    <w:p w14:paraId="6E391343" w14:textId="55211786" w:rsid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719057C1" w14:textId="5E82F712" w:rsidR="00201617" w:rsidRP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14FA26C2" w:rsidR="008C39DC" w:rsidRDefault="008C39DC" w:rsidP="005255FC">
      <w:pPr>
        <w:pStyle w:val="Heading3"/>
      </w:pPr>
      <w:bookmarkStart w:id="21" w:name="_Toc150844204"/>
      <w:r>
        <w:t>Images</w:t>
      </w:r>
      <w:bookmarkEnd w:id="21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2" w:name="_Toc150844205"/>
      <w:r w:rsidRPr="001E2299">
        <w:t>Tables</w:t>
      </w:r>
      <w:bookmarkEnd w:id="22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3" w:name="_Toc150844206"/>
      <w:r>
        <w:t>References</w:t>
      </w:r>
      <w:bookmarkEnd w:id="2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4" w:name="_Toc150844207"/>
      <w:r>
        <w:t>Review Distribution</w:t>
      </w:r>
      <w:bookmarkEnd w:id="2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C424B3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01617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6" w:name="_Toc150844208"/>
      <w:bookmarkEnd w:id="25"/>
      <w:r>
        <w:t>Audience</w:t>
      </w:r>
      <w:bookmarkEnd w:id="2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7" w:name="_Toc150844209"/>
      <w:r>
        <w:t>Diagrams</w:t>
      </w:r>
      <w:bookmarkEnd w:id="27"/>
    </w:p>
    <w:p w14:paraId="65008B06" w14:textId="18D99918" w:rsidR="00660C49" w:rsidRDefault="00660C49" w:rsidP="008C39DC">
      <w:pPr>
        <w:pStyle w:val="BodyText"/>
      </w:pPr>
      <w:bookmarkStart w:id="28" w:name="_Hlk145229490"/>
      <w:r>
        <w:t>Diagrams are developed for a wide audience. Unless specifically for a technical audience, where the use of industry standard diagram types (</w:t>
      </w:r>
      <w:r w:rsidR="0031685A">
        <w:t>ArchiMate</w:t>
      </w:r>
      <w:r>
        <w:t>, UML, C4), is appropriate, diagrams are developed as simple “box &amp; line” monochrome diagrams.</w:t>
      </w:r>
    </w:p>
    <w:bookmarkEnd w:id="2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E070" w14:textId="77777777" w:rsidR="006D2A31" w:rsidRDefault="006D2A31" w:rsidP="0021141C">
      <w:pPr>
        <w:spacing w:before="0" w:after="0" w:line="240" w:lineRule="auto"/>
      </w:pPr>
      <w:r>
        <w:separator/>
      </w:r>
    </w:p>
    <w:p w14:paraId="43C1E0F5" w14:textId="77777777" w:rsidR="006D2A31" w:rsidRDefault="006D2A31"/>
  </w:endnote>
  <w:endnote w:type="continuationSeparator" w:id="0">
    <w:p w14:paraId="4F85E4DA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5EA96579" w14:textId="77777777" w:rsidR="006D2A31" w:rsidRDefault="006D2A31"/>
  </w:endnote>
  <w:endnote w:type="continuationNotice" w:id="1">
    <w:p w14:paraId="4BE6C3CA" w14:textId="77777777" w:rsidR="006D2A31" w:rsidRDefault="006D2A31">
      <w:pPr>
        <w:spacing w:before="0" w:after="0" w:line="240" w:lineRule="auto"/>
      </w:pPr>
    </w:p>
    <w:p w14:paraId="6EF2026F" w14:textId="77777777" w:rsidR="006D2A31" w:rsidRDefault="006D2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DFE3" w14:textId="77777777" w:rsidR="006D2A31" w:rsidRDefault="006D2A31" w:rsidP="0021141C">
      <w:pPr>
        <w:spacing w:before="0" w:after="0" w:line="240" w:lineRule="auto"/>
      </w:pPr>
      <w:r>
        <w:separator/>
      </w:r>
    </w:p>
    <w:p w14:paraId="21F9F78F" w14:textId="77777777" w:rsidR="006D2A31" w:rsidRDefault="006D2A31"/>
  </w:footnote>
  <w:footnote w:type="continuationSeparator" w:id="0">
    <w:p w14:paraId="0D3FE2A5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66E69E58" w14:textId="77777777" w:rsidR="006D2A31" w:rsidRDefault="006D2A31"/>
  </w:footnote>
  <w:footnote w:type="continuationNotice" w:id="1">
    <w:p w14:paraId="42CE716E" w14:textId="77777777" w:rsidR="006D2A31" w:rsidRDefault="006D2A31">
      <w:pPr>
        <w:spacing w:before="0" w:after="0" w:line="240" w:lineRule="auto"/>
      </w:pPr>
    </w:p>
    <w:p w14:paraId="04E256BE" w14:textId="77777777" w:rsidR="006D2A31" w:rsidRDefault="006D2A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00D6BBB"/>
    <w:multiLevelType w:val="multilevel"/>
    <w:tmpl w:val="74E0486A"/>
    <w:styleLink w:val="Bullets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9655C3"/>
    <w:multiLevelType w:val="multilevel"/>
    <w:tmpl w:val="B69CF1C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5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4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2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8"/>
  </w:num>
  <w:num w:numId="36" w16cid:durableId="525679129">
    <w:abstractNumId w:val="7"/>
  </w:num>
  <w:num w:numId="37" w16cid:durableId="366027252">
    <w:abstractNumId w:val="17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1"/>
  </w:num>
  <w:num w:numId="42" w16cid:durableId="1233586731">
    <w:abstractNumId w:val="16"/>
  </w:num>
  <w:num w:numId="43" w16cid:durableId="1024092651">
    <w:abstractNumId w:val="4"/>
  </w:num>
  <w:num w:numId="44" w16cid:durableId="697050055">
    <w:abstractNumId w:val="15"/>
  </w:num>
  <w:num w:numId="45" w16cid:durableId="1367364121">
    <w:abstractNumId w:val="19"/>
  </w:num>
  <w:num w:numId="46" w16cid:durableId="1244954324">
    <w:abstractNumId w:val="20"/>
  </w:num>
  <w:num w:numId="47" w16cid:durableId="1583369947">
    <w:abstractNumId w:val="6"/>
  </w:num>
  <w:num w:numId="48" w16cid:durableId="1633170472">
    <w:abstractNumId w:val="13"/>
  </w:num>
  <w:num w:numId="49" w16cid:durableId="1834760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1617"/>
    <w:rsid w:val="00202A2B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1685A"/>
    <w:rsid w:val="00331BC9"/>
    <w:rsid w:val="0035236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76402"/>
    <w:rsid w:val="00486B4D"/>
    <w:rsid w:val="0050196C"/>
    <w:rsid w:val="005255FC"/>
    <w:rsid w:val="005604D5"/>
    <w:rsid w:val="00563AF9"/>
    <w:rsid w:val="00594C1D"/>
    <w:rsid w:val="005B068E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2A31"/>
    <w:rsid w:val="006D5B4C"/>
    <w:rsid w:val="006E0BDE"/>
    <w:rsid w:val="006F65BC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0AAF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4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7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14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numbering" w:customStyle="1" w:styleId="Bullets">
    <w:name w:val="Bullets"/>
    <w:basedOn w:val="NoList"/>
    <w:uiPriority w:val="99"/>
    <w:rsid w:val="006F65BC"/>
    <w:pPr>
      <w:numPr>
        <w:numId w:val="49"/>
      </w:numPr>
    </w:pPr>
  </w:style>
  <w:style w:type="paragraph" w:styleId="ListBullet3">
    <w:name w:val="List Bullet 3"/>
    <w:basedOn w:val="ListBullet2"/>
    <w:uiPriority w:val="14"/>
    <w:rsid w:val="006F65BC"/>
    <w:pPr>
      <w:numPr>
        <w:ilvl w:val="0"/>
        <w:numId w:val="0"/>
      </w:numPr>
      <w:tabs>
        <w:tab w:val="left" w:pos="1276"/>
      </w:tabs>
      <w:spacing w:before="120" w:after="120" w:line="240" w:lineRule="auto"/>
      <w:ind w:left="1020" w:hanging="340"/>
    </w:pPr>
    <w:rPr>
      <w:rFonts w:eastAsia="Times New Roman"/>
      <w:sz w:val="20"/>
      <w:lang w:eastAsia="en-GB"/>
    </w:rPr>
  </w:style>
  <w:style w:type="paragraph" w:styleId="ListBullet4">
    <w:name w:val="List Bullet 4"/>
    <w:basedOn w:val="ListBullet3"/>
    <w:uiPriority w:val="14"/>
    <w:unhideWhenUsed/>
    <w:rsid w:val="006F65BC"/>
    <w:pPr>
      <w:ind w:left="1361" w:hanging="341"/>
      <w:contextualSpacing/>
    </w:pPr>
  </w:style>
  <w:style w:type="paragraph" w:styleId="ListBullet5">
    <w:name w:val="List Bullet 5"/>
    <w:basedOn w:val="ListBullet4"/>
    <w:uiPriority w:val="7"/>
    <w:unhideWhenUsed/>
    <w:rsid w:val="006F65BC"/>
    <w:pPr>
      <w:ind w:left="170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2023-12-10T19:15:00Z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