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5FA5F82F" w:rsidR="00D72CC2" w:rsidRDefault="00D72CC2" w:rsidP="00D72CC2">
      <w:pPr>
        <w:pStyle w:val="Title"/>
      </w:pPr>
      <w:r>
        <w:t>I</w:t>
      </w:r>
      <w:r w:rsidR="00EF6743">
        <w:t>C</w:t>
      </w:r>
      <w:r>
        <w:t xml:space="preserve">T Project </w:t>
      </w:r>
      <w:r w:rsidR="00EF6743">
        <w:t>Guidance</w:t>
      </w:r>
      <w:r>
        <w:t xml:space="preserve"> </w:t>
      </w:r>
    </w:p>
    <w:p w14:paraId="661B92D6" w14:textId="2DDE4BDE" w:rsidR="00D72CC2" w:rsidRDefault="00EF6743" w:rsidP="00D72CC2">
      <w:pPr>
        <w:pStyle w:val="Subtitle"/>
      </w:pPr>
      <w:r>
        <w:t xml:space="preserve">System, Data, and User Experience </w:t>
      </w:r>
      <w:r w:rsidR="004D21EE">
        <w:br/>
        <w:t xml:space="preserve">Target </w:t>
      </w:r>
      <w:r>
        <w:t>Qualities</w:t>
      </w:r>
    </w:p>
    <w:p w14:paraId="4500A868" w14:textId="2496E000" w:rsidR="004D21EE" w:rsidRPr="004D21EE" w:rsidRDefault="7C66ECE0" w:rsidP="00530C0C">
      <w:pPr>
        <w:pStyle w:val="NotContents-Heading2"/>
        <w:rPr>
          <w:rFonts w:eastAsia="Calibri" w:cs="Calibri"/>
          <w:vanish/>
          <w:color w:val="000000" w:themeColor="text1"/>
          <w:specVanish/>
        </w:rPr>
      </w:pPr>
      <w:r w:rsidRPr="7C66ECE0">
        <w:t>Author</w:t>
      </w:r>
      <w:r w:rsidRPr="7C66ECE0">
        <w:rPr>
          <w:rFonts w:eastAsia="Calibri" w:cs="Calibri"/>
          <w:color w:val="000000" w:themeColor="text1"/>
        </w:rPr>
        <w:t xml:space="preserve"> </w:t>
      </w:r>
    </w:p>
    <w:p w14:paraId="406B4A74" w14:textId="027EECFD" w:rsidR="00530C0C" w:rsidRPr="00530C0C" w:rsidRDefault="004D21EE" w:rsidP="004D21EE">
      <w:pPr>
        <w:pStyle w:val="BodyText"/>
        <w:rPr>
          <w:rFonts w:cs="Times New Roman"/>
          <w:color w:val="365F91" w:themeColor="accent1" w:themeShade="BF"/>
        </w:rPr>
      </w:pPr>
      <w:r>
        <w:t xml:space="preserve">: </w:t>
      </w:r>
      <w:r w:rsidR="00D030D0">
        <w:t xml:space="preserve">Sky Sigal, Solution Architect, TPHM | Infrastructure &amp; Digital </w:t>
      </w:r>
    </w:p>
    <w:p w14:paraId="0240807E" w14:textId="5A564B4C" w:rsidR="00D030D0" w:rsidRDefault="004D21EE" w:rsidP="00530C0C">
      <w:pPr>
        <w:pStyle w:val="Heading2"/>
      </w:pPr>
      <w:bookmarkStart w:id="0" w:name="_Toc142210304"/>
      <w:bookmarkStart w:id="1" w:name="_Toc145065852"/>
      <w:r>
        <w:br/>
      </w:r>
      <w:r w:rsidR="00D030D0">
        <w:t>Synopsis</w:t>
      </w:r>
      <w:bookmarkEnd w:id="0"/>
      <w:bookmarkEnd w:id="1"/>
    </w:p>
    <w:p w14:paraId="7F8E1938" w14:textId="278EDDD2" w:rsidR="00D030D0" w:rsidRDefault="00D030D0" w:rsidP="00D030D0">
      <w:pPr>
        <w:pStyle w:val="BodyText"/>
      </w:pPr>
      <w:r>
        <w:t xml:space="preserve">Stakeholders expect services they procure, develop, </w:t>
      </w:r>
      <w:r w:rsidR="001B3331">
        <w:t>maintain,</w:t>
      </w:r>
      <w:r>
        <w:t xml:space="preserve"> and support, and offer to meet a baseline of qualities. </w:t>
      </w:r>
      <w:r>
        <w:br/>
      </w:r>
      <w:r>
        <w:br/>
        <w:t>While the qualities they expect may at first appear arbitrary and case specific, ISO</w:t>
      </w:r>
      <w:r>
        <w:rPr>
          <w:rStyle w:val="FootnoteReference"/>
        </w:rPr>
        <w:footnoteReference w:id="1"/>
      </w:r>
      <w:r>
        <w:t xml:space="preserve"> standards have been developed to define system, data and use experience qualities.</w:t>
      </w:r>
    </w:p>
    <w:p w14:paraId="2BD744C4" w14:textId="716C5A4F" w:rsidR="002B64D7" w:rsidRDefault="004D21EE" w:rsidP="00D030D0">
      <w:pPr>
        <w:pStyle w:val="BodyText"/>
      </w:pPr>
      <w:r>
        <w:t xml:space="preserve">As per the </w:t>
      </w:r>
      <w:r w:rsidRPr="00D030D0">
        <w:rPr>
          <w:i/>
          <w:iCs/>
        </w:rPr>
        <w:t>Business Analysis Body of Knowledge</w:t>
      </w:r>
      <w:r>
        <w:t xml:space="preserve"> (BABOK) v3.0, c</w:t>
      </w:r>
      <w:r w:rsidR="002B64D7">
        <w:t xml:space="preserve">urrent best practice is to define desired qualities using terms defined in ISO standards for defining system, </w:t>
      </w:r>
      <w:proofErr w:type="gramStart"/>
      <w:r w:rsidR="002B64D7">
        <w:t>data</w:t>
      </w:r>
      <w:proofErr w:type="gramEnd"/>
      <w:r w:rsidR="002B64D7">
        <w:t xml:space="preserve"> and experience qualities. </w:t>
      </w:r>
    </w:p>
    <w:p w14:paraId="6E470874" w14:textId="7B161AC4" w:rsidR="005D394F" w:rsidRDefault="005C4424" w:rsidP="00D030D0">
      <w:pPr>
        <w:pStyle w:val="BodyText"/>
      </w:pPr>
      <w:r>
        <w:t xml:space="preserve">Along with the development of and delivery to </w:t>
      </w:r>
      <w:r w:rsidR="00D030D0">
        <w:t xml:space="preserve">functional requirements, project delivery must allocate effort to the deliver and iterative improvement of </w:t>
      </w:r>
      <w:r>
        <w:t xml:space="preserve">these internationally defined and agreed </w:t>
      </w:r>
      <w:r w:rsidR="00D030D0">
        <w:t>qualities.</w:t>
      </w:r>
    </w:p>
    <w:p w14:paraId="31669E30" w14:textId="77777777" w:rsidR="008B783D" w:rsidRDefault="008B783D">
      <w:pPr>
        <w:rPr>
          <w:rFonts w:ascii="Arial" w:eastAsiaTheme="majorEastAsia" w:hAnsi="Arial" w:cstheme="majorBidi"/>
          <w:b/>
          <w:color w:val="365F91" w:themeColor="accent1" w:themeShade="BF"/>
          <w:sz w:val="32"/>
          <w:szCs w:val="26"/>
        </w:rPr>
      </w:pPr>
      <w:r>
        <w:br w:type="page"/>
      </w:r>
    </w:p>
    <w:p w14:paraId="165A3E5B" w14:textId="0115839C" w:rsidR="00F15FB6" w:rsidRDefault="00530C0C" w:rsidP="008B783D">
      <w:pPr>
        <w:pStyle w:val="Heading2"/>
      </w:pPr>
      <w:r>
        <w:lastRenderedPageBreak/>
        <w:t>Introduction</w:t>
      </w:r>
    </w:p>
    <w:p w14:paraId="1E677726" w14:textId="0D4A60BB" w:rsidR="00B14E31" w:rsidRDefault="00B14E31" w:rsidP="00C94D95">
      <w:pPr>
        <w:pStyle w:val="BodyText"/>
      </w:pPr>
      <w:r>
        <w:t xml:space="preserve">Qualities are used to develop Quality Requirements. </w:t>
      </w:r>
    </w:p>
    <w:p w14:paraId="7DD87233" w14:textId="4300158A" w:rsidR="00C94D95" w:rsidRDefault="00530C0C" w:rsidP="00C94D95">
      <w:pPr>
        <w:pStyle w:val="BodyText"/>
      </w:pPr>
      <w:r>
        <w:t>P</w:t>
      </w:r>
      <w:r w:rsidR="00C94D95">
        <w:t xml:space="preserve">rior to 2011, </w:t>
      </w:r>
      <w:r>
        <w:t xml:space="preserve">best practice was to develop the </w:t>
      </w:r>
      <w:r w:rsidR="00C94D95">
        <w:t xml:space="preserve">Requirements used for procuring ICT solutions as a </w:t>
      </w:r>
      <w:r>
        <w:t xml:space="preserve">set of </w:t>
      </w:r>
      <w:r w:rsidR="00C94D95">
        <w:t xml:space="preserve">Functional Requirements and Non-Functional Requirements. </w:t>
      </w:r>
    </w:p>
    <w:p w14:paraId="1712BD86" w14:textId="3E95ACDD" w:rsidR="00C94D95" w:rsidRDefault="00C94D95" w:rsidP="00C94D95">
      <w:pPr>
        <w:pStyle w:val="BodyText"/>
      </w:pPr>
      <w:r>
        <w:t xml:space="preserve">Functional Requirements were </w:t>
      </w:r>
      <w:r w:rsidR="002B64D7">
        <w:t xml:space="preserve">biased </w:t>
      </w:r>
      <w:r>
        <w:t>to capturing Business User expectations</w:t>
      </w:r>
      <w:r w:rsidR="002B64D7">
        <w:t xml:space="preserve">, omitting other users. </w:t>
      </w:r>
      <w:r>
        <w:t xml:space="preserve">Non-Functional Requirements </w:t>
      </w:r>
      <w:r w:rsidR="002B64D7">
        <w:t xml:space="preserve">were used for everything else </w:t>
      </w:r>
      <w:r>
        <w:t xml:space="preserve">– </w:t>
      </w:r>
      <w:r w:rsidR="008F2432">
        <w:t>often</w:t>
      </w:r>
      <w:r>
        <w:t xml:space="preserve"> </w:t>
      </w:r>
      <w:proofErr w:type="gramStart"/>
      <w:r>
        <w:t>a</w:t>
      </w:r>
      <w:r w:rsidR="00FC5081">
        <w:t>n</w:t>
      </w:r>
      <w:proofErr w:type="gramEnd"/>
      <w:r w:rsidR="00FC5081">
        <w:t xml:space="preserve"> messy </w:t>
      </w:r>
      <w:r>
        <w:t xml:space="preserve">combination of </w:t>
      </w:r>
      <w:r w:rsidR="002B64D7">
        <w:t xml:space="preserve">sparse functional requirements of non-business users </w:t>
      </w:r>
      <w:r>
        <w:t xml:space="preserve">(e.g., </w:t>
      </w:r>
      <w:r w:rsidR="002B64D7">
        <w:t xml:space="preserve">security, support, </w:t>
      </w:r>
      <w:r>
        <w:t>operations</w:t>
      </w:r>
      <w:r w:rsidR="002B64D7">
        <w:t xml:space="preserve"> &amp; </w:t>
      </w:r>
      <w:r>
        <w:t xml:space="preserve">maintenance), </w:t>
      </w:r>
      <w:r w:rsidR="00FC5081">
        <w:t xml:space="preserve">some </w:t>
      </w:r>
      <w:r>
        <w:t xml:space="preserve">cross-functional and system functional requirements, desired system qualities, and possible </w:t>
      </w:r>
      <w:r w:rsidR="002B64D7">
        <w:t xml:space="preserve">also </w:t>
      </w:r>
      <w:r>
        <w:t>some transitional requirements.</w:t>
      </w:r>
    </w:p>
    <w:p w14:paraId="48F0E7E9" w14:textId="5B51D120" w:rsidR="002B64D7" w:rsidRDefault="002B64D7" w:rsidP="002B64D7">
      <w:pPr>
        <w:pStyle w:val="BodyText"/>
      </w:pPr>
      <w:r>
        <w:t xml:space="preserve">Current best practice is an improvement. </w:t>
      </w:r>
    </w:p>
    <w:p w14:paraId="2FB47C0F" w14:textId="77777777" w:rsidR="002B64D7" w:rsidRDefault="002B64D7" w:rsidP="002B64D7">
      <w:pPr>
        <w:pStyle w:val="Heading2"/>
      </w:pPr>
      <w:r>
        <w:t>Quality Requirements</w:t>
      </w:r>
    </w:p>
    <w:p w14:paraId="5D33D74A" w14:textId="37CB7373" w:rsidR="00C94D95" w:rsidRDefault="002B64D7" w:rsidP="00C94D95">
      <w:pPr>
        <w:pStyle w:val="BodyText"/>
      </w:pPr>
      <w:r>
        <w:t xml:space="preserve">Current best practice </w:t>
      </w:r>
      <w:r w:rsidR="00C94D95">
        <w:t xml:space="preserve">is to develop </w:t>
      </w:r>
      <w:r w:rsidR="00B14E31">
        <w:t>F</w:t>
      </w:r>
      <w:r w:rsidR="00C94D95">
        <w:t xml:space="preserve">unctional, </w:t>
      </w:r>
      <w:r w:rsidR="00B14E31">
        <w:t>Q</w:t>
      </w:r>
      <w:r w:rsidR="00C94D95">
        <w:t xml:space="preserve">uality and </w:t>
      </w:r>
      <w:r w:rsidR="00B14E31">
        <w:t>T</w:t>
      </w:r>
      <w:r w:rsidR="00C94D95">
        <w:t>ransitional requirements</w:t>
      </w:r>
      <w:r w:rsidR="00B14E31">
        <w:t xml:space="preserve"> as 3 </w:t>
      </w:r>
      <w:r w:rsidR="008F2432">
        <w:t>different</w:t>
      </w:r>
      <w:r w:rsidR="00B14E31">
        <w:t xml:space="preserve"> sets</w:t>
      </w:r>
      <w:r w:rsidR="00F6388F">
        <w:t xml:space="preserve"> of requirements</w:t>
      </w:r>
      <w:r w:rsidR="00C94D95">
        <w:t>.</w:t>
      </w:r>
    </w:p>
    <w:p w14:paraId="7559D0C2" w14:textId="5CFF38D0" w:rsidR="00C94D95" w:rsidRDefault="00C94D95" w:rsidP="00C94D95">
      <w:pPr>
        <w:pStyle w:val="BodyText"/>
      </w:pPr>
      <w:r>
        <w:t xml:space="preserve">For </w:t>
      </w:r>
      <w:r w:rsidR="00B14E31">
        <w:t>F</w:t>
      </w:r>
      <w:r>
        <w:t xml:space="preserve">unctional </w:t>
      </w:r>
      <w:r w:rsidR="00B14E31">
        <w:t>R</w:t>
      </w:r>
      <w:r>
        <w:t>equirements</w:t>
      </w:r>
      <w:r w:rsidR="00B14E31">
        <w:t xml:space="preserve"> (FR)</w:t>
      </w:r>
      <w:r>
        <w:t xml:space="preserve">, </w:t>
      </w:r>
      <w:r w:rsidR="00FC5081">
        <w:t xml:space="preserve">the </w:t>
      </w:r>
      <w:r>
        <w:t>recommend</w:t>
      </w:r>
      <w:r w:rsidR="00FC5081">
        <w:t>ation</w:t>
      </w:r>
      <w:r>
        <w:t xml:space="preserve"> </w:t>
      </w:r>
      <w:r w:rsidR="00FC5081">
        <w:t xml:space="preserve">is </w:t>
      </w:r>
      <w:r>
        <w:t xml:space="preserve">to start with </w:t>
      </w:r>
      <w:r w:rsidR="00FC5081">
        <w:t xml:space="preserve">a </w:t>
      </w:r>
      <w:r>
        <w:t xml:space="preserve">comprehensive stakeholder and user map to guide the gathering of functional requirements </w:t>
      </w:r>
      <w:r w:rsidR="00FC5081">
        <w:t>from business users right through to operations, maintenance, security, assurance and change management stakeholders</w:t>
      </w:r>
      <w:r>
        <w:t>.</w:t>
      </w:r>
    </w:p>
    <w:p w14:paraId="59B70463" w14:textId="1B9DD248" w:rsidR="00C94D95" w:rsidRDefault="00C94D95" w:rsidP="00C94D95">
      <w:pPr>
        <w:pStyle w:val="BodyText"/>
      </w:pPr>
      <w:r>
        <w:t xml:space="preserve">For desired </w:t>
      </w:r>
      <w:r w:rsidR="00FC5081">
        <w:t xml:space="preserve">system </w:t>
      </w:r>
      <w:r>
        <w:t>qualities</w:t>
      </w:r>
      <w:r w:rsidR="00B14E31">
        <w:t xml:space="preserve"> requirements (QRs)</w:t>
      </w:r>
      <w:r>
        <w:t xml:space="preserve">, it is </w:t>
      </w:r>
      <w:r w:rsidR="008F2432">
        <w:t>recommended</w:t>
      </w:r>
      <w:r>
        <w:t xml:space="preserve"> to use </w:t>
      </w:r>
      <w:r w:rsidR="00FC5081">
        <w:t>ISO-25010,12,22 to develop a document that captures desires qualities.</w:t>
      </w:r>
      <w:r w:rsidR="00FC5081">
        <w:rPr>
          <w:rStyle w:val="FootnoteReference"/>
        </w:rPr>
        <w:footnoteReference w:id="2"/>
      </w:r>
      <w:r w:rsidR="00FC5081">
        <w:t xml:space="preserve"> </w:t>
      </w:r>
    </w:p>
    <w:p w14:paraId="5A64687A" w14:textId="7A1CC651" w:rsidR="002928E8" w:rsidRDefault="00FC5081" w:rsidP="00C94D95">
      <w:pPr>
        <w:pStyle w:val="BodyText"/>
      </w:pPr>
      <w:r>
        <w:t xml:space="preserve">Transitional requirements </w:t>
      </w:r>
      <w:r w:rsidR="00B14E31">
        <w:t xml:space="preserve">(TRs) </w:t>
      </w:r>
      <w:r>
        <w:t xml:space="preserve">are developed separately to both, </w:t>
      </w:r>
      <w:r w:rsidR="00B14E31">
        <w:t xml:space="preserve">and are used </w:t>
      </w:r>
      <w:r>
        <w:t xml:space="preserve">to capture </w:t>
      </w:r>
      <w:r w:rsidR="00B14E31">
        <w:t xml:space="preserve">data extraction, data quality, data and user </w:t>
      </w:r>
      <w:r>
        <w:t xml:space="preserve">provisioning, comms, etc. </w:t>
      </w:r>
      <w:r w:rsidR="008F2432">
        <w:t xml:space="preserve">tasks </w:t>
      </w:r>
      <w:r>
        <w:t>required to transition from current state to target state.</w:t>
      </w:r>
    </w:p>
    <w:p w14:paraId="27746D9D" w14:textId="59D928A7" w:rsidR="00FC6DEF" w:rsidRDefault="00FC6DEF" w:rsidP="00C94D95">
      <w:pPr>
        <w:pStyle w:val="Heading2"/>
        <w:numPr>
          <w:ilvl w:val="1"/>
          <w:numId w:val="4"/>
        </w:numPr>
      </w:pPr>
      <w:bookmarkStart w:id="2" w:name="_Toc145065856"/>
      <w:r>
        <w:t>Quality Delivery</w:t>
      </w:r>
      <w:bookmarkEnd w:id="2"/>
    </w:p>
    <w:p w14:paraId="7AF976E4" w14:textId="3A538A71" w:rsidR="002928E8" w:rsidRDefault="002928E8" w:rsidP="002928E8">
      <w:pPr>
        <w:pStyle w:val="BodyText"/>
      </w:pPr>
      <w:r>
        <w:t>The developed requirements are used for contractual purposes, and later for developing and prio</w:t>
      </w:r>
      <w:r w:rsidR="005D394F">
        <w:t>ri</w:t>
      </w:r>
      <w:r>
        <w:t xml:space="preserve">tising the </w:t>
      </w:r>
      <w:r w:rsidR="005D394F">
        <w:t>work items</w:t>
      </w:r>
      <w:r>
        <w:t xml:space="preserve"> (User Stories and Tasks) required to deliver the contracted work.</w:t>
      </w:r>
    </w:p>
    <w:p w14:paraId="08EA6BE5" w14:textId="6C798739" w:rsidR="002928E8" w:rsidRPr="002928E8" w:rsidRDefault="00DA4092" w:rsidP="008B783D">
      <w:pPr>
        <w:pStyle w:val="BodyText"/>
        <w:jc w:val="center"/>
      </w:pPr>
      <w:r>
        <w:rPr>
          <w:noProof/>
        </w:rPr>
        <w:lastRenderedPageBreak/>
        <w:drawing>
          <wp:inline distT="0" distB="0" distL="0" distR="0" wp14:anchorId="7FA51537" wp14:editId="78D7C662">
            <wp:extent cx="4979035" cy="2897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2145" cy="2899536"/>
                    </a:xfrm>
                    <a:prstGeom prst="rect">
                      <a:avLst/>
                    </a:prstGeom>
                    <a:noFill/>
                    <a:ln>
                      <a:noFill/>
                    </a:ln>
                  </pic:spPr>
                </pic:pic>
              </a:graphicData>
            </a:graphic>
          </wp:inline>
        </w:drawing>
      </w:r>
    </w:p>
    <w:p w14:paraId="5A79FB89" w14:textId="081C6774" w:rsidR="00FC6DEF" w:rsidRDefault="00FC6DEF" w:rsidP="0095097F">
      <w:pPr>
        <w:pStyle w:val="Heading2"/>
        <w:numPr>
          <w:ilvl w:val="1"/>
          <w:numId w:val="4"/>
        </w:numPr>
      </w:pPr>
      <w:bookmarkStart w:id="3" w:name="_Toc145065857"/>
      <w:r>
        <w:t>Quality Assurance</w:t>
      </w:r>
      <w:bookmarkEnd w:id="3"/>
    </w:p>
    <w:p w14:paraId="5C6B0949" w14:textId="5C527293" w:rsidR="008F2432" w:rsidRDefault="0095097F" w:rsidP="0095097F">
      <w:pPr>
        <w:pStyle w:val="BodyText"/>
      </w:pPr>
      <w:r>
        <w:t xml:space="preserve">Most qualities are </w:t>
      </w:r>
      <w:r w:rsidR="0006632C">
        <w:t xml:space="preserve">binary </w:t>
      </w:r>
      <w:r>
        <w:t>qualitative</w:t>
      </w:r>
      <w:r w:rsidR="008F2432">
        <w:t xml:space="preserve"> in nature</w:t>
      </w:r>
      <w:r w:rsidR="0006632C">
        <w:t xml:space="preserve"> (they are either done or not</w:t>
      </w:r>
      <w:r w:rsidR="002B64D7">
        <w:t>) and</w:t>
      </w:r>
      <w:r w:rsidR="0006632C">
        <w:t xml:space="preserve"> are not </w:t>
      </w:r>
      <w:r w:rsidR="008F2432">
        <w:t>quantitative</w:t>
      </w:r>
      <w:r w:rsidR="0006632C">
        <w:t xml:space="preserve"> in nature</w:t>
      </w:r>
      <w:r w:rsidR="008F2432">
        <w:t>.</w:t>
      </w:r>
    </w:p>
    <w:p w14:paraId="7F28AA7C" w14:textId="09420669" w:rsidR="008F2432" w:rsidRDefault="0006632C" w:rsidP="008F2432">
      <w:pPr>
        <w:pStyle w:val="Heading2"/>
        <w:numPr>
          <w:ilvl w:val="2"/>
          <w:numId w:val="4"/>
        </w:numPr>
      </w:pPr>
      <w:bookmarkStart w:id="4" w:name="_Toc145065858"/>
      <w:r>
        <w:t xml:space="preserve">Assuring </w:t>
      </w:r>
      <w:r w:rsidR="008F2432">
        <w:t>Qualitative Qualities</w:t>
      </w:r>
      <w:bookmarkEnd w:id="4"/>
    </w:p>
    <w:p w14:paraId="44B98291" w14:textId="77B2E4B5" w:rsidR="0095097F" w:rsidRPr="0095097F" w:rsidRDefault="0006632C" w:rsidP="0095097F">
      <w:pPr>
        <w:pStyle w:val="BodyText"/>
      </w:pPr>
      <w:r>
        <w:t xml:space="preserve">Qualitative Qualities can be validated by direct sighting or indirect sighting of a report generated by automation of quality tests in the pipeline.  Either approach can be used to ensure qualities such as: </w:t>
      </w:r>
      <w:r w:rsidR="008F2432">
        <w:t xml:space="preserve">the site is discoverable at a </w:t>
      </w:r>
      <w:r>
        <w:t>recognisable</w:t>
      </w:r>
      <w:r w:rsidR="008F2432">
        <w:t xml:space="preserve"> </w:t>
      </w:r>
      <w:r>
        <w:t>URL</w:t>
      </w:r>
      <w:r w:rsidR="008F2432">
        <w:t>, requests to insecure (HTTP) endpoints are redirected to secure (HTTPS) equivalent endpoints</w:t>
      </w:r>
      <w:r>
        <w:t>, etc.</w:t>
      </w:r>
    </w:p>
    <w:p w14:paraId="6B818FEF" w14:textId="2596E75D" w:rsidR="0095097F" w:rsidRDefault="0006632C" w:rsidP="0095097F">
      <w:pPr>
        <w:pStyle w:val="Heading2"/>
        <w:numPr>
          <w:ilvl w:val="2"/>
          <w:numId w:val="4"/>
        </w:numPr>
      </w:pPr>
      <w:bookmarkStart w:id="5" w:name="_Toc145065859"/>
      <w:r>
        <w:t xml:space="preserve">Assuring </w:t>
      </w:r>
      <w:r w:rsidR="0095097F">
        <w:t>Quantitative Qualities</w:t>
      </w:r>
      <w:bookmarkEnd w:id="5"/>
    </w:p>
    <w:p w14:paraId="4920C827" w14:textId="77777777" w:rsidR="005C4424" w:rsidRDefault="0095097F" w:rsidP="00C94D95">
      <w:pPr>
        <w:pStyle w:val="BodyText"/>
      </w:pPr>
      <w:r>
        <w:t xml:space="preserve">A </w:t>
      </w:r>
      <w:r w:rsidR="0006632C">
        <w:t xml:space="preserve">very </w:t>
      </w:r>
      <w:r>
        <w:t xml:space="preserve">small number of </w:t>
      </w:r>
      <w:r w:rsidR="00FC6DEF">
        <w:t xml:space="preserve">quality requirements are </w:t>
      </w:r>
      <w:r w:rsidR="0006632C">
        <w:t xml:space="preserve">required to be </w:t>
      </w:r>
      <w:r w:rsidR="00FC6DEF">
        <w:t>quantitative, in that they specify target availability thresholds</w:t>
      </w:r>
      <w:r>
        <w:t xml:space="preserve">. </w:t>
      </w:r>
    </w:p>
    <w:p w14:paraId="71A58BF9" w14:textId="5DC5DDE0" w:rsidR="00FC6DEF" w:rsidRDefault="0095097F" w:rsidP="00C94D95">
      <w:pPr>
        <w:pStyle w:val="BodyText"/>
      </w:pPr>
      <w:r>
        <w:t xml:space="preserve">These quantitative requirements are </w:t>
      </w:r>
      <w:r w:rsidR="005C4424">
        <w:t xml:space="preserve">often </w:t>
      </w:r>
      <w:r>
        <w:t>intertwined.</w:t>
      </w:r>
      <w:r w:rsidR="005C4424">
        <w:t xml:space="preserve"> </w:t>
      </w:r>
      <w:r>
        <w:t xml:space="preserve">Examples </w:t>
      </w:r>
      <w:r w:rsidR="005C4424">
        <w:t>include</w:t>
      </w:r>
      <w:r>
        <w:t>:</w:t>
      </w:r>
    </w:p>
    <w:p w14:paraId="05AD1EFC" w14:textId="50F07CE0" w:rsidR="00FC6DEF" w:rsidRDefault="00FC6DEF" w:rsidP="005C4424">
      <w:pPr>
        <w:pStyle w:val="BodyText"/>
        <w:numPr>
          <w:ilvl w:val="3"/>
          <w:numId w:val="1"/>
        </w:numPr>
        <w:ind w:left="731" w:hanging="284"/>
      </w:pPr>
      <w:r>
        <w:t xml:space="preserve">the maximum synchronous duration of </w:t>
      </w:r>
      <w:r w:rsidR="004D21EE">
        <w:t>most</w:t>
      </w:r>
      <w:r>
        <w:t xml:space="preserve"> operation (e</w:t>
      </w:r>
      <w:r w:rsidR="005C4424">
        <w:t>.</w:t>
      </w:r>
      <w:r>
        <w:t>g</w:t>
      </w:r>
      <w:r w:rsidR="005C4424">
        <w:t>.</w:t>
      </w:r>
      <w:r>
        <w:t xml:space="preserve">, “90% of requests will </w:t>
      </w:r>
      <w:r w:rsidR="0095097F">
        <w:t xml:space="preserve">be defined as Standard requests, </w:t>
      </w:r>
      <w:r>
        <w:t>return</w:t>
      </w:r>
      <w:r w:rsidR="0095097F">
        <w:t>ing</w:t>
      </w:r>
      <w:r>
        <w:t xml:space="preserve"> control </w:t>
      </w:r>
      <w:r w:rsidR="0095097F">
        <w:t xml:space="preserve">to users </w:t>
      </w:r>
      <w:r>
        <w:t xml:space="preserve">in less than 0.5 seconds, 8% will </w:t>
      </w:r>
      <w:r w:rsidR="0095097F">
        <w:t xml:space="preserve">return control in </w:t>
      </w:r>
      <w:r>
        <w:t>less than 2 seconds, and 0% will take more than 15 seconds</w:t>
      </w:r>
      <w:r w:rsidR="0095097F">
        <w:t xml:space="preserve"> to complete and return control to user</w:t>
      </w:r>
      <w:r>
        <w:t>”).</w:t>
      </w:r>
    </w:p>
    <w:p w14:paraId="5015BA51" w14:textId="6D0EC600" w:rsidR="00FC6DEF" w:rsidRDefault="00FC6DEF" w:rsidP="005C4424">
      <w:pPr>
        <w:pStyle w:val="BodyText"/>
        <w:numPr>
          <w:ilvl w:val="3"/>
          <w:numId w:val="1"/>
        </w:numPr>
        <w:ind w:left="731" w:hanging="284"/>
      </w:pPr>
      <w:r>
        <w:t xml:space="preserve">the number of </w:t>
      </w:r>
      <w:r w:rsidR="0095097F">
        <w:t xml:space="preserve">“standard” </w:t>
      </w:r>
      <w:r>
        <w:t xml:space="preserve">requests that can be processed at the same time, </w:t>
      </w:r>
      <w:r w:rsidR="0095097F">
        <w:t>while meeting infrastructure thresholds</w:t>
      </w:r>
    </w:p>
    <w:p w14:paraId="1F45BB06" w14:textId="1D67FCCF" w:rsidR="00FC6DEF" w:rsidRDefault="00FC6DEF" w:rsidP="005C4424">
      <w:pPr>
        <w:pStyle w:val="BodyText"/>
        <w:numPr>
          <w:ilvl w:val="3"/>
          <w:numId w:val="1"/>
        </w:numPr>
        <w:ind w:left="731" w:hanging="284"/>
      </w:pPr>
      <w:r>
        <w:t xml:space="preserve"> </w:t>
      </w:r>
      <w:r w:rsidR="0095097F">
        <w:t xml:space="preserve">systems </w:t>
      </w:r>
      <w:r w:rsidR="008F2432">
        <w:t>CPU</w:t>
      </w:r>
      <w:r w:rsidR="0095097F">
        <w:t xml:space="preserve"> usage will remain below 33% while handling standard requests, peaking above for no more than 5 seconds.</w:t>
      </w:r>
    </w:p>
    <w:p w14:paraId="395A4F2A" w14:textId="7E283A43" w:rsidR="0006632C" w:rsidRDefault="0006632C" w:rsidP="0006632C">
      <w:pPr>
        <w:pStyle w:val="BodyText"/>
      </w:pPr>
      <w:r>
        <w:t>The above quantitative qualities are often more expensive to validate, requiring setting up performance rigs for example.</w:t>
      </w:r>
    </w:p>
    <w:p w14:paraId="3E508976" w14:textId="5801DEAF" w:rsidR="008967B2" w:rsidRDefault="005F3080" w:rsidP="005F3080">
      <w:pPr>
        <w:pStyle w:val="Heading1"/>
      </w:pPr>
      <w:r>
        <w:lastRenderedPageBreak/>
        <w:t>Qualities</w:t>
      </w:r>
    </w:p>
    <w:p w14:paraId="339F6F17" w14:textId="77777777" w:rsidR="00FC5081" w:rsidRDefault="00FC5081" w:rsidP="008967B2">
      <w:pPr>
        <w:pStyle w:val="BodyText"/>
      </w:pPr>
      <w:r>
        <w:t>For developing Quality Requirements, t</w:t>
      </w:r>
      <w:r w:rsidR="008967B2">
        <w:t xml:space="preserve">hree key ISOs </w:t>
      </w:r>
      <w:r>
        <w:t xml:space="preserve">have been made available </w:t>
      </w:r>
      <w:r w:rsidR="008967B2">
        <w:t xml:space="preserve">to guide the design, development, delivery, operations, and maintenance of systems. </w:t>
      </w:r>
    </w:p>
    <w:p w14:paraId="32B63E46" w14:textId="54F95764" w:rsidR="008967B2" w:rsidRDefault="008967B2" w:rsidP="008967B2">
      <w:pPr>
        <w:pStyle w:val="BodyText"/>
      </w:pPr>
      <w:r>
        <w:t xml:space="preserve">These </w:t>
      </w:r>
      <w:r w:rsidR="00FC5081">
        <w:t xml:space="preserve">ISOs </w:t>
      </w:r>
      <w:r>
        <w:t>are:</w:t>
      </w:r>
    </w:p>
    <w:p w14:paraId="147FC512" w14:textId="7D50D8F7" w:rsidR="008967B2" w:rsidRDefault="008967B2" w:rsidP="004D21EE">
      <w:pPr>
        <w:pStyle w:val="Caption"/>
        <w:keepNext/>
        <w:tabs>
          <w:tab w:val="left" w:pos="6360"/>
        </w:tabs>
      </w:pPr>
      <w:bookmarkStart w:id="6" w:name="_Toc145075280"/>
      <w:r>
        <w:t xml:space="preserve">Table </w:t>
      </w:r>
      <w:fldSimple w:instr=" SEQ Table \* ARABIC ">
        <w:r>
          <w:rPr>
            <w:noProof/>
          </w:rPr>
          <w:t>1</w:t>
        </w:r>
      </w:fldSimple>
      <w:r>
        <w:t xml:space="preserve">: List of ISOs that define ICT relevant </w:t>
      </w:r>
      <w:proofErr w:type="gramStart"/>
      <w:r>
        <w:t>Qualities</w:t>
      </w:r>
      <w:bookmarkEnd w:id="6"/>
      <w:proofErr w:type="gramEnd"/>
      <w:r w:rsidR="004D21EE">
        <w:tab/>
      </w:r>
    </w:p>
    <w:tbl>
      <w:tblPr>
        <w:tblStyle w:val="Invisible"/>
        <w:tblW w:w="0" w:type="auto"/>
        <w:tblLook w:val="04A0" w:firstRow="1" w:lastRow="0" w:firstColumn="1" w:lastColumn="0" w:noHBand="0" w:noVBand="1"/>
      </w:tblPr>
      <w:tblGrid>
        <w:gridCol w:w="9021"/>
      </w:tblGrid>
      <w:tr w:rsidR="008967B2" w14:paraId="14204475" w14:textId="77777777" w:rsidTr="009E49C0">
        <w:tc>
          <w:tcPr>
            <w:tcW w:w="9021" w:type="dxa"/>
          </w:tcPr>
          <w:p w14:paraId="04B7FB84" w14:textId="77777777" w:rsidR="008967B2" w:rsidRPr="004D21EE" w:rsidRDefault="008967B2" w:rsidP="004D21EE">
            <w:pPr>
              <w:pStyle w:val="Heading5"/>
              <w:rPr>
                <w:vanish/>
                <w:specVanish/>
              </w:rPr>
            </w:pPr>
            <w:r>
              <w:t>ISO-25022</w:t>
            </w:r>
          </w:p>
          <w:p w14:paraId="21389E5E" w14:textId="3C82B46F" w:rsidR="008967B2" w:rsidRDefault="004D21EE" w:rsidP="009E49C0">
            <w:pPr>
              <w:pStyle w:val="BodyText"/>
            </w:pPr>
            <w:r>
              <w:t xml:space="preserve"> </w:t>
            </w:r>
            <w:r w:rsidR="008967B2">
              <w:t>: End user expectations of Qualities experienced from using the system.</w:t>
            </w:r>
            <w:r w:rsidR="008967B2">
              <w:br/>
              <w:t>Thes experience qualities in turn rely on the qualities of the data they can access (ISO-25012) and the system that hosts it (ISO-25010)</w:t>
            </w:r>
            <w:r w:rsidR="00FC5081">
              <w:t>, described next.</w:t>
            </w:r>
          </w:p>
        </w:tc>
      </w:tr>
      <w:tr w:rsidR="008967B2" w14:paraId="35C24218" w14:textId="77777777" w:rsidTr="009E49C0">
        <w:tc>
          <w:tcPr>
            <w:tcW w:w="9021" w:type="dxa"/>
          </w:tcPr>
          <w:p w14:paraId="34EEFAD8" w14:textId="77777777" w:rsidR="008967B2" w:rsidRPr="001F43DD" w:rsidRDefault="008967B2" w:rsidP="004D21EE">
            <w:pPr>
              <w:pStyle w:val="Heading5"/>
              <w:rPr>
                <w:vanish/>
                <w:specVanish/>
              </w:rPr>
            </w:pPr>
            <w:r>
              <w:t>ISO-25012</w:t>
            </w:r>
          </w:p>
          <w:p w14:paraId="4F1A0F1A" w14:textId="067EEDEF" w:rsidR="008967B2" w:rsidRDefault="008967B2" w:rsidP="009E49C0">
            <w:pPr>
              <w:pStyle w:val="BodyText"/>
            </w:pPr>
            <w:r>
              <w:t xml:space="preserve"> : the qualities of the data the system manages</w:t>
            </w:r>
            <w:r w:rsidR="00FC5081">
              <w:t>, which in turn relies on the system’s qualities (see ISO-25010).</w:t>
            </w:r>
          </w:p>
        </w:tc>
      </w:tr>
      <w:tr w:rsidR="008967B2" w14:paraId="305259D0" w14:textId="77777777" w:rsidTr="009E49C0">
        <w:tc>
          <w:tcPr>
            <w:tcW w:w="9021" w:type="dxa"/>
          </w:tcPr>
          <w:p w14:paraId="786E70E7" w14:textId="77777777" w:rsidR="008967B2" w:rsidRPr="001F43DD" w:rsidRDefault="008967B2" w:rsidP="004D21EE">
            <w:pPr>
              <w:pStyle w:val="Heading5"/>
              <w:rPr>
                <w:vanish/>
                <w:specVanish/>
              </w:rPr>
            </w:pPr>
            <w:r>
              <w:t>ISO-25010</w:t>
            </w:r>
          </w:p>
          <w:p w14:paraId="3FEE341F" w14:textId="77777777" w:rsidR="008967B2" w:rsidRDefault="008967B2" w:rsidP="009E49C0">
            <w:pPr>
              <w:pStyle w:val="BodyText"/>
            </w:pPr>
            <w:r>
              <w:t xml:space="preserve"> : the qualities of the system itself, within which the data (see ISO-25012) is kept.</w:t>
            </w:r>
          </w:p>
        </w:tc>
      </w:tr>
    </w:tbl>
    <w:p w14:paraId="24480901" w14:textId="6E6A1452" w:rsidR="008967B2" w:rsidRDefault="008967B2" w:rsidP="00EF6743">
      <w:pPr>
        <w:pStyle w:val="BodyText"/>
      </w:pPr>
      <w:r>
        <w:br/>
        <w:t>This document summarises the different qualities described in each list, along with relevant and achievable recommendations to deliver to these quality expectations.</w:t>
      </w:r>
    </w:p>
    <w:p w14:paraId="563020D4" w14:textId="7A841CAB" w:rsidR="008967B2" w:rsidRDefault="008967B2" w:rsidP="00EF6743">
      <w:pPr>
        <w:pStyle w:val="Heading2"/>
        <w:numPr>
          <w:ilvl w:val="1"/>
          <w:numId w:val="4"/>
        </w:numPr>
      </w:pPr>
      <w:bookmarkStart w:id="7" w:name="_Toc145065861"/>
      <w:r>
        <w:t>Application</w:t>
      </w:r>
      <w:bookmarkEnd w:id="7"/>
    </w:p>
    <w:p w14:paraId="5416BAF0" w14:textId="78466261" w:rsidR="008967B2" w:rsidRDefault="008967B2" w:rsidP="008967B2">
      <w:pPr>
        <w:pStyle w:val="BodyText"/>
      </w:pPr>
      <w:r>
        <w:t>Delivery managers should request that when work items (User Stories, Tasks) are developed they are categorised by what Quality they contribute to. This enables reporting as to what qualities have been delivered, and later, permits a Quality Analyst to quickly determine what to test to ensure the related Quality has been delivered to delivered to expectations.</w:t>
      </w:r>
    </w:p>
    <w:p w14:paraId="1221B2A7" w14:textId="323DDA71" w:rsidR="00EF6743" w:rsidRDefault="008967B2" w:rsidP="001F43DD">
      <w:pPr>
        <w:pStyle w:val="BodyText"/>
      </w:pPr>
      <w:r>
        <w:t>In essence the categorisation and measurements provide Project Delivery Managers insight as to where to apply effort to iteratively improve qualities alongside delivering functionality.</w:t>
      </w:r>
    </w:p>
    <w:p w14:paraId="060797A5" w14:textId="77777777" w:rsidR="00EF6743" w:rsidRDefault="00EF6743" w:rsidP="00EF6743">
      <w:pPr>
        <w:pStyle w:val="Heading2"/>
        <w:numPr>
          <w:ilvl w:val="1"/>
          <w:numId w:val="4"/>
        </w:numPr>
      </w:pPr>
      <w:bookmarkStart w:id="8" w:name="_Toc142210306"/>
      <w:bookmarkStart w:id="9" w:name="_Toc145065862"/>
      <w:commentRangeStart w:id="10"/>
      <w:commentRangeStart w:id="11"/>
      <w:r>
        <w:t>End User Quality Expectations</w:t>
      </w:r>
      <w:commentRangeEnd w:id="10"/>
      <w:r>
        <w:rPr>
          <w:rStyle w:val="CommentReference"/>
          <w:b w:val="0"/>
          <w:color w:val="auto"/>
        </w:rPr>
        <w:commentReference w:id="10"/>
      </w:r>
      <w:commentRangeEnd w:id="11"/>
      <w:r>
        <w:rPr>
          <w:rStyle w:val="CommentReference"/>
          <w:b w:val="0"/>
          <w:color w:val="auto"/>
        </w:rPr>
        <w:commentReference w:id="11"/>
      </w:r>
      <w:bookmarkEnd w:id="8"/>
      <w:bookmarkEnd w:id="9"/>
    </w:p>
    <w:p w14:paraId="6C515381" w14:textId="0ADDB830" w:rsidR="00EF6743" w:rsidRDefault="00EF6743" w:rsidP="00EF6743">
      <w:pPr>
        <w:pStyle w:val="BodyText"/>
      </w:pPr>
      <w:r>
        <w:t>ISO-25022 defines the Qualities expected by End Users of a Service in Use.</w:t>
      </w:r>
      <w:r w:rsidR="005C4424">
        <w:br/>
      </w:r>
      <w:r>
        <w:t xml:space="preserve"> </w:t>
      </w:r>
    </w:p>
    <w:p w14:paraId="06FD6F68" w14:textId="77777777" w:rsidR="00EF6743" w:rsidRDefault="00EF6743" w:rsidP="00EF6743">
      <w:pPr>
        <w:pStyle w:val="BodyText"/>
        <w:keepNext/>
        <w:jc w:val="center"/>
      </w:pPr>
      <w:r>
        <w:rPr>
          <w:noProof/>
        </w:rPr>
        <w:drawing>
          <wp:inline distT="0" distB="0" distL="0" distR="0" wp14:anchorId="6C4421C3" wp14:editId="04CC41EB">
            <wp:extent cx="4362450" cy="125196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355" cy="1254238"/>
                    </a:xfrm>
                    <a:prstGeom prst="rect">
                      <a:avLst/>
                    </a:prstGeom>
                    <a:noFill/>
                    <a:ln>
                      <a:noFill/>
                    </a:ln>
                  </pic:spPr>
                </pic:pic>
              </a:graphicData>
            </a:graphic>
          </wp:inline>
        </w:drawing>
      </w:r>
    </w:p>
    <w:p w14:paraId="43A79FDB" w14:textId="13B69D6A" w:rsidR="00EF6743" w:rsidRDefault="00EF6743" w:rsidP="00EF6743">
      <w:pPr>
        <w:pStyle w:val="Caption"/>
        <w:jc w:val="center"/>
      </w:pPr>
      <w:bookmarkStart w:id="12" w:name="_Toc142213918"/>
      <w:bookmarkStart w:id="13" w:name="_Toc145067031"/>
      <w:r>
        <w:t xml:space="preserve">Figure </w:t>
      </w:r>
      <w:fldSimple w:instr=" SEQ Figure \* ARABIC ">
        <w:r>
          <w:rPr>
            <w:noProof/>
          </w:rPr>
          <w:t>24</w:t>
        </w:r>
      </w:fldSimple>
      <w:r>
        <w:t>: ISO-25024 Qualities in Use (HL)</w:t>
      </w:r>
      <w:bookmarkEnd w:id="12"/>
      <w:bookmarkEnd w:id="13"/>
    </w:p>
    <w:p w14:paraId="21A99EF9" w14:textId="129BD976" w:rsidR="003B2C37" w:rsidRDefault="000E545D" w:rsidP="003B2C37">
      <w:pPr>
        <w:pStyle w:val="BodyText"/>
      </w:pPr>
      <w:r>
        <w:lastRenderedPageBreak/>
        <w:t xml:space="preserve">While the ISOs describe a means to measure the above, the </w:t>
      </w:r>
      <w:r w:rsidR="003B2C37">
        <w:t>Qualities are for the most part subjective</w:t>
      </w:r>
      <w:r>
        <w:t>. But while subjective or measured it is important</w:t>
      </w:r>
      <w:r w:rsidR="003B2C37">
        <w:t xml:space="preserve"> </w:t>
      </w:r>
      <w:r>
        <w:t xml:space="preserve">to note that rely on the delivery of less subjective qualities defined next </w:t>
      </w:r>
      <w:r w:rsidR="003B2C37">
        <w:t>(ISO-25010, ISO-25012, etc).</w:t>
      </w:r>
    </w:p>
    <w:p w14:paraId="460B6F66" w14:textId="77777777" w:rsidR="004D21EE" w:rsidRDefault="004D21EE" w:rsidP="004D21EE">
      <w:pPr>
        <w:pStyle w:val="Note"/>
      </w:pPr>
      <w:r w:rsidRPr="005107E8">
        <w:t>Note: subjective readings can be collected actively</w:t>
      </w:r>
      <w:r>
        <w:t>,</w:t>
      </w:r>
      <w:r w:rsidRPr="005107E8">
        <w:t xml:space="preserve"> via short questionnaires, or passively</w:t>
      </w:r>
      <w:r>
        <w:t>,</w:t>
      </w:r>
      <w:r w:rsidRPr="005107E8">
        <w:t xml:space="preserve"> by measuring other available metrics (likes </w:t>
      </w:r>
      <w:r>
        <w:t xml:space="preserve">divided by </w:t>
      </w:r>
      <w:r w:rsidRPr="005107E8">
        <w:t xml:space="preserve">sign ins, </w:t>
      </w:r>
      <w:r>
        <w:t xml:space="preserve">usage areas, </w:t>
      </w:r>
      <w:r w:rsidRPr="005107E8">
        <w:t>etc.).</w:t>
      </w:r>
    </w:p>
    <w:p w14:paraId="7FF23CF5" w14:textId="77777777" w:rsidR="004D21EE" w:rsidRDefault="004D21EE" w:rsidP="003B2C37">
      <w:pPr>
        <w:pStyle w:val="BodyText"/>
      </w:pPr>
    </w:p>
    <w:p w14:paraId="10AC5B72" w14:textId="0F51EB8D" w:rsidR="00EF6743" w:rsidRDefault="00EF6743" w:rsidP="00EF6743">
      <w:pPr>
        <w:pStyle w:val="Caption"/>
        <w:keepNext/>
      </w:pPr>
      <w:bookmarkStart w:id="14" w:name="_Toc142213891"/>
      <w:bookmarkStart w:id="15" w:name="_Toc145075281"/>
      <w:r>
        <w:t xml:space="preserve">Table </w:t>
      </w:r>
      <w:fldSimple w:instr=" SEQ Table \* ARABIC ">
        <w:r w:rsidR="001F43DD">
          <w:rPr>
            <w:noProof/>
          </w:rPr>
          <w:t>2</w:t>
        </w:r>
      </w:fldSimple>
      <w:r>
        <w:t>: ISO-2502</w:t>
      </w:r>
      <w:r w:rsidR="003B2C37">
        <w:t>2</w:t>
      </w:r>
      <w:r>
        <w:t xml:space="preserve"> Qualities </w:t>
      </w:r>
      <w:proofErr w:type="gramStart"/>
      <w:r>
        <w:t>In</w:t>
      </w:r>
      <w:proofErr w:type="gramEnd"/>
      <w:r>
        <w:t xml:space="preserve"> Use (HL)</w:t>
      </w:r>
      <w:bookmarkEnd w:id="14"/>
      <w:bookmarkEnd w:id="15"/>
    </w:p>
    <w:tbl>
      <w:tblPr>
        <w:tblStyle w:val="Invisible"/>
        <w:tblW w:w="0" w:type="auto"/>
        <w:tblLook w:val="04A0" w:firstRow="1" w:lastRow="0" w:firstColumn="1" w:lastColumn="0" w:noHBand="0" w:noVBand="1"/>
      </w:tblPr>
      <w:tblGrid>
        <w:gridCol w:w="9021"/>
      </w:tblGrid>
      <w:tr w:rsidR="00EF6743" w14:paraId="6371D04A" w14:textId="77777777" w:rsidTr="009E49C0">
        <w:tc>
          <w:tcPr>
            <w:tcW w:w="9628" w:type="dxa"/>
          </w:tcPr>
          <w:p w14:paraId="3F3CD172" w14:textId="77777777" w:rsidR="00EF6743" w:rsidRDefault="00EF6743" w:rsidP="004D21EE">
            <w:pPr>
              <w:pStyle w:val="Heading5"/>
            </w:pPr>
            <w:r>
              <w:t>Effectiveness</w:t>
            </w:r>
          </w:p>
          <w:p w14:paraId="5E650B60" w14:textId="487970CA" w:rsidR="001F22C7" w:rsidRDefault="00EF6743" w:rsidP="009E49C0">
            <w:pPr>
              <w:pStyle w:val="BodyText"/>
            </w:pPr>
            <w:r>
              <w:t xml:space="preserve">An iteratively improvable subjective metric of the system’s ability to improve the effectivity of a </w:t>
            </w:r>
            <w:proofErr w:type="gramStart"/>
            <w:r>
              <w:t>User</w:t>
            </w:r>
            <w:proofErr w:type="gramEnd"/>
            <w:r>
              <w:t xml:space="preserve"> operations. </w:t>
            </w:r>
            <w:r>
              <w:br/>
            </w:r>
            <w:r>
              <w:br/>
              <w:t>Contributors to this outcome may include</w:t>
            </w:r>
            <w:r w:rsidR="00B57315">
              <w:t>:</w:t>
            </w:r>
          </w:p>
          <w:p w14:paraId="0F8D8A34" w14:textId="77777777" w:rsidR="000E545D" w:rsidRDefault="000E545D" w:rsidP="000E545D">
            <w:pPr>
              <w:pStyle w:val="BodyText"/>
              <w:numPr>
                <w:ilvl w:val="3"/>
                <w:numId w:val="1"/>
              </w:numPr>
              <w:ind w:left="731" w:hanging="284"/>
            </w:pPr>
            <w:r>
              <w:t>Changes to system data effects change, directly (by messaging other systems of the changes), or indirectly, by producing a report that can be relied upon to make decisions.</w:t>
            </w:r>
          </w:p>
          <w:p w14:paraId="1B3BE2A0" w14:textId="298A1DA2" w:rsidR="00EF6743" w:rsidRDefault="000E545D" w:rsidP="000E545D">
            <w:pPr>
              <w:pStyle w:val="BodyText"/>
              <w:numPr>
                <w:ilvl w:val="3"/>
                <w:numId w:val="1"/>
              </w:numPr>
              <w:ind w:left="731" w:hanging="284"/>
            </w:pPr>
            <w:r>
              <w:t>A</w:t>
            </w:r>
            <w:r w:rsidR="00EF6743">
              <w:t xml:space="preserve">utomated workflows based on form inputs, that reduce workloads. </w:t>
            </w:r>
          </w:p>
        </w:tc>
      </w:tr>
      <w:tr w:rsidR="00EF6743" w14:paraId="65D8C920" w14:textId="77777777" w:rsidTr="009E49C0">
        <w:tc>
          <w:tcPr>
            <w:tcW w:w="9628" w:type="dxa"/>
          </w:tcPr>
          <w:p w14:paraId="2050A19E" w14:textId="77777777" w:rsidR="00EF6743" w:rsidRDefault="00EF6743" w:rsidP="004D21EE">
            <w:pPr>
              <w:pStyle w:val="Heading5"/>
            </w:pPr>
            <w:r>
              <w:t>Efficiency</w:t>
            </w:r>
          </w:p>
          <w:p w14:paraId="2C5FF453" w14:textId="409D50D5" w:rsidR="001F22C7" w:rsidRDefault="00EF6743" w:rsidP="009E49C0">
            <w:pPr>
              <w:pStyle w:val="BodyText"/>
            </w:pPr>
            <w:r>
              <w:t>An iteratively improvable subjective metric of the system’s ability to affect the efficiency by which a User can perform their tasks to completion.</w:t>
            </w:r>
            <w:r>
              <w:br/>
            </w:r>
            <w:r>
              <w:br/>
              <w:t xml:space="preserve">Contributors </w:t>
            </w:r>
            <w:r w:rsidR="001F22C7">
              <w:t>to this quality may include:</w:t>
            </w:r>
          </w:p>
          <w:p w14:paraId="5EC5008B" w14:textId="75FA3713" w:rsidR="001F22C7" w:rsidRDefault="001F22C7" w:rsidP="009E49C0">
            <w:pPr>
              <w:pStyle w:val="BodyText"/>
              <w:numPr>
                <w:ilvl w:val="3"/>
                <w:numId w:val="1"/>
              </w:numPr>
              <w:ind w:left="731"/>
            </w:pPr>
            <w:r>
              <w:t xml:space="preserve">the number of steps required to provide information or instructions, </w:t>
            </w:r>
          </w:p>
          <w:p w14:paraId="5054F21B" w14:textId="61684FC8" w:rsidR="00EF6743" w:rsidRDefault="001F22C7" w:rsidP="009E49C0">
            <w:pPr>
              <w:pStyle w:val="BodyText"/>
              <w:numPr>
                <w:ilvl w:val="3"/>
                <w:numId w:val="1"/>
              </w:numPr>
              <w:ind w:left="731"/>
            </w:pPr>
            <w:r>
              <w:t>t</w:t>
            </w:r>
            <w:r w:rsidR="00EF6743">
              <w:t xml:space="preserve">ime </w:t>
            </w:r>
            <w:r>
              <w:t xml:space="preserve">required </w:t>
            </w:r>
            <w:r w:rsidR="00EF6743">
              <w:t xml:space="preserve">to </w:t>
            </w:r>
            <w:r w:rsidR="00B57315">
              <w:t xml:space="preserve">return to user input readiness state </w:t>
            </w:r>
            <w:r>
              <w:t xml:space="preserve">(see </w:t>
            </w:r>
            <w:r w:rsidR="00EF6743">
              <w:t>ISO-25010/Usability</w:t>
            </w:r>
            <w:r>
              <w:t>)</w:t>
            </w:r>
            <w:r w:rsidR="00B57315">
              <w:t xml:space="preserve"> and time it took for the operations to complete (</w:t>
            </w:r>
            <w:r w:rsidR="00FC5081">
              <w:t>e.g.</w:t>
            </w:r>
            <w:r w:rsidR="00B57315">
              <w:t>: asynchronously).</w:t>
            </w:r>
          </w:p>
        </w:tc>
      </w:tr>
      <w:tr w:rsidR="00EF6743" w14:paraId="0485B835" w14:textId="77777777" w:rsidTr="009E49C0">
        <w:tc>
          <w:tcPr>
            <w:tcW w:w="9628" w:type="dxa"/>
          </w:tcPr>
          <w:p w14:paraId="48A8D03A" w14:textId="77777777" w:rsidR="00EF6743" w:rsidRDefault="00EF6743" w:rsidP="004D21EE">
            <w:pPr>
              <w:pStyle w:val="Heading5"/>
            </w:pPr>
            <w:r>
              <w:t>Satisfaction</w:t>
            </w:r>
          </w:p>
          <w:p w14:paraId="0F4927BA" w14:textId="77777777" w:rsidR="00EF6743" w:rsidRDefault="00EF6743" w:rsidP="009E49C0">
            <w:pPr>
              <w:pStyle w:val="BodyText"/>
            </w:pPr>
            <w:r>
              <w:t>An iteratively improvable subjective metric as to how much satisfaction a user derived from performing tasks with the system.</w:t>
            </w:r>
          </w:p>
        </w:tc>
      </w:tr>
      <w:tr w:rsidR="00EF6743" w14:paraId="0379ABB8" w14:textId="77777777" w:rsidTr="009E49C0">
        <w:tc>
          <w:tcPr>
            <w:tcW w:w="9628" w:type="dxa"/>
          </w:tcPr>
          <w:p w14:paraId="56CFB19A" w14:textId="77777777" w:rsidR="001F22C7" w:rsidRDefault="001F22C7" w:rsidP="001F22C7">
            <w:pPr>
              <w:pStyle w:val="BodyText"/>
            </w:pPr>
            <w:r>
              <w:t>Contributors to this quality may include:</w:t>
            </w:r>
          </w:p>
          <w:p w14:paraId="78DD3756" w14:textId="44514579" w:rsidR="001F22C7" w:rsidRDefault="000E545D" w:rsidP="001F22C7">
            <w:pPr>
              <w:pStyle w:val="BodyText"/>
              <w:numPr>
                <w:ilvl w:val="3"/>
                <w:numId w:val="1"/>
              </w:numPr>
              <w:ind w:left="731"/>
            </w:pPr>
            <w:r>
              <w:t xml:space="preserve">signalling that time spent affected </w:t>
            </w:r>
            <w:r w:rsidR="005D394F">
              <w:t xml:space="preserve">a desired </w:t>
            </w:r>
            <w:r>
              <w:t>change</w:t>
            </w:r>
            <w:r w:rsidR="005D394F">
              <w:t xml:space="preserve">. </w:t>
            </w:r>
            <w:r w:rsidR="005D394F">
              <w:br/>
              <w:t xml:space="preserve">By reporting completion of </w:t>
            </w:r>
            <w:r w:rsidR="004D21EE">
              <w:t>tasks and</w:t>
            </w:r>
            <w:r w:rsidR="005D394F">
              <w:t xml:space="preserve"> producing a means of viewing the change by graphs, charts, and/or reports. </w:t>
            </w:r>
          </w:p>
          <w:p w14:paraId="18F86E1F" w14:textId="77777777" w:rsidR="00EF6743" w:rsidRDefault="00EF6743" w:rsidP="004D21EE">
            <w:pPr>
              <w:pStyle w:val="Heading5"/>
            </w:pPr>
            <w:r>
              <w:t>Safety</w:t>
            </w:r>
          </w:p>
          <w:p w14:paraId="0DA55CD4" w14:textId="77777777" w:rsidR="00EF6743" w:rsidRDefault="00EF6743" w:rsidP="009E49C0">
            <w:pPr>
              <w:pStyle w:val="BodyText"/>
            </w:pPr>
            <w:r>
              <w:lastRenderedPageBreak/>
              <w:t>An iteratively improvable subjective metric as to how safe a User feels operating the system (e.g.: doesn’t expect it to lose data, or if an error is done, that it’s not unrecoverable, or that it sends out notifications to the wrong person).</w:t>
            </w:r>
          </w:p>
          <w:p w14:paraId="158CFB2D" w14:textId="77777777" w:rsidR="001F22C7" w:rsidRDefault="001F22C7" w:rsidP="001F22C7">
            <w:pPr>
              <w:pStyle w:val="BodyText"/>
            </w:pPr>
            <w:r>
              <w:t>Contributors to this quality may include:</w:t>
            </w:r>
          </w:p>
          <w:p w14:paraId="3C4FEA6B" w14:textId="1A82CCDD" w:rsidR="00B57315" w:rsidRDefault="00B57315" w:rsidP="001F22C7">
            <w:pPr>
              <w:pStyle w:val="BodyText"/>
              <w:numPr>
                <w:ilvl w:val="3"/>
                <w:numId w:val="1"/>
              </w:numPr>
              <w:ind w:left="731"/>
            </w:pPr>
            <w:r>
              <w:t xml:space="preserve">having a means to </w:t>
            </w:r>
            <w:r w:rsidR="00EF6743">
              <w:t xml:space="preserve">inform users of tracking, data usage and </w:t>
            </w:r>
            <w:r>
              <w:t xml:space="preserve">storage </w:t>
            </w:r>
            <w:r w:rsidR="00EF6743">
              <w:t xml:space="preserve">purpose and policies etc. </w:t>
            </w:r>
          </w:p>
          <w:p w14:paraId="26F9EED0" w14:textId="466A6832" w:rsidR="000E545D" w:rsidRDefault="000E545D" w:rsidP="001F22C7">
            <w:pPr>
              <w:pStyle w:val="BodyText"/>
              <w:numPr>
                <w:ilvl w:val="3"/>
                <w:numId w:val="1"/>
              </w:numPr>
              <w:ind w:left="731"/>
            </w:pPr>
            <w:r>
              <w:t>having the means to signal poor value data, poor value behaviour, poor value outcomes, with an understanding of what will happen next, potentially describing clearly who, how, how long investigation and potential resolution should take.</w:t>
            </w:r>
          </w:p>
          <w:p w14:paraId="1BE6E205" w14:textId="03EB5242" w:rsidR="00EF6743" w:rsidRDefault="00EF6743" w:rsidP="00B57315">
            <w:pPr>
              <w:pStyle w:val="Note"/>
            </w:pPr>
            <w:r>
              <w:t>Note</w:t>
            </w:r>
            <w:r w:rsidR="00B57315">
              <w:t>:</w:t>
            </w:r>
            <w:r w:rsidR="00B57315">
              <w:br/>
            </w:r>
            <w:r>
              <w:t>Safety is not the same as Security.</w:t>
            </w:r>
          </w:p>
        </w:tc>
      </w:tr>
      <w:tr w:rsidR="00EF6743" w14:paraId="11C7C877" w14:textId="77777777" w:rsidTr="009E49C0">
        <w:tc>
          <w:tcPr>
            <w:tcW w:w="9628" w:type="dxa"/>
          </w:tcPr>
          <w:p w14:paraId="6DBD5369" w14:textId="77777777" w:rsidR="00EF6743" w:rsidRDefault="00EF6743" w:rsidP="004D21EE">
            <w:pPr>
              <w:pStyle w:val="Heading5"/>
            </w:pPr>
            <w:r>
              <w:lastRenderedPageBreak/>
              <w:t>Context Comprehensive</w:t>
            </w:r>
          </w:p>
          <w:p w14:paraId="6E6DC549" w14:textId="77777777" w:rsidR="00B57315" w:rsidRDefault="00EF6743" w:rsidP="00B57315">
            <w:pPr>
              <w:pStyle w:val="BodyText"/>
            </w:pPr>
            <w:r>
              <w:t xml:space="preserve">An iteratively improvable subjective metric as to the comprehensiveness of the service offered by a system. </w:t>
            </w:r>
            <w:r>
              <w:br/>
            </w:r>
            <w:r>
              <w:br/>
            </w:r>
            <w:r w:rsidR="00B57315">
              <w:t>Contributors to this quality may include:</w:t>
            </w:r>
          </w:p>
          <w:p w14:paraId="507577CF" w14:textId="77777777" w:rsidR="00B57315" w:rsidRDefault="00EF6743" w:rsidP="00B57315">
            <w:pPr>
              <w:pStyle w:val="BodyText"/>
              <w:numPr>
                <w:ilvl w:val="3"/>
                <w:numId w:val="1"/>
              </w:numPr>
              <w:ind w:left="731" w:hanging="425"/>
            </w:pPr>
            <w:r>
              <w:t xml:space="preserve">ISO-25010/Functionality/Completeness metric, </w:t>
            </w:r>
          </w:p>
          <w:p w14:paraId="1335CB5F" w14:textId="15208269" w:rsidR="00EF6743" w:rsidRDefault="00B57315" w:rsidP="00B57315">
            <w:pPr>
              <w:pStyle w:val="BodyText"/>
              <w:numPr>
                <w:ilvl w:val="3"/>
                <w:numId w:val="1"/>
              </w:numPr>
              <w:ind w:left="731" w:hanging="425"/>
            </w:pPr>
            <w:r>
              <w:t xml:space="preserve">And/or </w:t>
            </w:r>
            <w:r w:rsidR="00EF6743">
              <w:t>reflecting the number of items in the backlog for certain domains of functionality</w:t>
            </w:r>
            <w:r>
              <w:t>,</w:t>
            </w:r>
          </w:p>
        </w:tc>
      </w:tr>
    </w:tbl>
    <w:p w14:paraId="27AAD37C" w14:textId="774CD1FD" w:rsidR="00EF6743" w:rsidRPr="00AE074B" w:rsidRDefault="00EF6743" w:rsidP="00EF6743">
      <w:pPr>
        <w:pStyle w:val="BodyText"/>
        <w:rPr>
          <w:rStyle w:val="Emphasis"/>
          <w:i w:val="0"/>
        </w:rPr>
      </w:pPr>
    </w:p>
    <w:p w14:paraId="5F7FFFB5" w14:textId="77777777" w:rsidR="00EF6743" w:rsidRDefault="00EF6743" w:rsidP="00EF6743">
      <w:pPr>
        <w:pStyle w:val="Heading2"/>
        <w:numPr>
          <w:ilvl w:val="1"/>
          <w:numId w:val="4"/>
        </w:numPr>
      </w:pPr>
      <w:bookmarkStart w:id="16" w:name="_Toc142210307"/>
      <w:bookmarkStart w:id="17" w:name="_Toc145065863"/>
      <w:r>
        <w:t>System Information Quality Expectations</w:t>
      </w:r>
      <w:bookmarkEnd w:id="16"/>
      <w:bookmarkEnd w:id="17"/>
    </w:p>
    <w:p w14:paraId="4C819D6B" w14:textId="23815B98" w:rsidR="00EF6743" w:rsidRDefault="00EF6743" w:rsidP="00EF6743">
      <w:pPr>
        <w:pStyle w:val="BodyText"/>
      </w:pPr>
      <w:r>
        <w:t>ISO-25012 defines the Qualities expected by end users of the Information made available via the Service.</w:t>
      </w:r>
    </w:p>
    <w:p w14:paraId="34D92995" w14:textId="77777777" w:rsidR="00CF33B9" w:rsidRDefault="00CF33B9" w:rsidP="00EF6743">
      <w:pPr>
        <w:pStyle w:val="BodyText"/>
      </w:pPr>
      <w:r>
        <w:t xml:space="preserve">ISO-25012 is notable in that it covers both the qualities of data itself, and the qualities of the system on which these data qualities rely upon. </w:t>
      </w:r>
    </w:p>
    <w:p w14:paraId="34A39888" w14:textId="21FD56C7" w:rsidR="00CF33B9" w:rsidRDefault="00CF33B9" w:rsidP="00CF33B9">
      <w:pPr>
        <w:pStyle w:val="Note"/>
      </w:pPr>
      <w:r>
        <w:t xml:space="preserve">Note: </w:t>
      </w:r>
      <w:r>
        <w:br/>
        <w:t xml:space="preserve">the system qualities in ISO-25012 are ones that are </w:t>
      </w:r>
      <w:r w:rsidRPr="00CF33B9">
        <w:rPr>
          <w:iCs/>
        </w:rPr>
        <w:t>also</w:t>
      </w:r>
      <w:r>
        <w:t xml:space="preserve"> included within ISO-25010 (System Qualities), described next.</w:t>
      </w:r>
    </w:p>
    <w:p w14:paraId="2380E378" w14:textId="77777777" w:rsidR="00EF6743" w:rsidRPr="005425FF" w:rsidRDefault="00EF6743" w:rsidP="00EF6743">
      <w:pPr>
        <w:pStyle w:val="BodyText"/>
      </w:pPr>
    </w:p>
    <w:p w14:paraId="22A34504" w14:textId="77777777" w:rsidR="00EF6743" w:rsidRDefault="00EF6743" w:rsidP="00EF6743">
      <w:pPr>
        <w:pStyle w:val="BodyText"/>
        <w:keepNext/>
        <w:jc w:val="center"/>
      </w:pPr>
      <w:r>
        <w:rPr>
          <w:noProof/>
        </w:rPr>
        <w:lastRenderedPageBreak/>
        <w:drawing>
          <wp:inline distT="0" distB="0" distL="0" distR="0" wp14:anchorId="2896CE43" wp14:editId="3C73ACEB">
            <wp:extent cx="53435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495550"/>
                    </a:xfrm>
                    <a:prstGeom prst="rect">
                      <a:avLst/>
                    </a:prstGeom>
                    <a:noFill/>
                    <a:ln>
                      <a:noFill/>
                    </a:ln>
                  </pic:spPr>
                </pic:pic>
              </a:graphicData>
            </a:graphic>
          </wp:inline>
        </w:drawing>
      </w:r>
    </w:p>
    <w:p w14:paraId="6C9B7CCC" w14:textId="77777777" w:rsidR="00EF6743" w:rsidRPr="005C0FF3" w:rsidRDefault="00EF6743" w:rsidP="00EF6743">
      <w:pPr>
        <w:pStyle w:val="Caption"/>
        <w:jc w:val="center"/>
      </w:pPr>
      <w:bookmarkStart w:id="18" w:name="_Toc142213919"/>
      <w:bookmarkStart w:id="19" w:name="_Toc145067032"/>
      <w:r>
        <w:t xml:space="preserve">Figure </w:t>
      </w:r>
      <w:fldSimple w:instr=" SEQ Figure \* ARABIC ">
        <w:r>
          <w:rPr>
            <w:noProof/>
          </w:rPr>
          <w:t>25</w:t>
        </w:r>
      </w:fldSimple>
      <w:r>
        <w:t>: ISO-25012 System Information Qualities (HL)</w:t>
      </w:r>
      <w:bookmarkEnd w:id="18"/>
      <w:bookmarkEnd w:id="19"/>
    </w:p>
    <w:p w14:paraId="240F8FDA" w14:textId="408B3CE1" w:rsidR="00EF6743" w:rsidRDefault="00EF6743" w:rsidP="00EF6743">
      <w:pPr>
        <w:pStyle w:val="Caption"/>
        <w:keepNext/>
      </w:pPr>
      <w:bookmarkStart w:id="20" w:name="_Toc142213892"/>
      <w:bookmarkStart w:id="21" w:name="_Toc145075282"/>
      <w:r>
        <w:t xml:space="preserve">Table </w:t>
      </w:r>
      <w:fldSimple w:instr=" SEQ Table \* ARABIC ">
        <w:r w:rsidR="001F43DD">
          <w:rPr>
            <w:noProof/>
          </w:rPr>
          <w:t>3</w:t>
        </w:r>
      </w:fldSimple>
      <w:r>
        <w:t>: ISO-25012 System Information Qualities</w:t>
      </w:r>
      <w:bookmarkEnd w:id="20"/>
      <w:bookmarkEnd w:id="21"/>
    </w:p>
    <w:p w14:paraId="38AB5EB4" w14:textId="215CE680" w:rsidR="006A12CC" w:rsidRDefault="006A12CC" w:rsidP="006A12CC"/>
    <w:p w14:paraId="7B4E1566" w14:textId="77777777" w:rsidR="00D41D81" w:rsidRDefault="006A12CC" w:rsidP="005F3080">
      <w:pPr>
        <w:pStyle w:val="Heading3"/>
        <w:rPr>
          <w:b w:val="0"/>
          <w:bCs/>
          <w:i/>
          <w:iCs/>
        </w:rPr>
      </w:pPr>
      <w:bookmarkStart w:id="22" w:name="_Toc145065864"/>
      <w:r w:rsidRPr="005F3080">
        <w:t>Data Qualities</w:t>
      </w:r>
      <w:bookmarkEnd w:id="22"/>
    </w:p>
    <w:p w14:paraId="04037E71" w14:textId="3CB182A6" w:rsidR="006A12CC" w:rsidRPr="005F3080" w:rsidRDefault="008B783D" w:rsidP="00D41D81">
      <w:r>
        <w:t>The first set of qualities is specific to the Data itself:</w:t>
      </w:r>
      <w:r w:rsidR="005F3080">
        <w:br/>
      </w:r>
    </w:p>
    <w:tbl>
      <w:tblPr>
        <w:tblStyle w:val="TableGridLight"/>
        <w:tblW w:w="0" w:type="auto"/>
        <w:tblLook w:val="04A0" w:firstRow="1" w:lastRow="0" w:firstColumn="1" w:lastColumn="0" w:noHBand="0" w:noVBand="1"/>
      </w:tblPr>
      <w:tblGrid>
        <w:gridCol w:w="9016"/>
      </w:tblGrid>
      <w:tr w:rsidR="00EF6743" w14:paraId="5A1E2FCF" w14:textId="77777777" w:rsidTr="006A12CC">
        <w:tc>
          <w:tcPr>
            <w:tcW w:w="9016" w:type="dxa"/>
          </w:tcPr>
          <w:p w14:paraId="040E6DD9" w14:textId="77777777" w:rsidR="00EF6743" w:rsidRDefault="00EF6743" w:rsidP="004D21EE">
            <w:pPr>
              <w:pStyle w:val="Heading5"/>
            </w:pPr>
            <w:r>
              <w:t>Accuracy</w:t>
            </w:r>
          </w:p>
          <w:p w14:paraId="232FBBB5" w14:textId="77777777" w:rsidR="003B2C37" w:rsidRDefault="00EF6743" w:rsidP="009E49C0">
            <w:pPr>
              <w:pStyle w:val="BodyText"/>
            </w:pPr>
            <w:r>
              <w:t>A metric as to the accuracy of the data, improvable by validation &amp; automated correction.</w:t>
            </w:r>
          </w:p>
          <w:p w14:paraId="1212742D" w14:textId="500B20B1" w:rsidR="003B2C37" w:rsidRDefault="003B2C37" w:rsidP="009E49C0">
            <w:pPr>
              <w:pStyle w:val="BodyText"/>
            </w:pPr>
            <w:r>
              <w:t>Contributors to this quality may include:</w:t>
            </w:r>
          </w:p>
          <w:p w14:paraId="0B70BAAA" w14:textId="4154722F" w:rsidR="003B2C37" w:rsidRDefault="00FC5081" w:rsidP="003B2C37">
            <w:pPr>
              <w:pStyle w:val="BodyText"/>
              <w:numPr>
                <w:ilvl w:val="3"/>
                <w:numId w:val="1"/>
              </w:numPr>
              <w:ind w:left="731" w:hanging="425"/>
            </w:pPr>
            <w:r>
              <w:t>t</w:t>
            </w:r>
            <w:r w:rsidR="003B2C37">
              <w:t xml:space="preserve">he </w:t>
            </w:r>
            <w:r>
              <w:t>A</w:t>
            </w:r>
            <w:r w:rsidR="003B2C37">
              <w:t>vailability of a system, which in turn does not delay service clients from sending updated information regularly, potentially often, potentially in multiple operations,</w:t>
            </w:r>
          </w:p>
          <w:p w14:paraId="5C6A9555" w14:textId="49524AF6" w:rsidR="003B2C37" w:rsidRDefault="003B2C37" w:rsidP="003B2C37">
            <w:pPr>
              <w:pStyle w:val="BodyText"/>
              <w:numPr>
                <w:ilvl w:val="3"/>
                <w:numId w:val="1"/>
              </w:numPr>
              <w:ind w:left="731" w:hanging="425"/>
            </w:pPr>
            <w:r>
              <w:t>The availability of authenticated APIs API for service clients to send updated information</w:t>
            </w:r>
            <w:r w:rsidR="00FC5081">
              <w:t xml:space="preserve"> without requiring an end user to use screens</w:t>
            </w:r>
            <w:r>
              <w:t>,</w:t>
            </w:r>
          </w:p>
          <w:p w14:paraId="09DBC96C" w14:textId="63DE0760" w:rsidR="003B2C37" w:rsidRDefault="003B2C37" w:rsidP="003B2C37">
            <w:pPr>
              <w:pStyle w:val="BodyText"/>
              <w:numPr>
                <w:ilvl w:val="3"/>
                <w:numId w:val="1"/>
              </w:numPr>
              <w:ind w:left="731" w:hanging="425"/>
            </w:pPr>
            <w:r>
              <w:t>The auditing of changes, and values provided, linkable to source, to contact systems that provide non-accurate information, and request they improve their data.</w:t>
            </w:r>
          </w:p>
          <w:p w14:paraId="24EBC2CD" w14:textId="62B82206" w:rsidR="00B368E0" w:rsidRDefault="00FC5081" w:rsidP="00B368E0">
            <w:pPr>
              <w:pStyle w:val="BodyText"/>
              <w:numPr>
                <w:ilvl w:val="3"/>
                <w:numId w:val="1"/>
              </w:numPr>
              <w:ind w:left="731" w:hanging="425"/>
            </w:pPr>
            <w:r>
              <w:t xml:space="preserve">Defining an </w:t>
            </w:r>
            <w:r w:rsidR="003B2C37">
              <w:t xml:space="preserve">expected frequency of updates which </w:t>
            </w:r>
            <w:r>
              <w:t>in</w:t>
            </w:r>
            <w:r w:rsidR="003B2C37">
              <w:t xml:space="preserve"> turn improves the currency of the data.</w:t>
            </w:r>
          </w:p>
          <w:p w14:paraId="198F42E1" w14:textId="4A835117" w:rsidR="00B368E0" w:rsidRDefault="00B368E0" w:rsidP="00B368E0">
            <w:pPr>
              <w:pStyle w:val="BodyText"/>
              <w:numPr>
                <w:ilvl w:val="3"/>
                <w:numId w:val="1"/>
              </w:numPr>
              <w:ind w:left="731" w:hanging="425"/>
            </w:pPr>
            <w:r>
              <w:t>Consider</w:t>
            </w:r>
            <w:r w:rsidR="00FC5081">
              <w:t>ing</w:t>
            </w:r>
            <w:r>
              <w:t xml:space="preserve"> restricting information input to trusted credible sources</w:t>
            </w:r>
            <w:r w:rsidR="00CD2F35">
              <w:t>,</w:t>
            </w:r>
          </w:p>
          <w:p w14:paraId="518C79C6" w14:textId="2ACABB25" w:rsidR="00FC5081" w:rsidRDefault="00FC5081" w:rsidP="00FC5081">
            <w:pPr>
              <w:pStyle w:val="BodyText"/>
              <w:numPr>
                <w:ilvl w:val="3"/>
                <w:numId w:val="1"/>
              </w:numPr>
              <w:ind w:left="731" w:hanging="425"/>
            </w:pPr>
            <w:r>
              <w:t>The validating submitted info against authoritative sources</w:t>
            </w:r>
            <w:r w:rsidR="00CD2F35">
              <w:t>.</w:t>
            </w:r>
          </w:p>
          <w:p w14:paraId="3898D488" w14:textId="03637514" w:rsidR="00EF6743" w:rsidRDefault="00EF6743" w:rsidP="00B368E0">
            <w:pPr>
              <w:pStyle w:val="BodyText"/>
            </w:pPr>
            <w:r>
              <w:lastRenderedPageBreak/>
              <w:t>The system managed data is expected to be Current, therefore Accurate to a Usable level, appropriate for making Decisions that can be used to improve learner outcomes.</w:t>
            </w:r>
          </w:p>
        </w:tc>
      </w:tr>
      <w:tr w:rsidR="00EF6743" w14:paraId="27B22610" w14:textId="77777777" w:rsidTr="006A12CC">
        <w:tc>
          <w:tcPr>
            <w:tcW w:w="9016" w:type="dxa"/>
          </w:tcPr>
          <w:p w14:paraId="531D0033" w14:textId="77777777" w:rsidR="00EF6743" w:rsidRDefault="00EF6743" w:rsidP="004D21EE">
            <w:pPr>
              <w:pStyle w:val="Heading5"/>
            </w:pPr>
            <w:r>
              <w:lastRenderedPageBreak/>
              <w:t>Completeness</w:t>
            </w:r>
          </w:p>
          <w:p w14:paraId="103924F7" w14:textId="2F781F97" w:rsidR="003B2C37" w:rsidRDefault="00EF6743" w:rsidP="009E49C0">
            <w:pPr>
              <w:pStyle w:val="BodyText"/>
            </w:pPr>
            <w:r>
              <w:t>A metric as to the completeness of the data, improvable by auto completion, validation, workflow design, etc.</w:t>
            </w:r>
          </w:p>
          <w:p w14:paraId="2AEFC791" w14:textId="77777777" w:rsidR="003B2C37" w:rsidRDefault="003B2C37" w:rsidP="003B2C37">
            <w:pPr>
              <w:pStyle w:val="BodyText"/>
            </w:pPr>
            <w:r>
              <w:t>Contributors to this quality may include:</w:t>
            </w:r>
          </w:p>
          <w:p w14:paraId="207D28B7" w14:textId="236C897D" w:rsidR="00BB2644" w:rsidRDefault="003B2C37" w:rsidP="009E49C0">
            <w:pPr>
              <w:pStyle w:val="BodyText"/>
              <w:numPr>
                <w:ilvl w:val="3"/>
                <w:numId w:val="1"/>
              </w:numPr>
              <w:ind w:left="731" w:hanging="425"/>
            </w:pPr>
            <w:r>
              <w:t>The breadth of data the system manages,</w:t>
            </w:r>
            <w:r w:rsidR="00BB2644">
              <w:t xml:space="preserve"> by developing a target list of data types of interest, and managing the completion of the functionality to store, validate and manage them,</w:t>
            </w:r>
          </w:p>
          <w:p w14:paraId="566683BC" w14:textId="5185966F" w:rsidR="00BB2644" w:rsidRDefault="00BB2644" w:rsidP="00BB2644">
            <w:pPr>
              <w:pStyle w:val="BodyText"/>
              <w:numPr>
                <w:ilvl w:val="3"/>
                <w:numId w:val="1"/>
              </w:numPr>
              <w:ind w:left="731" w:hanging="425"/>
            </w:pPr>
            <w:r>
              <w:t>The depth of the data the system manages, by listing what</w:t>
            </w:r>
            <w:r w:rsidR="003B2C37">
              <w:t xml:space="preserve"> metadata</w:t>
            </w:r>
            <w:r>
              <w:t xml:space="preserve"> (author, when, datatype, source filename, etc.)</w:t>
            </w:r>
            <w:r w:rsidR="003B2C37">
              <w:t xml:space="preserve">, categorisation </w:t>
            </w:r>
            <w:r>
              <w:t xml:space="preserve">(tags/folders) </w:t>
            </w:r>
            <w:r w:rsidR="003B2C37">
              <w:t xml:space="preserve">and linkages </w:t>
            </w:r>
            <w:r>
              <w:t xml:space="preserve">(relationships, sequencing, etc.) </w:t>
            </w:r>
            <w:r w:rsidR="003B2C37">
              <w:t>in between the elements</w:t>
            </w:r>
            <w:r>
              <w:t xml:space="preserve"> to store, validate and manage,</w:t>
            </w:r>
          </w:p>
          <w:p w14:paraId="1A9D82DD" w14:textId="54BF9FE9" w:rsidR="00EF6743" w:rsidRPr="00BB2644" w:rsidRDefault="00EF6743" w:rsidP="00BB2644">
            <w:pPr>
              <w:pStyle w:val="BodyText"/>
              <w:numPr>
                <w:ilvl w:val="3"/>
                <w:numId w:val="1"/>
              </w:numPr>
              <w:ind w:left="731" w:hanging="425"/>
              <w:rPr>
                <w:i/>
                <w:iCs/>
              </w:rPr>
            </w:pPr>
            <w:r w:rsidRPr="00BB2644">
              <w:rPr>
                <w:i/>
                <w:iCs/>
              </w:rPr>
              <w:t xml:space="preserve">The system’s purpose and therefore data regarding all providers in NZ, learners, their associated longitudinal </w:t>
            </w:r>
            <w:proofErr w:type="gramStart"/>
            <w:r w:rsidRPr="00BB2644">
              <w:rPr>
                <w:i/>
                <w:iCs/>
              </w:rPr>
              <w:t>data</w:t>
            </w:r>
            <w:proofErr w:type="gramEnd"/>
            <w:r w:rsidRPr="00BB2644">
              <w:rPr>
                <w:i/>
                <w:iCs/>
              </w:rPr>
              <w:t xml:space="preserve"> and their current enrolments is expected to be complete over time. </w:t>
            </w:r>
          </w:p>
        </w:tc>
      </w:tr>
      <w:tr w:rsidR="00EF6743" w14:paraId="1132C595" w14:textId="77777777" w:rsidTr="006A12CC">
        <w:tc>
          <w:tcPr>
            <w:tcW w:w="9016" w:type="dxa"/>
          </w:tcPr>
          <w:p w14:paraId="786AFC1D" w14:textId="77777777" w:rsidR="00EF6743" w:rsidRDefault="00EF6743" w:rsidP="004D21EE">
            <w:pPr>
              <w:pStyle w:val="Heading5"/>
            </w:pPr>
            <w:r>
              <w:t>Consistency</w:t>
            </w:r>
          </w:p>
          <w:p w14:paraId="3C82D938" w14:textId="2005BF25" w:rsidR="000156FA" w:rsidRDefault="003B2C37" w:rsidP="009E49C0">
            <w:pPr>
              <w:pStyle w:val="BodyText"/>
            </w:pPr>
            <w:r>
              <w:t>A metric to the consistency of data across multiple services, including service consume</w:t>
            </w:r>
            <w:r w:rsidR="000156FA">
              <w:t>rs</w:t>
            </w:r>
            <w:r>
              <w:t>.</w:t>
            </w:r>
          </w:p>
          <w:p w14:paraId="1782BB05" w14:textId="7069BEC1" w:rsidR="00BB2644" w:rsidRDefault="00BB2644" w:rsidP="009E49C0">
            <w:pPr>
              <w:pStyle w:val="BodyText"/>
            </w:pPr>
            <w:r>
              <w:t>Contributors to this quality may include:</w:t>
            </w:r>
          </w:p>
          <w:p w14:paraId="4A8F1CC2" w14:textId="4716813F" w:rsidR="00BB2644" w:rsidRDefault="00BB2644" w:rsidP="000156FA">
            <w:pPr>
              <w:pStyle w:val="BodyText"/>
              <w:numPr>
                <w:ilvl w:val="3"/>
                <w:numId w:val="1"/>
              </w:numPr>
              <w:ind w:left="873" w:hanging="567"/>
            </w:pPr>
            <w:r>
              <w:t>The validation of data against known rules and/or systems of record known data,</w:t>
            </w:r>
          </w:p>
          <w:p w14:paraId="651DBB6D" w14:textId="2B2431B0" w:rsidR="00BB2644" w:rsidRDefault="00BB2644" w:rsidP="000156FA">
            <w:pPr>
              <w:pStyle w:val="BodyText"/>
              <w:numPr>
                <w:ilvl w:val="3"/>
                <w:numId w:val="1"/>
              </w:numPr>
              <w:ind w:left="873" w:hanging="567"/>
            </w:pPr>
            <w:r>
              <w:t>The auditing of change,</w:t>
            </w:r>
          </w:p>
          <w:p w14:paraId="7C924408" w14:textId="0C874D24" w:rsidR="000E545D" w:rsidRDefault="000156FA" w:rsidP="000156FA">
            <w:pPr>
              <w:pStyle w:val="BodyText"/>
              <w:numPr>
                <w:ilvl w:val="3"/>
                <w:numId w:val="1"/>
              </w:numPr>
              <w:ind w:left="873" w:hanging="567"/>
            </w:pPr>
            <w:r>
              <w:t xml:space="preserve">The </w:t>
            </w:r>
            <w:r w:rsidR="00BB2644">
              <w:t xml:space="preserve">potential </w:t>
            </w:r>
            <w:r>
              <w:t xml:space="preserve">tracking of multiple ids per data item, permitting </w:t>
            </w:r>
            <w:r w:rsidR="00BB2644">
              <w:t xml:space="preserve">the asynchronous </w:t>
            </w:r>
            <w:r>
              <w:t xml:space="preserve">signalling back to source </w:t>
            </w:r>
            <w:r w:rsidR="00BB2644">
              <w:t>system of inconsistencies</w:t>
            </w:r>
            <w:r w:rsidR="005D394F">
              <w:t>.</w:t>
            </w:r>
          </w:p>
          <w:p w14:paraId="6879AB93" w14:textId="57B2AC8B" w:rsidR="003B2C37" w:rsidRPr="00BB2644" w:rsidRDefault="003B2C37" w:rsidP="000156FA">
            <w:pPr>
              <w:pStyle w:val="BodyText"/>
              <w:rPr>
                <w:i/>
                <w:iCs/>
              </w:rPr>
            </w:pPr>
            <w:r>
              <w:br/>
            </w:r>
            <w:r w:rsidR="00EF6743" w:rsidRPr="00BB2644">
              <w:rPr>
                <w:i/>
                <w:iCs/>
              </w:rPr>
              <w:t xml:space="preserve">The data in the system is update by and therefore consistent with Education Sector Registries. </w:t>
            </w:r>
          </w:p>
          <w:p w14:paraId="3B56EF9A" w14:textId="3AF1C75A" w:rsidR="00EF6743" w:rsidRDefault="00EF6743" w:rsidP="009E49C0">
            <w:pPr>
              <w:pStyle w:val="BodyText"/>
            </w:pPr>
            <w:r w:rsidRPr="00BB2644">
              <w:rPr>
                <w:i/>
                <w:iCs/>
              </w:rPr>
              <w:t>Further data integrations from Education Providers are compared with this baseline before accepting further updates.</w:t>
            </w:r>
          </w:p>
        </w:tc>
      </w:tr>
      <w:tr w:rsidR="00EF6743" w14:paraId="77871480" w14:textId="77777777" w:rsidTr="006A12CC">
        <w:tc>
          <w:tcPr>
            <w:tcW w:w="9016" w:type="dxa"/>
          </w:tcPr>
          <w:p w14:paraId="63D2A86A" w14:textId="77777777" w:rsidR="00EF6743" w:rsidRDefault="00EF6743" w:rsidP="004D21EE">
            <w:pPr>
              <w:pStyle w:val="Heading5"/>
            </w:pPr>
            <w:r>
              <w:t>Credibility</w:t>
            </w:r>
          </w:p>
          <w:p w14:paraId="3DC8DC92" w14:textId="2692F6BE" w:rsidR="003B2C37" w:rsidRDefault="00EF6743" w:rsidP="009E49C0">
            <w:pPr>
              <w:pStyle w:val="BodyText"/>
            </w:pPr>
            <w:r>
              <w:t xml:space="preserve">A subjective metric as to the credibility of the source of the data. Improvable by authentication, the transparency of auditing, and integration sources chosen. </w:t>
            </w:r>
          </w:p>
          <w:p w14:paraId="06C2DD18" w14:textId="77777777" w:rsidR="00BB2644" w:rsidRDefault="00BB2644" w:rsidP="00BB2644">
            <w:pPr>
              <w:pStyle w:val="BodyText"/>
            </w:pPr>
            <w:r>
              <w:lastRenderedPageBreak/>
              <w:t>Contributors to this quality may include:</w:t>
            </w:r>
          </w:p>
          <w:p w14:paraId="7CA8A5D3" w14:textId="4BB06E46" w:rsidR="00BB2644" w:rsidRDefault="00BB2644" w:rsidP="00BB2644">
            <w:pPr>
              <w:pStyle w:val="BodyText"/>
              <w:numPr>
                <w:ilvl w:val="3"/>
                <w:numId w:val="1"/>
              </w:numPr>
              <w:ind w:left="873" w:hanging="567"/>
            </w:pPr>
            <w:r>
              <w:t xml:space="preserve">The use of the domain names that start with the </w:t>
            </w:r>
            <w:r w:rsidR="00CD2F35">
              <w:t>top-level</w:t>
            </w:r>
            <w:r>
              <w:t xml:space="preserve"> domain of the organisation (</w:t>
            </w:r>
            <w:r w:rsidR="00CF33B9">
              <w:t>e.g.</w:t>
            </w:r>
            <w:r>
              <w:t xml:space="preserve">: </w:t>
            </w:r>
            <w:proofErr w:type="spellStart"/>
            <w:r w:rsidRPr="00BB2644">
              <w:rPr>
                <w:i/>
                <w:iCs/>
              </w:rPr>
              <w:t>myservice.myorg.tld</w:t>
            </w:r>
            <w:proofErr w:type="spellEnd"/>
            <w:r>
              <w:t>),</w:t>
            </w:r>
          </w:p>
          <w:p w14:paraId="1E700F74" w14:textId="7CF52109" w:rsidR="00167DE1" w:rsidRDefault="00167DE1" w:rsidP="00BB2644">
            <w:pPr>
              <w:pStyle w:val="BodyText"/>
              <w:numPr>
                <w:ilvl w:val="3"/>
                <w:numId w:val="1"/>
              </w:numPr>
              <w:ind w:left="873" w:hanging="567"/>
            </w:pPr>
            <w:r>
              <w:t>The use of organisation logos and recognisable media,</w:t>
            </w:r>
          </w:p>
          <w:p w14:paraId="777AE9A8" w14:textId="6337A0A6" w:rsidR="00BB2644" w:rsidRDefault="00BB2644" w:rsidP="00BB2644">
            <w:pPr>
              <w:pStyle w:val="BodyText"/>
              <w:numPr>
                <w:ilvl w:val="3"/>
                <w:numId w:val="1"/>
              </w:numPr>
              <w:ind w:left="873" w:hanging="567"/>
            </w:pPr>
            <w:r>
              <w:t>The sending of notifications from an email system/other that can be associated to the organisation (</w:t>
            </w:r>
            <w:r w:rsidR="00CF33B9">
              <w:t>e.g.</w:t>
            </w:r>
            <w:r>
              <w:t xml:space="preserve">: </w:t>
            </w:r>
            <w:proofErr w:type="spellStart"/>
            <w:r w:rsidRPr="00BB2644">
              <w:rPr>
                <w:i/>
                <w:iCs/>
              </w:rPr>
              <w:t>notifications.myorg.tld</w:t>
            </w:r>
            <w:proofErr w:type="spellEnd"/>
            <w:r>
              <w:t>)</w:t>
            </w:r>
            <w:r w:rsidR="009E16C3">
              <w:t>,</w:t>
            </w:r>
          </w:p>
          <w:p w14:paraId="073EE9B4" w14:textId="1ED16C62" w:rsidR="00167DE1" w:rsidRDefault="00167DE1" w:rsidP="00BB2644">
            <w:pPr>
              <w:pStyle w:val="BodyText"/>
              <w:numPr>
                <w:ilvl w:val="3"/>
                <w:numId w:val="1"/>
              </w:numPr>
              <w:ind w:left="873" w:hanging="567"/>
            </w:pPr>
            <w:r>
              <w:t>The system is hosted on infrastructure that is managed by the organisation</w:t>
            </w:r>
            <w:r w:rsidR="009E16C3">
              <w:t>,</w:t>
            </w:r>
          </w:p>
          <w:p w14:paraId="3EBB6276" w14:textId="29B8BF6F" w:rsidR="00167DE1" w:rsidRDefault="00167DE1" w:rsidP="00BB2644">
            <w:pPr>
              <w:pStyle w:val="BodyText"/>
              <w:numPr>
                <w:ilvl w:val="3"/>
                <w:numId w:val="1"/>
              </w:numPr>
              <w:ind w:left="873" w:hanging="567"/>
            </w:pPr>
            <w:r>
              <w:t>Etc.</w:t>
            </w:r>
          </w:p>
          <w:p w14:paraId="6F10ADA3" w14:textId="77777777" w:rsidR="00BB2644" w:rsidRDefault="00BB2644" w:rsidP="009E49C0">
            <w:pPr>
              <w:pStyle w:val="BodyText"/>
            </w:pPr>
          </w:p>
          <w:p w14:paraId="2393C8B2" w14:textId="323EB23C" w:rsidR="004D21EE" w:rsidRDefault="00EF6743" w:rsidP="009E49C0">
            <w:pPr>
              <w:pStyle w:val="BodyText"/>
            </w:pPr>
            <w:r>
              <w:t>The data is hosted on a system managed &amp; actively promoted by the Ministry of Education.</w:t>
            </w:r>
          </w:p>
        </w:tc>
      </w:tr>
    </w:tbl>
    <w:p w14:paraId="5F69576D" w14:textId="212E46EF" w:rsidR="006A12CC" w:rsidRDefault="004D21EE" w:rsidP="006A12CC">
      <w:pPr>
        <w:pStyle w:val="Heading3"/>
      </w:pPr>
      <w:bookmarkStart w:id="23" w:name="_Toc145065865"/>
      <w:bookmarkStart w:id="24" w:name="_Toc142210308"/>
      <w:r>
        <w:lastRenderedPageBreak/>
        <w:br/>
      </w:r>
      <w:r w:rsidR="006A12CC">
        <w:t>Data and System Qualities</w:t>
      </w:r>
      <w:bookmarkEnd w:id="23"/>
    </w:p>
    <w:p w14:paraId="6F7CD9DA" w14:textId="53CCC579" w:rsidR="006A12CC" w:rsidRDefault="006A12CC" w:rsidP="006A12CC">
      <w:pPr>
        <w:pStyle w:val="BodyText"/>
      </w:pPr>
      <w:r>
        <w:t xml:space="preserve">The above data qualities in turn rely on </w:t>
      </w:r>
      <w:r w:rsidR="008B783D">
        <w:t>qualities that are specific to how the data is made available by the system</w:t>
      </w:r>
      <w:r>
        <w:t>:</w:t>
      </w:r>
    </w:p>
    <w:tbl>
      <w:tblPr>
        <w:tblStyle w:val="Invisible"/>
        <w:tblW w:w="0" w:type="auto"/>
        <w:tblLook w:val="04A0" w:firstRow="1" w:lastRow="0" w:firstColumn="1" w:lastColumn="0" w:noHBand="0" w:noVBand="1"/>
      </w:tblPr>
      <w:tblGrid>
        <w:gridCol w:w="9021"/>
      </w:tblGrid>
      <w:tr w:rsidR="006A12CC" w14:paraId="50AB2760" w14:textId="77777777" w:rsidTr="009E49C0">
        <w:tc>
          <w:tcPr>
            <w:tcW w:w="9628" w:type="dxa"/>
          </w:tcPr>
          <w:p w14:paraId="351C5CB4" w14:textId="77777777" w:rsidR="006A12CC" w:rsidRDefault="006A12CC" w:rsidP="004D21EE">
            <w:pPr>
              <w:pStyle w:val="Heading5"/>
            </w:pPr>
            <w:proofErr w:type="spellStart"/>
            <w:r>
              <w:t>Currentness</w:t>
            </w:r>
            <w:proofErr w:type="spellEnd"/>
          </w:p>
          <w:p w14:paraId="1C1D4048" w14:textId="77777777" w:rsidR="006A12CC" w:rsidRDefault="006A12CC" w:rsidP="009E49C0">
            <w:pPr>
              <w:pStyle w:val="BodyText"/>
            </w:pPr>
            <w:r>
              <w:t>A metric as to the currency of the information.</w:t>
            </w:r>
            <w:r>
              <w:br/>
              <w:t xml:space="preserve">Improvable by rate of refreshment of data from authoritative sources, periodic prompting users to validate their information, etc. </w:t>
            </w:r>
          </w:p>
          <w:p w14:paraId="2937CA4C" w14:textId="77777777" w:rsidR="006A12CC" w:rsidRDefault="006A12CC" w:rsidP="009E49C0">
            <w:pPr>
              <w:pStyle w:val="BodyText"/>
            </w:pPr>
            <w:r>
              <w:t>Contributors to this quality may include:</w:t>
            </w:r>
          </w:p>
          <w:p w14:paraId="5C588BAA" w14:textId="77777777" w:rsidR="006A12CC" w:rsidRDefault="006A12CC" w:rsidP="009E49C0">
            <w:pPr>
              <w:pStyle w:val="BodyText"/>
              <w:numPr>
                <w:ilvl w:val="3"/>
                <w:numId w:val="1"/>
              </w:numPr>
              <w:ind w:left="873" w:hanging="567"/>
            </w:pPr>
            <w:r>
              <w:t xml:space="preserve">The system’s availability permitting both synchronous, asynchronous </w:t>
            </w:r>
            <w:proofErr w:type="gramStart"/>
            <w:r>
              <w:t>updates</w:t>
            </w:r>
            <w:proofErr w:type="gramEnd"/>
          </w:p>
          <w:p w14:paraId="4BF2F297" w14:textId="77777777" w:rsidR="006A12CC" w:rsidRDefault="006A12CC" w:rsidP="009E49C0">
            <w:pPr>
              <w:pStyle w:val="BodyText"/>
              <w:numPr>
                <w:ilvl w:val="3"/>
                <w:numId w:val="1"/>
              </w:numPr>
              <w:ind w:left="873" w:hanging="567"/>
            </w:pPr>
            <w:r>
              <w:t xml:space="preserve">Tracking updaters, </w:t>
            </w:r>
            <w:proofErr w:type="gramStart"/>
            <w:r>
              <w:t>so as to</w:t>
            </w:r>
            <w:proofErr w:type="gramEnd"/>
            <w:r>
              <w:t xml:space="preserve"> better report on the currency of data due to the data source.</w:t>
            </w:r>
          </w:p>
          <w:p w14:paraId="42517208" w14:textId="77777777" w:rsidR="006A12CC" w:rsidRDefault="006A12CC" w:rsidP="004D21EE">
            <w:pPr>
              <w:pStyle w:val="Heading5"/>
            </w:pPr>
            <w:r>
              <w:t>Accessibility</w:t>
            </w:r>
          </w:p>
          <w:p w14:paraId="49907B51" w14:textId="77777777" w:rsidR="006A12CC" w:rsidRDefault="006A12CC" w:rsidP="009E49C0">
            <w:pPr>
              <w:pStyle w:val="BodyText"/>
            </w:pPr>
            <w:r>
              <w:t xml:space="preserve">A metric as to the accessibility of the service’s information. </w:t>
            </w:r>
            <w:r>
              <w:br/>
              <w:t>Improvable by ensuring information is available via standards based accessible, multi-language, multi-cultural interfaces.</w:t>
            </w:r>
          </w:p>
          <w:p w14:paraId="46D7A72B" w14:textId="77777777" w:rsidR="006A12CC" w:rsidRDefault="006A12CC" w:rsidP="009E49C0">
            <w:pPr>
              <w:pStyle w:val="BodyText"/>
            </w:pPr>
            <w:r>
              <w:t>Contributors to this quality may include:</w:t>
            </w:r>
          </w:p>
          <w:p w14:paraId="5A35072B" w14:textId="77777777" w:rsidR="006A12CC" w:rsidRDefault="006A12CC" w:rsidP="009E49C0">
            <w:pPr>
              <w:pStyle w:val="BodyText"/>
              <w:numPr>
                <w:ilvl w:val="3"/>
                <w:numId w:val="1"/>
              </w:numPr>
              <w:ind w:left="873" w:hanging="567"/>
            </w:pPr>
            <w:r>
              <w:t>The system remains available by being hosted on dynamically &amp; horizontally scalable infrastructure,</w:t>
            </w:r>
          </w:p>
          <w:p w14:paraId="3F60E1B3" w14:textId="77777777" w:rsidR="006A12CC" w:rsidRDefault="006A12CC" w:rsidP="009E49C0">
            <w:pPr>
              <w:pStyle w:val="BodyText"/>
              <w:numPr>
                <w:ilvl w:val="3"/>
                <w:numId w:val="1"/>
              </w:numPr>
              <w:ind w:left="873" w:hanging="567"/>
            </w:pPr>
            <w:r w:rsidRPr="00167DE1">
              <w:lastRenderedPageBreak/>
              <w:t xml:space="preserve">The system </w:t>
            </w:r>
            <w:r>
              <w:t xml:space="preserve">media (screen text &amp; images) </w:t>
            </w:r>
            <w:r w:rsidRPr="00167DE1">
              <w:t xml:space="preserve">resources are managed separately to display, making it easier to </w:t>
            </w:r>
            <w:r>
              <w:t xml:space="preserve">have </w:t>
            </w:r>
            <w:r w:rsidRPr="00167DE1">
              <w:t>translat</w:t>
            </w:r>
            <w:r>
              <w:t>ed and accessible and rendered in culture and language-specific UI interfaces.</w:t>
            </w:r>
          </w:p>
          <w:p w14:paraId="02BF6B25" w14:textId="77777777" w:rsidR="006A12CC" w:rsidRDefault="006A12CC" w:rsidP="009E49C0">
            <w:pPr>
              <w:pStyle w:val="BodyText"/>
              <w:numPr>
                <w:ilvl w:val="3"/>
                <w:numId w:val="1"/>
              </w:numPr>
              <w:ind w:left="873" w:hanging="567"/>
            </w:pPr>
            <w:r>
              <w:t xml:space="preserve">User Profiles of some kind are used to store user preferences for the language in which to display resources – and optionally screen colour schemas, layout, etc. </w:t>
            </w:r>
          </w:p>
          <w:p w14:paraId="047E1920" w14:textId="77777777" w:rsidR="006A12CC" w:rsidRDefault="006A12CC" w:rsidP="009E49C0">
            <w:pPr>
              <w:pStyle w:val="BodyText"/>
              <w:numPr>
                <w:ilvl w:val="3"/>
                <w:numId w:val="1"/>
              </w:numPr>
              <w:ind w:left="873" w:hanging="567"/>
            </w:pPr>
            <w:r>
              <w:t xml:space="preserve">The user interfaces are regularly tested (preferably in an automated pipeline) for Web and Accessibility Standards. </w:t>
            </w:r>
          </w:p>
          <w:p w14:paraId="74969A52" w14:textId="77777777" w:rsidR="006A12CC" w:rsidRDefault="006A12CC" w:rsidP="009E49C0">
            <w:pPr>
              <w:pStyle w:val="Note"/>
            </w:pPr>
            <w:r>
              <w:t xml:space="preserve">Note: English based baseline system testing is a concern of CoreFour. Custom and/or Māori based interfaces should be decided whether CoreFour is an acceptable agent to act on behalf of this project, or whether additional independent QA testing is required by this project’s stakeholders. </w:t>
            </w:r>
          </w:p>
        </w:tc>
      </w:tr>
      <w:tr w:rsidR="006A12CC" w14:paraId="71333F80" w14:textId="77777777" w:rsidTr="009E49C0">
        <w:tc>
          <w:tcPr>
            <w:tcW w:w="9628" w:type="dxa"/>
          </w:tcPr>
          <w:p w14:paraId="511278A6" w14:textId="77777777" w:rsidR="006A12CC" w:rsidRDefault="006A12CC" w:rsidP="004D21EE">
            <w:pPr>
              <w:pStyle w:val="Heading5"/>
            </w:pPr>
            <w:r>
              <w:lastRenderedPageBreak/>
              <w:t>Compliance</w:t>
            </w:r>
          </w:p>
          <w:p w14:paraId="4CAB4BED" w14:textId="77777777" w:rsidR="006A12CC" w:rsidRDefault="006A12CC" w:rsidP="009E49C0">
            <w:pPr>
              <w:pStyle w:val="BodyText"/>
            </w:pPr>
            <w:r>
              <w:t>A metric as to the compliance of the information.</w:t>
            </w:r>
          </w:p>
          <w:p w14:paraId="628C91D8" w14:textId="77777777" w:rsidR="006A12CC" w:rsidRDefault="006A12CC" w:rsidP="009E49C0">
            <w:pPr>
              <w:pStyle w:val="BodyText"/>
            </w:pPr>
            <w:r>
              <w:t>Contributors to this quality may include:</w:t>
            </w:r>
          </w:p>
          <w:p w14:paraId="45C40800" w14:textId="77777777" w:rsidR="006A12CC" w:rsidRDefault="006A12CC" w:rsidP="009E49C0">
            <w:pPr>
              <w:pStyle w:val="BodyText"/>
              <w:numPr>
                <w:ilvl w:val="3"/>
                <w:numId w:val="1"/>
              </w:numPr>
              <w:ind w:left="873" w:hanging="567"/>
            </w:pPr>
            <w:r>
              <w:t>The ability to meet national sanctions by being able to exclude the use of the service to requests originating in certain countries/regimes,</w:t>
            </w:r>
          </w:p>
          <w:p w14:paraId="0C73BD7F" w14:textId="77777777" w:rsidR="006A12CC" w:rsidRDefault="006A12CC" w:rsidP="009E49C0">
            <w:pPr>
              <w:pStyle w:val="BodyText"/>
              <w:numPr>
                <w:ilvl w:val="3"/>
                <w:numId w:val="1"/>
              </w:numPr>
              <w:ind w:left="873" w:hanging="567"/>
            </w:pPr>
            <w:r>
              <w:t xml:space="preserve">The ability to limit access to secure communication channels (e.g.: HTTPS) </w:t>
            </w:r>
          </w:p>
          <w:p w14:paraId="4F396E47" w14:textId="77777777" w:rsidR="006A12CC" w:rsidRDefault="006A12CC" w:rsidP="009E49C0">
            <w:pPr>
              <w:pStyle w:val="BodyText"/>
              <w:numPr>
                <w:ilvl w:val="3"/>
                <w:numId w:val="1"/>
              </w:numPr>
              <w:ind w:left="873" w:hanging="567"/>
            </w:pPr>
            <w:r>
              <w:t>The ability to audit all session Operations, whether by authenticated and public users, including Views,</w:t>
            </w:r>
          </w:p>
          <w:p w14:paraId="69487C06" w14:textId="03612D17" w:rsidR="006A12CC" w:rsidRDefault="006A12CC" w:rsidP="009E49C0">
            <w:pPr>
              <w:pStyle w:val="BodyText"/>
              <w:numPr>
                <w:ilvl w:val="3"/>
                <w:numId w:val="1"/>
              </w:numPr>
              <w:ind w:left="873" w:hanging="567"/>
            </w:pPr>
            <w:r>
              <w:t xml:space="preserve">The storing of data in universal formats when they are available (e.g.: UTC </w:t>
            </w:r>
            <w:proofErr w:type="spellStart"/>
            <w:r>
              <w:t>DateTime</w:t>
            </w:r>
            <w:proofErr w:type="spellEnd"/>
            <w:r>
              <w:t>) translated for locality when displayed (</w:t>
            </w:r>
            <w:r w:rsidR="00CD2F35">
              <w:t>e.g.</w:t>
            </w:r>
            <w:r>
              <w:t>: local date/time format and zone).</w:t>
            </w:r>
          </w:p>
          <w:p w14:paraId="1CCAD10B" w14:textId="77777777" w:rsidR="006A12CC" w:rsidRDefault="006A12CC" w:rsidP="009E49C0">
            <w:pPr>
              <w:pStyle w:val="BodyText"/>
              <w:numPr>
                <w:ilvl w:val="3"/>
                <w:numId w:val="1"/>
              </w:numPr>
              <w:ind w:left="873" w:hanging="567"/>
            </w:pPr>
            <w:r>
              <w:t>The use of universal Id formats when available (UUIDs)</w:t>
            </w:r>
          </w:p>
          <w:p w14:paraId="2BC244D3" w14:textId="77777777" w:rsidR="006A12CC" w:rsidRDefault="006A12CC" w:rsidP="009E49C0">
            <w:pPr>
              <w:pStyle w:val="BodyText"/>
              <w:numPr>
                <w:ilvl w:val="3"/>
                <w:numId w:val="1"/>
              </w:numPr>
              <w:ind w:left="873" w:hanging="567"/>
            </w:pPr>
            <w:r>
              <w:t>The system logically deletes data that is to be removed from access and circulation upon request (as per EE’s privacy policies) and after a configurable duration after the data is no longer needed for the stated business function.</w:t>
            </w:r>
          </w:p>
          <w:p w14:paraId="30B9AE6F" w14:textId="03DA3123" w:rsidR="000E545D" w:rsidRDefault="006A12CC" w:rsidP="000E545D">
            <w:pPr>
              <w:pStyle w:val="BodyText"/>
              <w:numPr>
                <w:ilvl w:val="3"/>
                <w:numId w:val="1"/>
              </w:numPr>
              <w:ind w:left="873" w:hanging="567"/>
            </w:pPr>
            <w:r>
              <w:t xml:space="preserve">The system is capable of </w:t>
            </w:r>
            <w:r w:rsidR="000E545D">
              <w:t xml:space="preserve">both </w:t>
            </w:r>
            <w:r>
              <w:t xml:space="preserve">deferring and </w:t>
            </w:r>
            <w:r w:rsidR="000E545D">
              <w:t xml:space="preserve">later </w:t>
            </w:r>
            <w:r>
              <w:t xml:space="preserve">removing the use of reference data and relationships </w:t>
            </w:r>
            <w:r w:rsidR="000E545D">
              <w:t xml:space="preserve">(e.g.: Group and Role Allocations) </w:t>
            </w:r>
            <w:r>
              <w:t xml:space="preserve">by </w:t>
            </w:r>
            <w:r w:rsidR="000E545D">
              <w:t xml:space="preserve">using </w:t>
            </w:r>
            <w:r>
              <w:t>start</w:t>
            </w:r>
            <w:r w:rsidR="000E545D">
              <w:t xml:space="preserve"> and </w:t>
            </w:r>
            <w:r>
              <w:t>end date metadata</w:t>
            </w:r>
            <w:r w:rsidR="000E545D">
              <w:t xml:space="preserve"> and logic</w:t>
            </w:r>
            <w:r>
              <w:t>.</w:t>
            </w:r>
          </w:p>
          <w:p w14:paraId="169F1D49" w14:textId="77777777" w:rsidR="006A12CC" w:rsidRDefault="006A12CC" w:rsidP="009E49C0">
            <w:pPr>
              <w:pStyle w:val="BodyText"/>
            </w:pPr>
            <w:r>
              <w:br/>
              <w:t>The storage schema of the SaaS system is proprietary to the Service Vendor, but the schema of the Interoperability APIs is designed by the solution’s data architect to meet enterprise standards and obligations. By extension it implies the internal schema is capable of being compliant.</w:t>
            </w:r>
          </w:p>
        </w:tc>
      </w:tr>
      <w:tr w:rsidR="006A12CC" w14:paraId="2508B5FC" w14:textId="77777777" w:rsidTr="009E49C0">
        <w:tc>
          <w:tcPr>
            <w:tcW w:w="9628" w:type="dxa"/>
          </w:tcPr>
          <w:p w14:paraId="5618045D" w14:textId="77777777" w:rsidR="006A12CC" w:rsidRDefault="006A12CC" w:rsidP="004D21EE">
            <w:pPr>
              <w:pStyle w:val="Heading5"/>
            </w:pPr>
            <w:r>
              <w:lastRenderedPageBreak/>
              <w:t>Confidentiality</w:t>
            </w:r>
          </w:p>
          <w:p w14:paraId="726C4F28" w14:textId="77777777" w:rsidR="006A12CC" w:rsidRDefault="006A12CC" w:rsidP="009E49C0">
            <w:pPr>
              <w:pStyle w:val="BodyText"/>
            </w:pPr>
            <w:r>
              <w:t>A metric as to the confidentiality of the information.</w:t>
            </w:r>
          </w:p>
          <w:p w14:paraId="40259689" w14:textId="77777777" w:rsidR="006A12CC" w:rsidRDefault="006A12CC" w:rsidP="009E49C0">
            <w:pPr>
              <w:pStyle w:val="BodyText"/>
              <w:tabs>
                <w:tab w:val="center" w:pos="4402"/>
              </w:tabs>
            </w:pPr>
            <w:r>
              <w:t>Contributors to this quality may include:</w:t>
            </w:r>
            <w:r>
              <w:tab/>
            </w:r>
          </w:p>
          <w:p w14:paraId="7D0CD9E9" w14:textId="77777777" w:rsidR="006A12CC" w:rsidRDefault="006A12CC" w:rsidP="009E49C0">
            <w:pPr>
              <w:pStyle w:val="BodyText"/>
              <w:numPr>
                <w:ilvl w:val="3"/>
                <w:numId w:val="1"/>
              </w:numPr>
              <w:ind w:left="873" w:hanging="567"/>
            </w:pPr>
            <w:r>
              <w:t xml:space="preserve">Appropriate Access to the system managed information is limited to Authenticated &amp; Authorised system Principals (Users). </w:t>
            </w:r>
          </w:p>
          <w:p w14:paraId="7110BF2B" w14:textId="4440B4A5" w:rsidR="006A12CC" w:rsidRDefault="006A12CC" w:rsidP="009E49C0">
            <w:pPr>
              <w:pStyle w:val="BodyText"/>
              <w:numPr>
                <w:ilvl w:val="3"/>
                <w:numId w:val="1"/>
              </w:numPr>
              <w:ind w:left="873" w:hanging="567"/>
            </w:pPr>
            <w:r>
              <w:t>Using only secure channels for communication (</w:t>
            </w:r>
            <w:r w:rsidR="00CD2F35">
              <w:t>e.g.,</w:t>
            </w:r>
            <w:r>
              <w:t xml:space="preserve"> HTTPS)</w:t>
            </w:r>
          </w:p>
          <w:p w14:paraId="2A82DAD2" w14:textId="77777777" w:rsidR="006A12CC" w:rsidRDefault="006A12CC" w:rsidP="009E49C0">
            <w:pPr>
              <w:pStyle w:val="BodyText"/>
              <w:numPr>
                <w:ilvl w:val="3"/>
                <w:numId w:val="1"/>
              </w:numPr>
              <w:ind w:left="873" w:hanging="567"/>
            </w:pPr>
            <w:r>
              <w:t xml:space="preserve">Ensuring confidential information is only transmitted over secure channels (e.g., cookies are marked Secure and </w:t>
            </w:r>
            <w:proofErr w:type="spellStart"/>
            <w:r>
              <w:t>HttpOnly</w:t>
            </w:r>
            <w:proofErr w:type="spellEnd"/>
            <w:r>
              <w:t>, and unencrypted requests are redirected by the server to the secure equivalent endpoint, etc.)</w:t>
            </w:r>
          </w:p>
          <w:p w14:paraId="79116A0D" w14:textId="77777777" w:rsidR="006A12CC" w:rsidRDefault="006A12CC" w:rsidP="009E49C0">
            <w:pPr>
              <w:pStyle w:val="BodyText"/>
              <w:numPr>
                <w:ilvl w:val="3"/>
                <w:numId w:val="1"/>
              </w:numPr>
              <w:ind w:left="873" w:hanging="567"/>
            </w:pPr>
            <w:r>
              <w:t>Session Operations are logged for later auditing to ensure others have not Viewed or edited the record in question.</w:t>
            </w:r>
          </w:p>
          <w:p w14:paraId="2C1E64AB" w14:textId="77777777" w:rsidR="006A12CC" w:rsidRDefault="006A12CC" w:rsidP="009E49C0">
            <w:pPr>
              <w:pStyle w:val="BodyText"/>
            </w:pPr>
          </w:p>
        </w:tc>
      </w:tr>
      <w:tr w:rsidR="006A12CC" w14:paraId="289FD532" w14:textId="77777777" w:rsidTr="009E49C0">
        <w:tc>
          <w:tcPr>
            <w:tcW w:w="9628" w:type="dxa"/>
          </w:tcPr>
          <w:p w14:paraId="5A3A516C" w14:textId="77777777" w:rsidR="006A12CC" w:rsidRDefault="006A12CC" w:rsidP="004D21EE">
            <w:pPr>
              <w:pStyle w:val="Heading5"/>
            </w:pPr>
            <w:r>
              <w:t>Efficiency</w:t>
            </w:r>
          </w:p>
          <w:p w14:paraId="0A528403" w14:textId="77777777" w:rsidR="006A12CC" w:rsidRDefault="006A12CC" w:rsidP="009E49C0">
            <w:pPr>
              <w:pStyle w:val="BodyText"/>
            </w:pPr>
            <w:r>
              <w:t>A metric as to the efficiency of the information processing aspect.</w:t>
            </w:r>
            <w:r>
              <w:br/>
              <w:t>Improvable by design decisions to limit duplication of user and system effort to input or retrieve information.  Improvable by ensuring data is only deleted logically and/or versioned, to provide an efficient means to restore information after input error.</w:t>
            </w:r>
            <w:r>
              <w:br/>
            </w:r>
            <w:r>
              <w:br/>
              <w:t>Regular improvements to cloud based hosting hardware, and software efficiency improve the efficiency by which data is managed.</w:t>
            </w:r>
          </w:p>
          <w:p w14:paraId="1A9F3086" w14:textId="77777777" w:rsidR="006A12CC" w:rsidRDefault="006A12CC" w:rsidP="009E49C0">
            <w:pPr>
              <w:pStyle w:val="BodyText"/>
              <w:tabs>
                <w:tab w:val="center" w:pos="4402"/>
              </w:tabs>
            </w:pPr>
            <w:r>
              <w:t>Contributors to this quality may include:</w:t>
            </w:r>
            <w:r>
              <w:tab/>
            </w:r>
          </w:p>
          <w:p w14:paraId="68153874" w14:textId="77777777" w:rsidR="006A12CC" w:rsidRDefault="006A12CC" w:rsidP="009E49C0">
            <w:pPr>
              <w:pStyle w:val="BodyText"/>
              <w:numPr>
                <w:ilvl w:val="3"/>
                <w:numId w:val="1"/>
              </w:numPr>
              <w:ind w:left="873" w:hanging="567"/>
            </w:pPr>
            <w:r>
              <w:t>Prefilling of field values based on previously determined information,</w:t>
            </w:r>
          </w:p>
          <w:p w14:paraId="1123A7B0" w14:textId="77777777" w:rsidR="006A12CC" w:rsidRDefault="006A12CC" w:rsidP="009E49C0">
            <w:pPr>
              <w:pStyle w:val="BodyText"/>
              <w:numPr>
                <w:ilvl w:val="3"/>
                <w:numId w:val="1"/>
              </w:numPr>
              <w:ind w:left="873" w:hanging="567"/>
            </w:pPr>
            <w:r>
              <w:t xml:space="preserve">Reduction of double handling, </w:t>
            </w:r>
          </w:p>
          <w:p w14:paraId="1FE4D3D8" w14:textId="77777777" w:rsidR="006A12CC" w:rsidRDefault="006A12CC" w:rsidP="009E49C0">
            <w:pPr>
              <w:pStyle w:val="BodyText"/>
              <w:numPr>
                <w:ilvl w:val="3"/>
                <w:numId w:val="1"/>
              </w:numPr>
              <w:ind w:left="873" w:hanging="567"/>
            </w:pPr>
            <w:r>
              <w:t>Removal of unnecessary screen flow stopping modal views asking for confirmation before actions (prefer making the system able to Undo changes).</w:t>
            </w:r>
          </w:p>
        </w:tc>
      </w:tr>
      <w:tr w:rsidR="006A12CC" w14:paraId="0A206CC7" w14:textId="77777777" w:rsidTr="009E49C0">
        <w:tc>
          <w:tcPr>
            <w:tcW w:w="9628" w:type="dxa"/>
          </w:tcPr>
          <w:p w14:paraId="16C29CD5" w14:textId="77777777" w:rsidR="006A12CC" w:rsidRDefault="006A12CC" w:rsidP="004D21EE">
            <w:pPr>
              <w:pStyle w:val="Heading5"/>
            </w:pPr>
            <w:r>
              <w:t>Precision</w:t>
            </w:r>
          </w:p>
          <w:p w14:paraId="43075DA9" w14:textId="77777777" w:rsidR="006A12CC" w:rsidRDefault="006A12CC" w:rsidP="009E49C0">
            <w:pPr>
              <w:pStyle w:val="BodyText"/>
              <w:tabs>
                <w:tab w:val="center" w:pos="4402"/>
              </w:tabs>
            </w:pPr>
            <w:r>
              <w:t>A metric as to the ability to store information without loss of precision.</w:t>
            </w:r>
            <w:r>
              <w:br/>
              <w:t>Contributors to this quality may include:</w:t>
            </w:r>
            <w:r>
              <w:tab/>
            </w:r>
          </w:p>
          <w:p w14:paraId="0CA104C6" w14:textId="678E7039" w:rsidR="006A12CC" w:rsidRDefault="006A12CC" w:rsidP="009E49C0">
            <w:pPr>
              <w:pStyle w:val="BodyText"/>
              <w:numPr>
                <w:ilvl w:val="3"/>
                <w:numId w:val="1"/>
              </w:numPr>
              <w:ind w:left="873" w:hanging="567"/>
            </w:pPr>
            <w:r>
              <w:t xml:space="preserve">validation of API (and therefore UX if API-First) based requests, arguments </w:t>
            </w:r>
            <w:r w:rsidR="00CD2F35">
              <w:t>given,</w:t>
            </w:r>
            <w:r>
              <w:t xml:space="preserve"> data schema types used, </w:t>
            </w:r>
          </w:p>
          <w:p w14:paraId="1840D462" w14:textId="77777777" w:rsidR="006A12CC" w:rsidRDefault="006A12CC" w:rsidP="009E49C0">
            <w:pPr>
              <w:pStyle w:val="BodyText"/>
              <w:numPr>
                <w:ilvl w:val="3"/>
                <w:numId w:val="1"/>
              </w:numPr>
              <w:ind w:left="873" w:hanging="567"/>
            </w:pPr>
            <w:r>
              <w:t>comparison of given data against records retrieved from systems of record.</w:t>
            </w:r>
          </w:p>
        </w:tc>
      </w:tr>
      <w:tr w:rsidR="006A12CC" w14:paraId="68E3FA81" w14:textId="77777777" w:rsidTr="009E49C0">
        <w:tc>
          <w:tcPr>
            <w:tcW w:w="9628" w:type="dxa"/>
          </w:tcPr>
          <w:p w14:paraId="18F9B21D" w14:textId="77777777" w:rsidR="006A12CC" w:rsidRDefault="006A12CC" w:rsidP="004D21EE">
            <w:pPr>
              <w:pStyle w:val="Heading5"/>
            </w:pPr>
            <w:r>
              <w:lastRenderedPageBreak/>
              <w:t>Traceability</w:t>
            </w:r>
          </w:p>
          <w:p w14:paraId="3E32AF45" w14:textId="77777777" w:rsidR="006A12CC" w:rsidRDefault="006A12CC" w:rsidP="009E49C0">
            <w:pPr>
              <w:pStyle w:val="BodyText"/>
              <w:tabs>
                <w:tab w:val="center" w:pos="4402"/>
              </w:tabs>
            </w:pPr>
            <w:r>
              <w:t>A metric as to the ability to determine the source of changes to information.</w:t>
            </w:r>
          </w:p>
          <w:p w14:paraId="397AAE67" w14:textId="77777777" w:rsidR="006A12CC" w:rsidRDefault="006A12CC" w:rsidP="009E49C0">
            <w:pPr>
              <w:pStyle w:val="BodyText"/>
              <w:tabs>
                <w:tab w:val="center" w:pos="4402"/>
              </w:tabs>
            </w:pPr>
            <w:r>
              <w:t>Contributors to this quality may include:</w:t>
            </w:r>
            <w:r>
              <w:tab/>
            </w:r>
          </w:p>
          <w:p w14:paraId="32817212" w14:textId="77777777" w:rsidR="006A12CC" w:rsidRDefault="006A12CC" w:rsidP="009E49C0">
            <w:pPr>
              <w:pStyle w:val="BodyText"/>
              <w:numPr>
                <w:ilvl w:val="3"/>
                <w:numId w:val="1"/>
              </w:numPr>
              <w:ind w:left="873" w:hanging="567"/>
            </w:pPr>
            <w:r>
              <w:t>ensuring auditing is enabled for all information change operations, traceable to the Session, and by that the User if Authenticated,</w:t>
            </w:r>
          </w:p>
          <w:p w14:paraId="2B01EF69" w14:textId="77777777" w:rsidR="006A12CC" w:rsidRDefault="006A12CC" w:rsidP="009E49C0">
            <w:pPr>
              <w:pStyle w:val="BodyText"/>
              <w:numPr>
                <w:ilvl w:val="3"/>
                <w:numId w:val="1"/>
              </w:numPr>
              <w:ind w:left="873" w:hanging="567"/>
            </w:pPr>
            <w:r>
              <w:t xml:space="preserve">recommending to doing the same for all viewing operations, </w:t>
            </w:r>
          </w:p>
          <w:p w14:paraId="044A64F1" w14:textId="77777777" w:rsidR="006A12CC" w:rsidRDefault="006A12CC" w:rsidP="009E49C0">
            <w:pPr>
              <w:pStyle w:val="BodyText"/>
              <w:numPr>
                <w:ilvl w:val="3"/>
                <w:numId w:val="1"/>
              </w:numPr>
              <w:ind w:left="873" w:hanging="567"/>
            </w:pPr>
            <w:r>
              <w:t xml:space="preserve">ensuring that auditing metadata is not removed if the record is deleted,  </w:t>
            </w:r>
          </w:p>
          <w:p w14:paraId="350F2434" w14:textId="77777777" w:rsidR="006A12CC" w:rsidRDefault="006A12CC" w:rsidP="009E49C0">
            <w:pPr>
              <w:pStyle w:val="BodyText"/>
              <w:numPr>
                <w:ilvl w:val="3"/>
                <w:numId w:val="1"/>
              </w:numPr>
              <w:ind w:left="873" w:hanging="567"/>
            </w:pPr>
            <w:r>
              <w:t xml:space="preserve">and strongly recommend that data is never physically deleted, only logically removed from use and availability.  </w:t>
            </w:r>
          </w:p>
          <w:p w14:paraId="20ECB0A4" w14:textId="77777777" w:rsidR="006A12CC" w:rsidRDefault="006A12CC" w:rsidP="009E49C0">
            <w:pPr>
              <w:pStyle w:val="BodyText"/>
              <w:numPr>
                <w:ilvl w:val="3"/>
                <w:numId w:val="1"/>
              </w:numPr>
              <w:ind w:left="873" w:hanging="567"/>
            </w:pPr>
            <w:r>
              <w:t>That changes do not replace records but add a new versioned without replacing the previous version.</w:t>
            </w:r>
          </w:p>
          <w:p w14:paraId="33413D93" w14:textId="77777777" w:rsidR="006A12CC" w:rsidRDefault="006A12CC" w:rsidP="009E49C0">
            <w:pPr>
              <w:pStyle w:val="BodyText"/>
              <w:numPr>
                <w:ilvl w:val="3"/>
                <w:numId w:val="1"/>
              </w:numPr>
              <w:ind w:left="873" w:hanging="567"/>
            </w:pPr>
            <w:r>
              <w:t>These last two recommendations are the means– beyond Usability advantages – by which records can demonstrate the current state based on all previous changes</w:t>
            </w:r>
          </w:p>
        </w:tc>
      </w:tr>
      <w:tr w:rsidR="006A12CC" w14:paraId="4045D5CB" w14:textId="77777777" w:rsidTr="009E49C0">
        <w:tc>
          <w:tcPr>
            <w:tcW w:w="9628" w:type="dxa"/>
          </w:tcPr>
          <w:p w14:paraId="0D0E195B" w14:textId="77777777" w:rsidR="006A12CC" w:rsidRDefault="006A12CC" w:rsidP="004D21EE">
            <w:pPr>
              <w:pStyle w:val="Heading5"/>
            </w:pPr>
            <w:r>
              <w:t>Understandability</w:t>
            </w:r>
          </w:p>
          <w:p w14:paraId="70EF8083" w14:textId="77777777" w:rsidR="006A12CC" w:rsidRDefault="006A12CC" w:rsidP="009E49C0">
            <w:pPr>
              <w:pStyle w:val="BodyText"/>
            </w:pPr>
            <w:r>
              <w:t>A metric as to the understandability of the information.</w:t>
            </w:r>
            <w:r>
              <w:br/>
            </w:r>
          </w:p>
          <w:p w14:paraId="2F22143B" w14:textId="77777777" w:rsidR="006A12CC" w:rsidRDefault="006A12CC" w:rsidP="009E49C0">
            <w:pPr>
              <w:pStyle w:val="BodyText"/>
              <w:tabs>
                <w:tab w:val="center" w:pos="4402"/>
              </w:tabs>
            </w:pPr>
            <w:r>
              <w:t>Contributors to this quality may include:</w:t>
            </w:r>
            <w:r>
              <w:tab/>
            </w:r>
          </w:p>
          <w:p w14:paraId="3CAA4BBE" w14:textId="0A9265D3" w:rsidR="000E545D" w:rsidRDefault="000E545D" w:rsidP="009E49C0">
            <w:pPr>
              <w:pStyle w:val="BodyText"/>
              <w:numPr>
                <w:ilvl w:val="3"/>
                <w:numId w:val="1"/>
              </w:numPr>
              <w:ind w:left="873" w:hanging="567"/>
            </w:pPr>
            <w:r>
              <w:t>signalling to users that operations were completed as expected, preferably unobtrusively and asynchronously.</w:t>
            </w:r>
          </w:p>
          <w:p w14:paraId="2D5906F3" w14:textId="6A38A79B" w:rsidR="000E545D" w:rsidRDefault="000E545D" w:rsidP="009E49C0">
            <w:pPr>
              <w:pStyle w:val="BodyText"/>
              <w:numPr>
                <w:ilvl w:val="3"/>
                <w:numId w:val="1"/>
              </w:numPr>
              <w:ind w:left="873" w:hanging="567"/>
            </w:pPr>
            <w:r>
              <w:t>Signalling how to correct issues if they require intervention.</w:t>
            </w:r>
          </w:p>
          <w:p w14:paraId="496EF1FA" w14:textId="28AAD496" w:rsidR="006A12CC" w:rsidRDefault="006A12CC" w:rsidP="009E49C0">
            <w:pPr>
              <w:pStyle w:val="BodyText"/>
              <w:numPr>
                <w:ilvl w:val="3"/>
                <w:numId w:val="1"/>
              </w:numPr>
              <w:ind w:left="873" w:hanging="567"/>
            </w:pPr>
            <w:r>
              <w:t>Improving interoperability by developing APIs view schemas understandable to a system’s user base, while hiding the internals flexibility by abstraction.</w:t>
            </w:r>
          </w:p>
        </w:tc>
      </w:tr>
    </w:tbl>
    <w:p w14:paraId="7C2E5757" w14:textId="4D8CF2B1" w:rsidR="006A12CC" w:rsidRDefault="006A12CC" w:rsidP="006A12CC">
      <w:pPr>
        <w:pStyle w:val="Heading3"/>
      </w:pPr>
      <w:bookmarkStart w:id="25" w:name="_Toc145065866"/>
      <w:r>
        <w:t>System Qualities</w:t>
      </w:r>
      <w:bookmarkEnd w:id="25"/>
    </w:p>
    <w:p w14:paraId="68FF56AB" w14:textId="4372E4B4" w:rsidR="006A12CC" w:rsidRDefault="006A12CC" w:rsidP="006A12CC">
      <w:pPr>
        <w:pStyle w:val="BodyText"/>
      </w:pPr>
      <w:r>
        <w:t xml:space="preserve">The above defined data </w:t>
      </w:r>
      <w:r w:rsidR="008B783D">
        <w:t xml:space="preserve">and presentation qualities </w:t>
      </w:r>
      <w:r>
        <w:t xml:space="preserve">rely </w:t>
      </w:r>
      <w:r w:rsidR="008B783D">
        <w:t xml:space="preserve">in turn </w:t>
      </w:r>
      <w:r>
        <w:t>on the system having the following qualities:</w:t>
      </w:r>
    </w:p>
    <w:tbl>
      <w:tblPr>
        <w:tblStyle w:val="Invisible"/>
        <w:tblW w:w="0" w:type="auto"/>
        <w:tblLook w:val="04A0" w:firstRow="1" w:lastRow="0" w:firstColumn="1" w:lastColumn="0" w:noHBand="0" w:noVBand="1"/>
      </w:tblPr>
      <w:tblGrid>
        <w:gridCol w:w="9021"/>
      </w:tblGrid>
      <w:tr w:rsidR="006A12CC" w14:paraId="068EC4BB" w14:textId="77777777" w:rsidTr="009E49C0">
        <w:tc>
          <w:tcPr>
            <w:tcW w:w="9628" w:type="dxa"/>
          </w:tcPr>
          <w:p w14:paraId="4D477705" w14:textId="77777777" w:rsidR="006A12CC" w:rsidRDefault="006A12CC" w:rsidP="004D21EE">
            <w:pPr>
              <w:pStyle w:val="Heading5"/>
            </w:pPr>
            <w:commentRangeStart w:id="26"/>
            <w:commentRangeStart w:id="27"/>
            <w:r>
              <w:t>Availability</w:t>
            </w:r>
            <w:commentRangeEnd w:id="26"/>
            <w:r>
              <w:rPr>
                <w:rStyle w:val="CommentReference"/>
                <w:rFonts w:eastAsiaTheme="minorHAnsi" w:cs="Times New Roman"/>
                <w:color w:val="auto"/>
              </w:rPr>
              <w:commentReference w:id="26"/>
            </w:r>
            <w:commentRangeEnd w:id="27"/>
            <w:r>
              <w:rPr>
                <w:rStyle w:val="CommentReference"/>
                <w:rFonts w:eastAsiaTheme="minorHAnsi" w:cs="Times New Roman"/>
                <w:color w:val="auto"/>
              </w:rPr>
              <w:commentReference w:id="27"/>
            </w:r>
          </w:p>
          <w:p w14:paraId="49ADDCE6" w14:textId="77777777" w:rsidR="006A12CC" w:rsidRDefault="006A12CC" w:rsidP="009E49C0">
            <w:pPr>
              <w:pStyle w:val="BodyText"/>
            </w:pPr>
            <w:r>
              <w:t>A metric as to the availability of the system.</w:t>
            </w:r>
            <w:r>
              <w:br/>
            </w:r>
          </w:p>
          <w:p w14:paraId="2E00347B" w14:textId="77777777" w:rsidR="006A12CC" w:rsidRDefault="006A12CC" w:rsidP="009E49C0">
            <w:pPr>
              <w:pStyle w:val="BodyText"/>
              <w:tabs>
                <w:tab w:val="center" w:pos="4402"/>
              </w:tabs>
            </w:pPr>
            <w:r>
              <w:t>Contributors to this quality may include:</w:t>
            </w:r>
            <w:r>
              <w:tab/>
            </w:r>
          </w:p>
          <w:p w14:paraId="58EA0CC0" w14:textId="77777777" w:rsidR="006A12CC" w:rsidRDefault="006A12CC" w:rsidP="009E49C0">
            <w:pPr>
              <w:pStyle w:val="BodyText"/>
              <w:numPr>
                <w:ilvl w:val="3"/>
                <w:numId w:val="1"/>
              </w:numPr>
              <w:ind w:left="873" w:hanging="567"/>
            </w:pPr>
            <w:r>
              <w:lastRenderedPageBreak/>
              <w:t>Hosting on services with a provably high availability themselves,</w:t>
            </w:r>
          </w:p>
          <w:p w14:paraId="25F81930" w14:textId="77777777" w:rsidR="006A12CC" w:rsidRDefault="006A12CC" w:rsidP="009E49C0">
            <w:pPr>
              <w:pStyle w:val="BodyText"/>
              <w:numPr>
                <w:ilvl w:val="3"/>
                <w:numId w:val="1"/>
              </w:numPr>
              <w:ind w:left="873" w:hanging="567"/>
            </w:pPr>
            <w:r>
              <w:t>When relying on dependency services use ones with a high availability ratio, as well as providing secondary rollover services,</w:t>
            </w:r>
          </w:p>
          <w:p w14:paraId="39EB0E72" w14:textId="1950E253" w:rsidR="006A12CC" w:rsidRDefault="006A12CC" w:rsidP="009E49C0">
            <w:pPr>
              <w:pStyle w:val="BodyText"/>
              <w:numPr>
                <w:ilvl w:val="3"/>
                <w:numId w:val="1"/>
              </w:numPr>
              <w:ind w:left="873" w:hanging="567"/>
            </w:pPr>
            <w:r>
              <w:t>Having in place a means, on another site, to signal to users when a system is planned to be down, and if unexpectantly</w:t>
            </w:r>
            <w:r w:rsidR="00CD2F35">
              <w:t>, the</w:t>
            </w:r>
            <w:r>
              <w:t xml:space="preserve"> </w:t>
            </w:r>
            <w:proofErr w:type="gramStart"/>
            <w:r>
              <w:t>current status</w:t>
            </w:r>
            <w:proofErr w:type="gramEnd"/>
            <w:r>
              <w:t>, what RTO to expect, and what the RPO is.</w:t>
            </w:r>
          </w:p>
          <w:p w14:paraId="0995F43F" w14:textId="77777777" w:rsidR="006A12CC" w:rsidRDefault="006A12CC" w:rsidP="009E49C0">
            <w:pPr>
              <w:pStyle w:val="BodyText"/>
              <w:numPr>
                <w:ilvl w:val="3"/>
                <w:numId w:val="1"/>
              </w:numPr>
              <w:ind w:left="873" w:hanging="567"/>
            </w:pPr>
            <w:r>
              <w:t>Having in place a backup that reduces the RPO.</w:t>
            </w:r>
          </w:p>
          <w:p w14:paraId="58C7DDA4" w14:textId="77777777" w:rsidR="006A12CC" w:rsidRDefault="006A12CC" w:rsidP="009E49C0">
            <w:pPr>
              <w:pStyle w:val="Note"/>
            </w:pPr>
            <w:r>
              <w:t>Note:</w:t>
            </w:r>
            <w:r>
              <w:br/>
              <w:t xml:space="preserve">The exact times for RPO &amp; RTO are defined in the project’s Quality Requirements, </w:t>
            </w:r>
            <w:proofErr w:type="gramStart"/>
            <w:r>
              <w:t>matching</w:t>
            </w:r>
            <w:proofErr w:type="gramEnd"/>
            <w:r>
              <w:t xml:space="preserve"> or exceeding other services managed by the organisation.</w:t>
            </w:r>
            <w:r>
              <w:br/>
            </w:r>
            <w:r>
              <w:br/>
              <w:t>The Azure infrastructure on which the system is built has a measured average overall availability of 99.96% in 2022 – with higher numbers (up to 99.99%, financially backed) for specific services.</w:t>
            </w:r>
          </w:p>
        </w:tc>
      </w:tr>
      <w:tr w:rsidR="006A12CC" w14:paraId="102B15E6" w14:textId="77777777" w:rsidTr="009E49C0">
        <w:tc>
          <w:tcPr>
            <w:tcW w:w="9628" w:type="dxa"/>
          </w:tcPr>
          <w:p w14:paraId="2E1DFFD8" w14:textId="77777777" w:rsidR="006A12CC" w:rsidRDefault="006A12CC" w:rsidP="004D21EE">
            <w:pPr>
              <w:pStyle w:val="Heading5"/>
            </w:pPr>
            <w:r>
              <w:lastRenderedPageBreak/>
              <w:t>Portability</w:t>
            </w:r>
          </w:p>
          <w:p w14:paraId="4FECC700" w14:textId="77777777" w:rsidR="006A12CC" w:rsidRDefault="006A12CC" w:rsidP="009E49C0">
            <w:pPr>
              <w:pStyle w:val="BodyText"/>
            </w:pPr>
            <w:r>
              <w:t>A metric as to the ability of the information be used in other systems.</w:t>
            </w:r>
            <w:r>
              <w:br/>
              <w:t xml:space="preserve">Improvable by using standards for storage type, encoding, etc. </w:t>
            </w:r>
          </w:p>
          <w:p w14:paraId="499B3A6B" w14:textId="77777777" w:rsidR="006A12CC" w:rsidRDefault="006A12CC" w:rsidP="009E49C0">
            <w:pPr>
              <w:pStyle w:val="BodyText"/>
              <w:tabs>
                <w:tab w:val="center" w:pos="4402"/>
              </w:tabs>
            </w:pPr>
            <w:r>
              <w:t>Contributors to this quality may include:</w:t>
            </w:r>
          </w:p>
          <w:p w14:paraId="631CF888" w14:textId="77777777" w:rsidR="006A12CC" w:rsidRDefault="006A12CC" w:rsidP="009E49C0">
            <w:pPr>
              <w:pStyle w:val="BodyText"/>
              <w:numPr>
                <w:ilvl w:val="3"/>
                <w:numId w:val="1"/>
              </w:numPr>
              <w:ind w:left="873" w:hanging="567"/>
            </w:pPr>
            <w:r>
              <w:t>A data schema and internal that permits different accounts being in the same database without requiring different databases or tenancy ids (both dated design approach).</w:t>
            </w:r>
          </w:p>
          <w:p w14:paraId="69775531" w14:textId="77777777" w:rsidR="006A12CC" w:rsidRDefault="006A12CC" w:rsidP="009E49C0">
            <w:pPr>
              <w:pStyle w:val="BodyText"/>
              <w:numPr>
                <w:ilvl w:val="3"/>
                <w:numId w:val="1"/>
              </w:numPr>
              <w:ind w:left="873" w:hanging="567"/>
            </w:pPr>
            <w:r>
              <w:t>An API to extract all information for one’s account.</w:t>
            </w:r>
          </w:p>
          <w:p w14:paraId="220C2633" w14:textId="77777777" w:rsidR="006A12CC" w:rsidRDefault="006A12CC" w:rsidP="009E49C0">
            <w:pPr>
              <w:pStyle w:val="BodyText"/>
            </w:pPr>
            <w:r>
              <w:t>Data is currently extractable via at least three different approaches:</w:t>
            </w:r>
          </w:p>
          <w:p w14:paraId="47222D7F" w14:textId="77777777" w:rsidR="006A12CC" w:rsidRDefault="006A12CC" w:rsidP="009E49C0">
            <w:pPr>
              <w:pStyle w:val="BodyText"/>
              <w:numPr>
                <w:ilvl w:val="0"/>
                <w:numId w:val="5"/>
              </w:numPr>
            </w:pPr>
            <w:r>
              <w:t>Standards based proprietary APIs (See Interoperability View), where data is formatted using international encodings (UTF-8) and Standards (e.g.: Dates, Times, Country Codes, etc.).</w:t>
            </w:r>
          </w:p>
          <w:p w14:paraId="0538391B" w14:textId="3E8810EB" w:rsidR="006A12CC" w:rsidRDefault="006A12CC" w:rsidP="009E49C0">
            <w:pPr>
              <w:pStyle w:val="BodyText"/>
              <w:numPr>
                <w:ilvl w:val="0"/>
                <w:numId w:val="5"/>
              </w:numPr>
            </w:pPr>
            <w:r>
              <w:t xml:space="preserve">via </w:t>
            </w:r>
            <w:r w:rsidR="00CD2F35">
              <w:t>EdsbyLink</w:t>
            </w:r>
            <w:r>
              <w:t xml:space="preserve"> if so desired, transformed to meet individual target system requirements, standards based or not. </w:t>
            </w:r>
          </w:p>
          <w:p w14:paraId="58F37DB9" w14:textId="77777777" w:rsidR="006A12CC" w:rsidRDefault="006A12CC" w:rsidP="009E49C0">
            <w:pPr>
              <w:pStyle w:val="BodyText"/>
              <w:numPr>
                <w:ilvl w:val="0"/>
                <w:numId w:val="5"/>
              </w:numPr>
            </w:pPr>
            <w:r>
              <w:t>via standards-based NZ-SIF API, intended for use by SMSs as well as other systems upon their requesting it.</w:t>
            </w:r>
          </w:p>
        </w:tc>
      </w:tr>
      <w:tr w:rsidR="006A12CC" w14:paraId="471B1839" w14:textId="77777777" w:rsidTr="009E49C0">
        <w:tc>
          <w:tcPr>
            <w:tcW w:w="9628" w:type="dxa"/>
          </w:tcPr>
          <w:p w14:paraId="5FF3DD6A" w14:textId="77777777" w:rsidR="006A12CC" w:rsidRDefault="006A12CC" w:rsidP="004D21EE">
            <w:pPr>
              <w:pStyle w:val="Heading5"/>
            </w:pPr>
            <w:r>
              <w:t>Recoverability</w:t>
            </w:r>
          </w:p>
          <w:p w14:paraId="29820294" w14:textId="77777777" w:rsidR="006A12CC" w:rsidRDefault="006A12CC" w:rsidP="009E49C0">
            <w:pPr>
              <w:pStyle w:val="BodyText"/>
            </w:pPr>
            <w:r>
              <w:t>A metric as to the ability to recover previous versions of information.</w:t>
            </w:r>
          </w:p>
          <w:p w14:paraId="7BA99DC9" w14:textId="77777777" w:rsidR="006A12CC" w:rsidRDefault="006A12CC" w:rsidP="009E49C0">
            <w:pPr>
              <w:pStyle w:val="BodyText"/>
              <w:tabs>
                <w:tab w:val="center" w:pos="4402"/>
              </w:tabs>
            </w:pPr>
            <w:r>
              <w:t>Contributors to this quality may include:</w:t>
            </w:r>
          </w:p>
          <w:p w14:paraId="351726CD" w14:textId="77777777" w:rsidR="006A12CC" w:rsidRDefault="006A12CC" w:rsidP="009E49C0">
            <w:pPr>
              <w:pStyle w:val="BodyText"/>
              <w:numPr>
                <w:ilvl w:val="0"/>
                <w:numId w:val="5"/>
              </w:numPr>
              <w:tabs>
                <w:tab w:val="center" w:pos="4402"/>
              </w:tabs>
            </w:pPr>
            <w:r>
              <w:t xml:space="preserve">Improvable by implementing Versioning, </w:t>
            </w:r>
          </w:p>
          <w:p w14:paraId="543846D6" w14:textId="77777777" w:rsidR="006A12CC" w:rsidRDefault="006A12CC" w:rsidP="009E49C0">
            <w:pPr>
              <w:pStyle w:val="BodyText"/>
              <w:numPr>
                <w:ilvl w:val="0"/>
                <w:numId w:val="5"/>
              </w:numPr>
              <w:tabs>
                <w:tab w:val="center" w:pos="4402"/>
              </w:tabs>
            </w:pPr>
            <w:r>
              <w:lastRenderedPageBreak/>
              <w:t xml:space="preserve">Using Logical Deletion only, </w:t>
            </w:r>
          </w:p>
          <w:p w14:paraId="0E025AB5" w14:textId="77777777" w:rsidR="006A12CC" w:rsidRDefault="006A12CC" w:rsidP="009E49C0">
            <w:pPr>
              <w:pStyle w:val="BodyText"/>
              <w:numPr>
                <w:ilvl w:val="0"/>
                <w:numId w:val="5"/>
              </w:numPr>
              <w:tabs>
                <w:tab w:val="center" w:pos="4402"/>
              </w:tabs>
            </w:pPr>
            <w:r>
              <w:t xml:space="preserve">Doing periodic full and incremental backups, </w:t>
            </w:r>
          </w:p>
          <w:p w14:paraId="0B5E98DD" w14:textId="77777777" w:rsidR="006A12CC" w:rsidRDefault="006A12CC" w:rsidP="009E49C0">
            <w:pPr>
              <w:pStyle w:val="BodyText"/>
              <w:numPr>
                <w:ilvl w:val="0"/>
                <w:numId w:val="5"/>
              </w:numPr>
              <w:tabs>
                <w:tab w:val="center" w:pos="4402"/>
              </w:tabs>
            </w:pPr>
            <w:r>
              <w:t xml:space="preserve">permitting end user-initiated restoration and roll backs to only </w:t>
            </w:r>
            <w:proofErr w:type="gramStart"/>
            <w:r>
              <w:t>ones</w:t>
            </w:r>
            <w:proofErr w:type="gramEnd"/>
            <w:r>
              <w:t xml:space="preserve"> account of information.</w:t>
            </w:r>
          </w:p>
        </w:tc>
      </w:tr>
    </w:tbl>
    <w:p w14:paraId="50183F76" w14:textId="77777777" w:rsidR="006A12CC" w:rsidRDefault="006A12CC" w:rsidP="006A12CC">
      <w:pPr>
        <w:pStyle w:val="BodyText"/>
      </w:pPr>
    </w:p>
    <w:p w14:paraId="72017A98" w14:textId="77777777" w:rsidR="006A12CC" w:rsidRDefault="006A12CC" w:rsidP="006A12CC">
      <w:pPr>
        <w:pStyle w:val="BodyText"/>
      </w:pPr>
    </w:p>
    <w:p w14:paraId="746181EB" w14:textId="3C31D947" w:rsidR="00EF6743" w:rsidRDefault="00EF6743" w:rsidP="00EF6743">
      <w:pPr>
        <w:pStyle w:val="Heading2"/>
        <w:numPr>
          <w:ilvl w:val="1"/>
          <w:numId w:val="4"/>
        </w:numPr>
      </w:pPr>
      <w:bookmarkStart w:id="28" w:name="_Toc145065867"/>
      <w:r>
        <w:t>Information System Quality Expectations</w:t>
      </w:r>
      <w:bookmarkEnd w:id="24"/>
      <w:bookmarkEnd w:id="28"/>
    </w:p>
    <w:p w14:paraId="5BC1FF5E" w14:textId="77777777" w:rsidR="00EF6743" w:rsidRDefault="00EF6743" w:rsidP="00EF6743">
      <w:pPr>
        <w:pStyle w:val="BodyText"/>
      </w:pPr>
      <w:r>
        <w:t>Stakeholders desire systems – including Information systems as Edsby is an example of - to meet expected Qualities as defined by ISO-25010.</w:t>
      </w:r>
    </w:p>
    <w:p w14:paraId="3C6EA1AD" w14:textId="77777777" w:rsidR="00EF6743" w:rsidRPr="00E36212" w:rsidRDefault="00EF6743" w:rsidP="00EF6743">
      <w:pPr>
        <w:pStyle w:val="Note"/>
      </w:pPr>
      <w:r>
        <w:t>Note: ISO-25010 replaces the earlier and legacy FURPS approach to qualifying systems.</w:t>
      </w:r>
    </w:p>
    <w:p w14:paraId="7B3D2C3B" w14:textId="7704DE84" w:rsidR="00EF6743" w:rsidRDefault="006A12CC" w:rsidP="00EF6743">
      <w:pPr>
        <w:pStyle w:val="BodyText"/>
        <w:keepNext/>
        <w:jc w:val="center"/>
      </w:pPr>
      <w:r>
        <w:rPr>
          <w:noProof/>
        </w:rPr>
        <w:drawing>
          <wp:inline distT="0" distB="0" distL="0" distR="0" wp14:anchorId="3CA84F1B" wp14:editId="24C124B0">
            <wp:extent cx="5731510" cy="71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13740"/>
                    </a:xfrm>
                    <a:prstGeom prst="rect">
                      <a:avLst/>
                    </a:prstGeom>
                    <a:noFill/>
                    <a:ln>
                      <a:noFill/>
                    </a:ln>
                  </pic:spPr>
                </pic:pic>
              </a:graphicData>
            </a:graphic>
          </wp:inline>
        </w:drawing>
      </w:r>
    </w:p>
    <w:p w14:paraId="74D6D116" w14:textId="77777777" w:rsidR="00EF6743" w:rsidRPr="001177FA" w:rsidRDefault="00EF6743" w:rsidP="00EF6743">
      <w:pPr>
        <w:pStyle w:val="Caption"/>
        <w:jc w:val="center"/>
      </w:pPr>
      <w:bookmarkStart w:id="29" w:name="_Toc142213920"/>
      <w:bookmarkStart w:id="30" w:name="_Toc145067033"/>
      <w:r>
        <w:t xml:space="preserve">Figure </w:t>
      </w:r>
      <w:fldSimple w:instr=" SEQ Figure \* ARABIC ">
        <w:r>
          <w:rPr>
            <w:noProof/>
          </w:rPr>
          <w:t>26</w:t>
        </w:r>
      </w:fldSimple>
      <w:r>
        <w:t>: ISO-25010 System Qualities (HL)</w:t>
      </w:r>
      <w:bookmarkEnd w:id="29"/>
      <w:bookmarkEnd w:id="30"/>
    </w:p>
    <w:p w14:paraId="70202A5B" w14:textId="77777777" w:rsidR="00EF6743" w:rsidRDefault="00EF6743" w:rsidP="00EF6743">
      <w:pPr>
        <w:pStyle w:val="BodyText"/>
      </w:pPr>
    </w:p>
    <w:p w14:paraId="1D05DE85" w14:textId="77777777" w:rsidR="00EF6743" w:rsidRDefault="00EF6743" w:rsidP="00EF6743">
      <w:pPr>
        <w:pStyle w:val="Note"/>
      </w:pPr>
      <w:r w:rsidRPr="004D392E">
        <w:t xml:space="preserve">Note </w:t>
      </w:r>
      <w:r>
        <w:t xml:space="preserve">also </w:t>
      </w:r>
      <w:r w:rsidRPr="004D392E">
        <w:t>that ISO-25010, although still the most current standard used to define desired qualities of systems, was developed over a decade ago, prior to Privacy becoming a first-class concern in the IT industry.</w:t>
      </w:r>
    </w:p>
    <w:p w14:paraId="053658BB" w14:textId="0B2D69CC" w:rsidR="00EF6743" w:rsidRDefault="00EF6743" w:rsidP="00EF6743">
      <w:pPr>
        <w:pStyle w:val="Caption"/>
        <w:keepNext/>
      </w:pPr>
      <w:bookmarkStart w:id="31" w:name="_Toc142213893"/>
      <w:bookmarkStart w:id="32" w:name="_Toc145075283"/>
      <w:r>
        <w:t xml:space="preserve">Table </w:t>
      </w:r>
      <w:fldSimple w:instr=" SEQ Table \* ARABIC ">
        <w:r w:rsidR="001F43DD">
          <w:rPr>
            <w:noProof/>
          </w:rPr>
          <w:t>4</w:t>
        </w:r>
      </w:fldSimple>
      <w:r>
        <w:t>: ISO-25010 System Qualities (HL)</w:t>
      </w:r>
      <w:bookmarkEnd w:id="31"/>
      <w:bookmarkEnd w:id="32"/>
    </w:p>
    <w:tbl>
      <w:tblPr>
        <w:tblStyle w:val="Invisible"/>
        <w:tblW w:w="0" w:type="auto"/>
        <w:tblLook w:val="04A0" w:firstRow="1" w:lastRow="0" w:firstColumn="1" w:lastColumn="0" w:noHBand="0" w:noVBand="1"/>
      </w:tblPr>
      <w:tblGrid>
        <w:gridCol w:w="9021"/>
      </w:tblGrid>
      <w:tr w:rsidR="00EF6743" w14:paraId="4E9690DE" w14:textId="77777777" w:rsidTr="009E49C0">
        <w:tc>
          <w:tcPr>
            <w:tcW w:w="9628" w:type="dxa"/>
          </w:tcPr>
          <w:p w14:paraId="10F6AB32" w14:textId="77777777" w:rsidR="00EF6743" w:rsidRDefault="00EF6743" w:rsidP="004D21EE">
            <w:pPr>
              <w:pStyle w:val="Heading5"/>
            </w:pPr>
            <w:r>
              <w:t>Security</w:t>
            </w:r>
          </w:p>
          <w:p w14:paraId="47CF807A" w14:textId="77777777" w:rsidR="00CF33B9" w:rsidRDefault="00EF6743" w:rsidP="009E49C0">
            <w:pPr>
              <w:pStyle w:val="BodyText"/>
            </w:pPr>
            <w:r>
              <w:t>An iteratively</w:t>
            </w:r>
            <w:r>
              <w:rPr>
                <w:rStyle w:val="FootnoteReference"/>
              </w:rPr>
              <w:footnoteReference w:id="3"/>
            </w:r>
            <w:r>
              <w:t xml:space="preserve"> improvable metric of the security of the service – inclusive of the infrastructure and system code deployed to it. </w:t>
            </w:r>
          </w:p>
          <w:p w14:paraId="2E752B6A" w14:textId="77777777" w:rsidR="00CF33B9" w:rsidRDefault="00CF33B9" w:rsidP="00CF33B9">
            <w:pPr>
              <w:pStyle w:val="BodyText"/>
              <w:tabs>
                <w:tab w:val="center" w:pos="4402"/>
              </w:tabs>
            </w:pPr>
            <w:r>
              <w:t>Contributors to this quality may include:</w:t>
            </w:r>
          </w:p>
          <w:p w14:paraId="4EEF3F68" w14:textId="574EEAFB" w:rsidR="00CF33B9" w:rsidRDefault="00CF33B9" w:rsidP="00CF33B9">
            <w:pPr>
              <w:pStyle w:val="BodyText"/>
              <w:numPr>
                <w:ilvl w:val="0"/>
                <w:numId w:val="5"/>
              </w:numPr>
              <w:tabs>
                <w:tab w:val="center" w:pos="4402"/>
              </w:tabs>
            </w:pPr>
            <w:r>
              <w:t>HR hiring controls</w:t>
            </w:r>
            <w:r w:rsidR="00EF6743">
              <w:t xml:space="preserve">, </w:t>
            </w:r>
          </w:p>
          <w:p w14:paraId="47DE7FFD" w14:textId="34F48709" w:rsidR="00CF33B9" w:rsidRDefault="00CF33B9" w:rsidP="00CF33B9">
            <w:pPr>
              <w:pStyle w:val="BodyText"/>
              <w:numPr>
                <w:ilvl w:val="0"/>
                <w:numId w:val="5"/>
              </w:numPr>
              <w:tabs>
                <w:tab w:val="center" w:pos="4402"/>
              </w:tabs>
            </w:pPr>
            <w:r>
              <w:t xml:space="preserve">Using </w:t>
            </w:r>
            <w:r w:rsidR="00EF6743">
              <w:t>deployment pipeline</w:t>
            </w:r>
            <w:r>
              <w:t>s to limit access to environments and data</w:t>
            </w:r>
            <w:r w:rsidR="00EF6743">
              <w:t xml:space="preserve">, </w:t>
            </w:r>
          </w:p>
          <w:p w14:paraId="767FF6C0" w14:textId="617E5EAB" w:rsidR="00CF33B9" w:rsidRDefault="00EF6743" w:rsidP="00CF33B9">
            <w:pPr>
              <w:pStyle w:val="BodyText"/>
              <w:numPr>
                <w:ilvl w:val="0"/>
                <w:numId w:val="5"/>
              </w:numPr>
              <w:tabs>
                <w:tab w:val="center" w:pos="4402"/>
              </w:tabs>
            </w:pPr>
            <w:r>
              <w:t>deploying to ISO-27001 compliant</w:t>
            </w:r>
            <w:r w:rsidR="00CF33B9">
              <w:t xml:space="preserve"> hosting environments</w:t>
            </w:r>
            <w:r>
              <w:t xml:space="preserve">, </w:t>
            </w:r>
          </w:p>
          <w:p w14:paraId="3625C241" w14:textId="124B0432" w:rsidR="00CF33B9" w:rsidRDefault="00EF6743" w:rsidP="00CF33B9">
            <w:pPr>
              <w:pStyle w:val="BodyText"/>
              <w:numPr>
                <w:ilvl w:val="0"/>
                <w:numId w:val="5"/>
              </w:numPr>
              <w:tabs>
                <w:tab w:val="center" w:pos="4402"/>
              </w:tabs>
            </w:pPr>
            <w:r>
              <w:t>relying on static code analysis testing</w:t>
            </w:r>
            <w:r w:rsidR="00CF33B9">
              <w:t xml:space="preserve"> of source code to find </w:t>
            </w:r>
            <w:r w:rsidR="00CD2F35">
              <w:t>weaknesses,</w:t>
            </w:r>
            <w:r>
              <w:t xml:space="preserve"> </w:t>
            </w:r>
          </w:p>
          <w:p w14:paraId="6A754C80" w14:textId="6C04C93E" w:rsidR="00CF33B9" w:rsidRDefault="00CF33B9" w:rsidP="00CF33B9">
            <w:pPr>
              <w:pStyle w:val="BodyText"/>
              <w:numPr>
                <w:ilvl w:val="0"/>
                <w:numId w:val="5"/>
              </w:numPr>
              <w:tabs>
                <w:tab w:val="center" w:pos="4402"/>
              </w:tabs>
            </w:pPr>
            <w:r>
              <w:lastRenderedPageBreak/>
              <w:t xml:space="preserve">using </w:t>
            </w:r>
            <w:r w:rsidR="00EF6743">
              <w:t>independent security testing</w:t>
            </w:r>
            <w:r>
              <w:t xml:space="preserve"> when changing security controls designs</w:t>
            </w:r>
            <w:r w:rsidR="00EF6743">
              <w:t xml:space="preserve">, </w:t>
            </w:r>
          </w:p>
          <w:p w14:paraId="365B9609" w14:textId="77777777" w:rsidR="00CF33B9" w:rsidRDefault="00EF6743" w:rsidP="00CF33B9">
            <w:pPr>
              <w:pStyle w:val="BodyText"/>
              <w:numPr>
                <w:ilvl w:val="0"/>
                <w:numId w:val="5"/>
              </w:numPr>
              <w:tabs>
                <w:tab w:val="center" w:pos="4402"/>
              </w:tabs>
            </w:pPr>
            <w:r>
              <w:t xml:space="preserve">restricting and auditing access to </w:t>
            </w:r>
            <w:r w:rsidR="00CF33B9">
              <w:t xml:space="preserve">production environment </w:t>
            </w:r>
            <w:r>
              <w:t xml:space="preserve">infrastructure, system, </w:t>
            </w:r>
            <w:proofErr w:type="gramStart"/>
            <w:r>
              <w:t>data</w:t>
            </w:r>
            <w:proofErr w:type="gramEnd"/>
            <w:r>
              <w:t xml:space="preserve"> and information.</w:t>
            </w:r>
          </w:p>
          <w:p w14:paraId="5D8A7560" w14:textId="4D865BF2" w:rsidR="00CF33B9" w:rsidRDefault="00EF6743" w:rsidP="00CF33B9">
            <w:pPr>
              <w:pStyle w:val="BodyText"/>
              <w:numPr>
                <w:ilvl w:val="0"/>
                <w:numId w:val="5"/>
              </w:numPr>
              <w:tabs>
                <w:tab w:val="center" w:pos="4402"/>
              </w:tabs>
            </w:pPr>
            <w:r>
              <w:t xml:space="preserve">Security metrics are expected to </w:t>
            </w:r>
            <w:r w:rsidR="00CD2F35">
              <w:t>be collected</w:t>
            </w:r>
            <w:r w:rsidR="00CF33B9">
              <w:t xml:space="preserve"> </w:t>
            </w:r>
            <w:r>
              <w:t>primarily from 3</w:t>
            </w:r>
            <w:r w:rsidRPr="000C1655">
              <w:rPr>
                <w:vertAlign w:val="superscript"/>
              </w:rPr>
              <w:t>rd</w:t>
            </w:r>
            <w:r>
              <w:t xml:space="preserve"> party Security QA reports.</w:t>
            </w:r>
          </w:p>
          <w:p w14:paraId="7965B9D1" w14:textId="7C638FE1" w:rsidR="00EF6743" w:rsidRPr="004D21EE" w:rsidRDefault="00EF6743" w:rsidP="009E49C0">
            <w:pPr>
              <w:pStyle w:val="BodyText"/>
              <w:numPr>
                <w:ilvl w:val="0"/>
                <w:numId w:val="5"/>
              </w:numPr>
              <w:tabs>
                <w:tab w:val="center" w:pos="4402"/>
              </w:tabs>
              <w:rPr>
                <w:rFonts w:asciiTheme="minorHAnsi" w:hAnsiTheme="minorHAnsi"/>
              </w:rPr>
            </w:pPr>
            <w:r>
              <w:t xml:space="preserve">The SaaS and integration components are hosted on Azure, an ISO-27001 certified environment, the infrastructure and system is subject to regular vulnerability scanning and independent security testing, data is secure at rest (data encrypted storage within ISO-27001 compliant environments), and in transit (current SLA 1.3+ based encryption). </w:t>
            </w:r>
          </w:p>
        </w:tc>
      </w:tr>
      <w:tr w:rsidR="00EF6743" w14:paraId="4730A150" w14:textId="77777777" w:rsidTr="009E49C0">
        <w:tc>
          <w:tcPr>
            <w:tcW w:w="9628" w:type="dxa"/>
          </w:tcPr>
          <w:p w14:paraId="01407DED" w14:textId="77777777" w:rsidR="00EF6743" w:rsidRDefault="00EF6743" w:rsidP="004D21EE">
            <w:pPr>
              <w:pStyle w:val="Heading5"/>
            </w:pPr>
            <w:r>
              <w:lastRenderedPageBreak/>
              <w:t>Privacy</w:t>
            </w:r>
          </w:p>
          <w:p w14:paraId="3B2373D6" w14:textId="77777777" w:rsidR="00A82A5C" w:rsidRDefault="00EF6743" w:rsidP="009E49C0">
            <w:pPr>
              <w:pStyle w:val="BodyText"/>
            </w:pPr>
            <w:r>
              <w:t>An iteratively</w:t>
            </w:r>
            <w:r>
              <w:rPr>
                <w:rStyle w:val="FootnoteReference"/>
              </w:rPr>
              <w:footnoteReference w:id="4"/>
            </w:r>
            <w:r>
              <w:t xml:space="preserve"> improvable metric of the Privacy of the service. </w:t>
            </w:r>
          </w:p>
          <w:p w14:paraId="7A9A999D" w14:textId="77777777" w:rsidR="00A82A5C" w:rsidRDefault="00A82A5C" w:rsidP="00A82A5C">
            <w:pPr>
              <w:pStyle w:val="BodyText"/>
              <w:tabs>
                <w:tab w:val="center" w:pos="4402"/>
              </w:tabs>
            </w:pPr>
            <w:r>
              <w:t>Contributors to this quality may include:</w:t>
            </w:r>
          </w:p>
          <w:p w14:paraId="10D79828" w14:textId="77777777" w:rsidR="00A82A5C" w:rsidRDefault="00EF6743" w:rsidP="00A82A5C">
            <w:pPr>
              <w:pStyle w:val="BodyText"/>
              <w:numPr>
                <w:ilvl w:val="0"/>
                <w:numId w:val="5"/>
              </w:numPr>
              <w:tabs>
                <w:tab w:val="center" w:pos="4402"/>
              </w:tabs>
            </w:pPr>
            <w:r>
              <w:t xml:space="preserve">limiting the amount and scope of Personally Identifiable or Confidential information collected, </w:t>
            </w:r>
          </w:p>
          <w:p w14:paraId="450D1123" w14:textId="77777777" w:rsidR="00A82A5C" w:rsidRDefault="00EF6743" w:rsidP="00A82A5C">
            <w:pPr>
              <w:pStyle w:val="BodyText"/>
              <w:numPr>
                <w:ilvl w:val="0"/>
                <w:numId w:val="5"/>
              </w:numPr>
              <w:tabs>
                <w:tab w:val="center" w:pos="4402"/>
              </w:tabs>
            </w:pPr>
            <w:r>
              <w:t>obtaining consent first and informing users as to what information is collected, for what purpose, for how long stored, and how its quality can be improved and/or corrected</w:t>
            </w:r>
            <w:r w:rsidR="00A82A5C">
              <w:t>,</w:t>
            </w:r>
          </w:p>
          <w:p w14:paraId="222BA871" w14:textId="75299C6C" w:rsidR="00EF6743" w:rsidRDefault="00EF6743" w:rsidP="00A82A5C">
            <w:pPr>
              <w:pStyle w:val="BodyText"/>
              <w:numPr>
                <w:ilvl w:val="0"/>
                <w:numId w:val="5"/>
              </w:numPr>
              <w:tabs>
                <w:tab w:val="center" w:pos="4402"/>
              </w:tabs>
            </w:pPr>
            <w:r>
              <w:t>ensuring that Personal Information is only made available to Appropriately Authorised Users and Service Clients.</w:t>
            </w:r>
          </w:p>
          <w:p w14:paraId="7FE9CB7E" w14:textId="5862CBB3" w:rsidR="00EF6743" w:rsidRDefault="00EF6743" w:rsidP="009E49C0">
            <w:pPr>
              <w:pStyle w:val="BodyText"/>
            </w:pPr>
          </w:p>
        </w:tc>
      </w:tr>
      <w:tr w:rsidR="00EF6743" w14:paraId="3B864210" w14:textId="77777777" w:rsidTr="009E49C0">
        <w:tc>
          <w:tcPr>
            <w:tcW w:w="9628" w:type="dxa"/>
          </w:tcPr>
          <w:p w14:paraId="2FA957F3" w14:textId="77777777" w:rsidR="00EF6743" w:rsidRDefault="00EF6743" w:rsidP="004D21EE">
            <w:pPr>
              <w:pStyle w:val="Heading5"/>
            </w:pPr>
            <w:r>
              <w:t>Operability</w:t>
            </w:r>
          </w:p>
          <w:p w14:paraId="26E9E9CD" w14:textId="77777777" w:rsidR="00A82A5C" w:rsidRDefault="00EF6743" w:rsidP="009E49C0">
            <w:pPr>
              <w:pStyle w:val="BodyText"/>
            </w:pPr>
            <w:r>
              <w:t>An iteratively improvable metric of the system’s Functionality being operable by intended System Users.</w:t>
            </w:r>
          </w:p>
          <w:p w14:paraId="76BB2EEB" w14:textId="77777777" w:rsidR="00A82A5C" w:rsidRDefault="00A82A5C" w:rsidP="00A82A5C">
            <w:pPr>
              <w:pStyle w:val="BodyText"/>
              <w:tabs>
                <w:tab w:val="center" w:pos="4402"/>
              </w:tabs>
            </w:pPr>
            <w:r>
              <w:t>Contributors to this quality may include:</w:t>
            </w:r>
          </w:p>
          <w:p w14:paraId="158BADB0" w14:textId="39FC9480" w:rsidR="00A82A5C" w:rsidRDefault="00A82A5C" w:rsidP="00A82A5C">
            <w:pPr>
              <w:pStyle w:val="BodyText"/>
              <w:numPr>
                <w:ilvl w:val="0"/>
                <w:numId w:val="5"/>
              </w:numPr>
            </w:pPr>
            <w:r>
              <w:t xml:space="preserve">improvements to </w:t>
            </w:r>
            <w:r w:rsidR="00EF6743">
              <w:t xml:space="preserve">system </w:t>
            </w:r>
            <w:r>
              <w:t>flow,</w:t>
            </w:r>
          </w:p>
          <w:p w14:paraId="11CA0C80" w14:textId="22C85CBC" w:rsidR="00A82A5C" w:rsidRDefault="00A82A5C" w:rsidP="00A82A5C">
            <w:pPr>
              <w:pStyle w:val="BodyText"/>
              <w:numPr>
                <w:ilvl w:val="0"/>
                <w:numId w:val="5"/>
              </w:numPr>
            </w:pPr>
            <w:r>
              <w:t xml:space="preserve">improvements to </w:t>
            </w:r>
            <w:r w:rsidR="00EF6743">
              <w:t xml:space="preserve">user interface design to reduce barriers to use, </w:t>
            </w:r>
          </w:p>
          <w:p w14:paraId="48C904B0" w14:textId="599441C9" w:rsidR="00A82A5C" w:rsidRDefault="00EF6743" w:rsidP="00A82A5C">
            <w:pPr>
              <w:pStyle w:val="BodyText"/>
              <w:numPr>
                <w:ilvl w:val="0"/>
                <w:numId w:val="5"/>
              </w:numPr>
            </w:pPr>
            <w:r>
              <w:t>improving accessibility</w:t>
            </w:r>
            <w:r w:rsidR="00A82A5C">
              <w:t xml:space="preserve"> by adhering WCAG recommendations and meeting WCAG level definitions</w:t>
            </w:r>
            <w:r>
              <w:t xml:space="preserve">, </w:t>
            </w:r>
          </w:p>
          <w:p w14:paraId="0E9FCF9C" w14:textId="5984289D" w:rsidR="00EF6743" w:rsidRDefault="00A82A5C" w:rsidP="00A82A5C">
            <w:pPr>
              <w:pStyle w:val="BodyText"/>
              <w:numPr>
                <w:ilvl w:val="0"/>
                <w:numId w:val="5"/>
              </w:numPr>
            </w:pPr>
            <w:r>
              <w:lastRenderedPageBreak/>
              <w:t xml:space="preserve">improving accessibility by permitting change of </w:t>
            </w:r>
            <w:r w:rsidR="00EF6743">
              <w:t>communication language and media used</w:t>
            </w:r>
          </w:p>
          <w:p w14:paraId="3E16F756" w14:textId="2CA85895" w:rsidR="00A82A5C" w:rsidRDefault="00A82A5C" w:rsidP="00A82A5C">
            <w:pPr>
              <w:pStyle w:val="BodyText"/>
              <w:numPr>
                <w:ilvl w:val="0"/>
                <w:numId w:val="5"/>
              </w:numPr>
            </w:pPr>
            <w:r>
              <w:t xml:space="preserve">designing user interfaces to be used by the youngest target audience </w:t>
            </w:r>
            <w:proofErr w:type="gramStart"/>
            <w:r>
              <w:t>cohort, or</w:t>
            </w:r>
            <w:proofErr w:type="gramEnd"/>
            <w:r>
              <w:t xml:space="preserve"> permitting the user interface to be variable for different cohorts.</w:t>
            </w:r>
          </w:p>
          <w:p w14:paraId="23EC4E58" w14:textId="77777777" w:rsidR="00EF6743" w:rsidRDefault="00EF6743" w:rsidP="009E49C0">
            <w:pPr>
              <w:pStyle w:val="BodyText"/>
            </w:pPr>
            <w:r>
              <w:t>The service’s User Interfaces are intended for and designed for use by Intermediate Learners upwards their Whānau and Parents, and providers staff (Teachers, Provider Administrators. Principals) and invited Sector/Ministry specialists.</w:t>
            </w:r>
          </w:p>
        </w:tc>
      </w:tr>
      <w:tr w:rsidR="00EF6743" w14:paraId="08EB7226" w14:textId="77777777" w:rsidTr="009E49C0">
        <w:tc>
          <w:tcPr>
            <w:tcW w:w="9628" w:type="dxa"/>
          </w:tcPr>
          <w:p w14:paraId="28A12D37" w14:textId="77777777" w:rsidR="00EF6743" w:rsidRDefault="00EF6743" w:rsidP="004D21EE">
            <w:pPr>
              <w:pStyle w:val="Heading5"/>
            </w:pPr>
            <w:r>
              <w:lastRenderedPageBreak/>
              <w:t>Usability</w:t>
            </w:r>
          </w:p>
          <w:p w14:paraId="2F56BD94" w14:textId="77777777" w:rsidR="00A82A5C" w:rsidRDefault="00EF6743" w:rsidP="009E49C0">
            <w:pPr>
              <w:pStyle w:val="BodyText"/>
            </w:pPr>
            <w:r>
              <w:t>An iteratively</w:t>
            </w:r>
            <w:r>
              <w:rPr>
                <w:rStyle w:val="FootnoteReference"/>
              </w:rPr>
              <w:footnoteReference w:id="5"/>
            </w:r>
            <w:r>
              <w:t xml:space="preserve"> improvable metric of the service’s user interface ability to be Recognisable and actionable by intended System Users.</w:t>
            </w:r>
            <w:r>
              <w:br/>
            </w:r>
          </w:p>
          <w:p w14:paraId="05E1A964" w14:textId="77777777" w:rsidR="00A82A5C" w:rsidRDefault="00A82A5C" w:rsidP="00A82A5C">
            <w:pPr>
              <w:pStyle w:val="BodyText"/>
              <w:tabs>
                <w:tab w:val="center" w:pos="4402"/>
              </w:tabs>
            </w:pPr>
            <w:r>
              <w:t>Contributors to this quality may include:</w:t>
            </w:r>
          </w:p>
          <w:p w14:paraId="24F16657" w14:textId="77777777" w:rsidR="00A82A5C" w:rsidRDefault="00EF6743" w:rsidP="00A82A5C">
            <w:pPr>
              <w:pStyle w:val="BodyText"/>
              <w:numPr>
                <w:ilvl w:val="0"/>
                <w:numId w:val="5"/>
              </w:numPr>
              <w:tabs>
                <w:tab w:val="center" w:pos="4402"/>
              </w:tabs>
            </w:pPr>
            <w:r>
              <w:t xml:space="preserve">Improvable by providing wider access to more user roles, more functionality, </w:t>
            </w:r>
            <w:r w:rsidR="00A82A5C">
              <w:t xml:space="preserve">while </w:t>
            </w:r>
            <w:r>
              <w:t>meeting usability and accessibility interface design standards</w:t>
            </w:r>
            <w:r w:rsidR="00A82A5C">
              <w:t>,</w:t>
            </w:r>
          </w:p>
          <w:p w14:paraId="4A5062CF" w14:textId="1A1B50A4" w:rsidR="00EF6743" w:rsidRDefault="00EF6743" w:rsidP="00A82A5C">
            <w:pPr>
              <w:pStyle w:val="BodyText"/>
              <w:numPr>
                <w:ilvl w:val="0"/>
                <w:numId w:val="5"/>
              </w:numPr>
              <w:tabs>
                <w:tab w:val="center" w:pos="4402"/>
              </w:tabs>
            </w:pPr>
            <w:r>
              <w:t>Usability metrics can be sighted, baseline tested by specialists, and optionally ongoing automated tests using standard industry tools.</w:t>
            </w:r>
            <w:r>
              <w:br/>
              <w:t>The system’s UI are designed to be usable by Intermediate Provider users without undue assistance from other Learners, Parents, Whānau, Teachers.</w:t>
            </w:r>
            <w:r>
              <w:br/>
              <w:t>The system’s UIs are currently designed to be usable by Whanau members of medium IT capabilities.</w:t>
            </w:r>
            <w:r>
              <w:br/>
              <w:t>The system has been tested by QA specialists to meet NZ’s legal obligations prior to its initial deployment.</w:t>
            </w:r>
          </w:p>
        </w:tc>
      </w:tr>
      <w:tr w:rsidR="00EF6743" w14:paraId="05279625" w14:textId="77777777" w:rsidTr="009E49C0">
        <w:tc>
          <w:tcPr>
            <w:tcW w:w="9628" w:type="dxa"/>
          </w:tcPr>
          <w:p w14:paraId="4B86D234" w14:textId="77777777" w:rsidR="00EF6743" w:rsidRDefault="00EF6743" w:rsidP="004D21EE">
            <w:pPr>
              <w:pStyle w:val="Heading5"/>
            </w:pPr>
            <w:r>
              <w:t>Functionality</w:t>
            </w:r>
          </w:p>
          <w:p w14:paraId="1E259E90" w14:textId="77777777" w:rsidR="00A82A5C" w:rsidRDefault="00EF6743" w:rsidP="009E49C0">
            <w:pPr>
              <w:pStyle w:val="BodyText"/>
            </w:pPr>
            <w:r>
              <w:t>An iteratively improvable metric as to completeness and usefulness of the functionality provided by the service.</w:t>
            </w:r>
          </w:p>
          <w:p w14:paraId="07726456" w14:textId="77777777" w:rsidR="00A82A5C" w:rsidRDefault="00A82A5C" w:rsidP="00A82A5C">
            <w:pPr>
              <w:pStyle w:val="BodyText"/>
              <w:tabs>
                <w:tab w:val="center" w:pos="4402"/>
              </w:tabs>
            </w:pPr>
            <w:r>
              <w:t>Contributors to this quality may include:</w:t>
            </w:r>
          </w:p>
          <w:p w14:paraId="0E3AE9CA" w14:textId="2109423A" w:rsidR="00EF6743" w:rsidRDefault="00EF6743" w:rsidP="00A82A5C">
            <w:pPr>
              <w:pStyle w:val="BodyText"/>
              <w:numPr>
                <w:ilvl w:val="0"/>
                <w:numId w:val="5"/>
              </w:numPr>
            </w:pPr>
            <w:r>
              <w:t>increasing the outcomes delivered by functionality, not necessarily by increasing the scope of functionality offered</w:t>
            </w:r>
            <w:r w:rsidR="00A82A5C">
              <w:t>.</w:t>
            </w:r>
            <w:r>
              <w:br/>
              <w:t>The functionality provided is always improvable, but currently sufficient -- as demonstrated by the large number of stakeholder roles and countries currently using the service.</w:t>
            </w:r>
          </w:p>
        </w:tc>
      </w:tr>
      <w:tr w:rsidR="00EF6743" w14:paraId="7BE6EC02" w14:textId="77777777" w:rsidTr="009E49C0">
        <w:tc>
          <w:tcPr>
            <w:tcW w:w="9628" w:type="dxa"/>
          </w:tcPr>
          <w:p w14:paraId="5AB7BFEA" w14:textId="77777777" w:rsidR="00EF6743" w:rsidRDefault="00EF6743" w:rsidP="004D21EE">
            <w:pPr>
              <w:pStyle w:val="Heading5"/>
            </w:pPr>
            <w:r>
              <w:t>Performance</w:t>
            </w:r>
          </w:p>
          <w:p w14:paraId="17FD510E" w14:textId="77777777" w:rsidR="00A82A5C" w:rsidRDefault="00EF6743" w:rsidP="009E49C0">
            <w:pPr>
              <w:pStyle w:val="BodyText"/>
            </w:pPr>
            <w:r>
              <w:lastRenderedPageBreak/>
              <w:t xml:space="preserve">An iteratively improvable set of metrics of the responsiveness and throughput of the service. </w:t>
            </w:r>
          </w:p>
          <w:p w14:paraId="61D171B7" w14:textId="77777777" w:rsidR="00A82A5C" w:rsidRDefault="00A82A5C" w:rsidP="00A82A5C">
            <w:pPr>
              <w:pStyle w:val="BodyText"/>
              <w:tabs>
                <w:tab w:val="center" w:pos="4402"/>
              </w:tabs>
            </w:pPr>
            <w:r>
              <w:t>Contributors to this quality may include:</w:t>
            </w:r>
          </w:p>
          <w:p w14:paraId="7D7B8B19" w14:textId="77777777" w:rsidR="00A82A5C" w:rsidRDefault="00EF6743" w:rsidP="00A82A5C">
            <w:pPr>
              <w:pStyle w:val="BodyText"/>
              <w:numPr>
                <w:ilvl w:val="0"/>
                <w:numId w:val="5"/>
              </w:numPr>
              <w:tabs>
                <w:tab w:val="center" w:pos="4402"/>
              </w:tabs>
            </w:pPr>
            <w:r>
              <w:t>infrastructure and design choices to increase availability, caching, reduce latency, processing effort and data transfer between tiers</w:t>
            </w:r>
            <w:r w:rsidR="00A82A5C">
              <w:t>,</w:t>
            </w:r>
          </w:p>
          <w:p w14:paraId="629F1B9C" w14:textId="29BC982C" w:rsidR="00A82A5C" w:rsidRDefault="00A82A5C" w:rsidP="00A82A5C">
            <w:pPr>
              <w:pStyle w:val="BodyText"/>
              <w:numPr>
                <w:ilvl w:val="0"/>
                <w:numId w:val="5"/>
              </w:numPr>
              <w:tabs>
                <w:tab w:val="center" w:pos="4402"/>
              </w:tabs>
            </w:pPr>
            <w:r>
              <w:t xml:space="preserve">The use of </w:t>
            </w:r>
            <w:r w:rsidR="00EF6743">
              <w:t>Performance metrics can be periodically collected by logging operational metrics (average execution duration, etc.)</w:t>
            </w:r>
            <w:r>
              <w:t xml:space="preserve"> to automate dynamic changes in resource allocation (</w:t>
            </w:r>
            <w:proofErr w:type="gramStart"/>
            <w:r>
              <w:t>e.g.</w:t>
            </w:r>
            <w:proofErr w:type="gramEnd"/>
            <w:r>
              <w:t xml:space="preserve"> horizontal scaling),</w:t>
            </w:r>
            <w:r w:rsidR="00EF6743">
              <w:br/>
            </w:r>
          </w:p>
          <w:p w14:paraId="564A4FDE" w14:textId="3791776B" w:rsidR="00EF6743" w:rsidRDefault="00EF6743" w:rsidP="00A82A5C">
            <w:pPr>
              <w:pStyle w:val="BodyText"/>
              <w:tabs>
                <w:tab w:val="center" w:pos="4402"/>
              </w:tabs>
              <w:ind w:left="567"/>
            </w:pPr>
            <w:r>
              <w:t>Performance impacts by the technology choices of the vendor and the lag between NZ and AU cloud hosting are less than minor. Note that the distance lag is improvable when the cloud hosting provider opens a sovereign data centre on NZ territory and the service moved to it.</w:t>
            </w:r>
          </w:p>
        </w:tc>
      </w:tr>
      <w:tr w:rsidR="00EF6743" w14:paraId="2AE6E2D3" w14:textId="77777777" w:rsidTr="009E49C0">
        <w:tc>
          <w:tcPr>
            <w:tcW w:w="9628" w:type="dxa"/>
          </w:tcPr>
          <w:p w14:paraId="64F90C4C" w14:textId="77777777" w:rsidR="00EF6743" w:rsidRDefault="00EF6743" w:rsidP="004D21EE">
            <w:pPr>
              <w:pStyle w:val="Heading5"/>
            </w:pPr>
            <w:r>
              <w:lastRenderedPageBreak/>
              <w:t>Maintainability</w:t>
            </w:r>
          </w:p>
          <w:p w14:paraId="1388A7EB" w14:textId="77777777" w:rsidR="00A82A5C" w:rsidRDefault="00EF6743" w:rsidP="00A82A5C">
            <w:pPr>
              <w:pStyle w:val="BodyText"/>
              <w:tabs>
                <w:tab w:val="center" w:pos="4402"/>
              </w:tabs>
            </w:pPr>
            <w:r>
              <w:t>An iteratively improvable metric as to the quality of the system’s maintainability in terms of code, data schemas, etc.</w:t>
            </w:r>
          </w:p>
          <w:p w14:paraId="5623A45A" w14:textId="77777777" w:rsidR="00A82A5C" w:rsidRDefault="00A82A5C" w:rsidP="00A82A5C">
            <w:pPr>
              <w:pStyle w:val="BodyText"/>
              <w:tabs>
                <w:tab w:val="center" w:pos="4402"/>
              </w:tabs>
            </w:pPr>
            <w:r>
              <w:t>Contributors to this quality may include:</w:t>
            </w:r>
          </w:p>
          <w:p w14:paraId="774BC357" w14:textId="0823880B" w:rsidR="00A82A5C" w:rsidRDefault="00A82A5C" w:rsidP="00A82A5C">
            <w:pPr>
              <w:pStyle w:val="BodyText"/>
              <w:numPr>
                <w:ilvl w:val="0"/>
                <w:numId w:val="5"/>
              </w:numPr>
              <w:tabs>
                <w:tab w:val="center" w:pos="4402"/>
              </w:tabs>
            </w:pPr>
            <w:r>
              <w:t>Improving code maintainability</w:t>
            </w:r>
            <w:r w:rsidR="00EF6743">
              <w:t xml:space="preserve"> by following design patterns to reduce distracting </w:t>
            </w:r>
            <w:r>
              <w:t xml:space="preserve">code development </w:t>
            </w:r>
            <w:r w:rsidR="00EF6743">
              <w:t>effort (by incremental implementation of automation of repetitive tasks</w:t>
            </w:r>
            <w:r>
              <w:t>, such as deployment</w:t>
            </w:r>
            <w:r w:rsidR="00EF6743">
              <w:t xml:space="preserve">), </w:t>
            </w:r>
          </w:p>
          <w:p w14:paraId="6362454C" w14:textId="0F73486D" w:rsidR="00A82A5C" w:rsidRDefault="00EF6743" w:rsidP="00A82A5C">
            <w:pPr>
              <w:pStyle w:val="BodyText"/>
              <w:numPr>
                <w:ilvl w:val="0"/>
                <w:numId w:val="5"/>
              </w:numPr>
              <w:tabs>
                <w:tab w:val="center" w:pos="4402"/>
              </w:tabs>
            </w:pPr>
            <w:r>
              <w:t>improv</w:t>
            </w:r>
            <w:r w:rsidR="00A82A5C">
              <w:t>ing</w:t>
            </w:r>
            <w:r>
              <w:t xml:space="preserve"> certainty </w:t>
            </w:r>
            <w:r w:rsidR="00A82A5C">
              <w:t xml:space="preserve">of results </w:t>
            </w:r>
            <w:r>
              <w:t xml:space="preserve">(by following TDD patterns and automating security checks), </w:t>
            </w:r>
          </w:p>
          <w:p w14:paraId="16B21B3A" w14:textId="5FB94FAB" w:rsidR="00A82A5C" w:rsidRDefault="00EF6743" w:rsidP="00A82A5C">
            <w:pPr>
              <w:pStyle w:val="BodyText"/>
              <w:numPr>
                <w:ilvl w:val="0"/>
                <w:numId w:val="5"/>
              </w:numPr>
              <w:tabs>
                <w:tab w:val="center" w:pos="4402"/>
              </w:tabs>
            </w:pPr>
            <w:r>
              <w:t>design</w:t>
            </w:r>
            <w:r w:rsidR="00A82A5C">
              <w:t>ing</w:t>
            </w:r>
            <w:r>
              <w:t xml:space="preserve"> to reduce complexity (by following DDD system component design patterns), </w:t>
            </w:r>
          </w:p>
          <w:p w14:paraId="25CBFFFE" w14:textId="2270C141" w:rsidR="00A82A5C" w:rsidRDefault="00EF6743" w:rsidP="00A82A5C">
            <w:pPr>
              <w:pStyle w:val="BodyText"/>
              <w:numPr>
                <w:ilvl w:val="0"/>
                <w:numId w:val="5"/>
              </w:numPr>
              <w:tabs>
                <w:tab w:val="center" w:pos="4402"/>
              </w:tabs>
            </w:pPr>
            <w:r>
              <w:t>follow</w:t>
            </w:r>
            <w:r w:rsidR="00A82A5C">
              <w:t>ing</w:t>
            </w:r>
            <w:r>
              <w:t xml:space="preserve"> Object Oriented </w:t>
            </w:r>
            <w:r w:rsidR="00635441">
              <w:t xml:space="preserve">(OO) </w:t>
            </w:r>
            <w:r>
              <w:t xml:space="preserve">development patterns to reduce coupling while increasing cohesion of the </w:t>
            </w:r>
            <w:proofErr w:type="gramStart"/>
            <w:r>
              <w:t>code</w:t>
            </w:r>
            <w:proofErr w:type="gramEnd"/>
          </w:p>
          <w:p w14:paraId="4159BE50" w14:textId="162BB503" w:rsidR="00EF6743" w:rsidRDefault="00EF6743" w:rsidP="00A82A5C">
            <w:pPr>
              <w:pStyle w:val="BodyText"/>
              <w:tabs>
                <w:tab w:val="center" w:pos="4402"/>
              </w:tabs>
              <w:ind w:left="567"/>
            </w:pPr>
            <w:r>
              <w:t>Maintainability can be measured by sighting and to a certain extent by static analysis test automation.</w:t>
            </w:r>
            <w:r>
              <w:br/>
              <w:t>While the core SaaS components maintained as part of the Edsby service -- and not an externally measurable metric – the maintainability of the code for integration and support component custom development is measurable via standard industry static analysis tooling.</w:t>
            </w:r>
          </w:p>
        </w:tc>
      </w:tr>
      <w:tr w:rsidR="00EF6743" w14:paraId="4DB20E70" w14:textId="77777777" w:rsidTr="009E49C0">
        <w:tc>
          <w:tcPr>
            <w:tcW w:w="9628" w:type="dxa"/>
          </w:tcPr>
          <w:p w14:paraId="7698715F" w14:textId="77777777" w:rsidR="00EF6743" w:rsidRDefault="00EF6743" w:rsidP="004D21EE">
            <w:pPr>
              <w:pStyle w:val="Heading5"/>
            </w:pPr>
            <w:r>
              <w:t>Reliability</w:t>
            </w:r>
          </w:p>
          <w:p w14:paraId="64F51973" w14:textId="0AA6B9CD" w:rsidR="00A82A5C" w:rsidRDefault="00EF6743" w:rsidP="009E49C0">
            <w:pPr>
              <w:pStyle w:val="BodyText"/>
            </w:pPr>
            <w:r>
              <w:t>An iteratively improvable metric of availability of the service.</w:t>
            </w:r>
          </w:p>
          <w:p w14:paraId="672172C4" w14:textId="77777777" w:rsidR="00A82A5C" w:rsidRDefault="00A82A5C" w:rsidP="00A82A5C">
            <w:pPr>
              <w:pStyle w:val="BodyText"/>
              <w:tabs>
                <w:tab w:val="center" w:pos="4402"/>
              </w:tabs>
            </w:pPr>
            <w:r>
              <w:t>Contributors to this quality may include:</w:t>
            </w:r>
          </w:p>
          <w:p w14:paraId="31D978C1" w14:textId="46BE333E" w:rsidR="005F60A2" w:rsidRDefault="005F60A2" w:rsidP="009E49C0">
            <w:pPr>
              <w:pStyle w:val="BodyText"/>
              <w:numPr>
                <w:ilvl w:val="0"/>
                <w:numId w:val="5"/>
              </w:numPr>
            </w:pPr>
            <w:r>
              <w:lastRenderedPageBreak/>
              <w:t>Using reliable hosting infrastructure</w:t>
            </w:r>
            <w:r w:rsidR="009756FA">
              <w:t xml:space="preserve"> service, probably cloud, certainly ISO-27001 compliant,</w:t>
            </w:r>
          </w:p>
          <w:p w14:paraId="60B57864" w14:textId="08FECBB4" w:rsidR="005F60A2" w:rsidRDefault="00EF6743" w:rsidP="009E49C0">
            <w:pPr>
              <w:pStyle w:val="BodyText"/>
              <w:numPr>
                <w:ilvl w:val="0"/>
                <w:numId w:val="5"/>
              </w:numPr>
            </w:pPr>
            <w:r>
              <w:t>ensurin</w:t>
            </w:r>
            <w:r w:rsidR="00A82A5C">
              <w:t>g</w:t>
            </w:r>
            <w:r>
              <w:t xml:space="preserve"> </w:t>
            </w:r>
            <w:r w:rsidR="005F60A2">
              <w:t xml:space="preserve">automated </w:t>
            </w:r>
            <w:r>
              <w:t>backups</w:t>
            </w:r>
            <w:r w:rsidR="005F60A2">
              <w:t xml:space="preserve"> &amp; </w:t>
            </w:r>
            <w:r>
              <w:t>restoration</w:t>
            </w:r>
            <w:r w:rsidR="005F60A2">
              <w:t xml:space="preserve"> processes</w:t>
            </w:r>
            <w:r>
              <w:t xml:space="preserve">, </w:t>
            </w:r>
          </w:p>
          <w:p w14:paraId="589A3EDF" w14:textId="77777777" w:rsidR="009756FA" w:rsidRDefault="009756FA" w:rsidP="009E49C0">
            <w:pPr>
              <w:pStyle w:val="BodyText"/>
              <w:numPr>
                <w:ilvl w:val="0"/>
                <w:numId w:val="5"/>
              </w:numPr>
            </w:pPr>
            <w:r>
              <w:t xml:space="preserve">has full and incremental backup at a high cadence, </w:t>
            </w:r>
          </w:p>
          <w:p w14:paraId="2C806886" w14:textId="0B3CF1D6" w:rsidR="009756FA" w:rsidRDefault="009756FA" w:rsidP="009E49C0">
            <w:pPr>
              <w:pStyle w:val="BodyText"/>
              <w:numPr>
                <w:ilvl w:val="0"/>
                <w:numId w:val="5"/>
              </w:numPr>
            </w:pPr>
            <w:r>
              <w:t xml:space="preserve">automated and periodic backups are for </w:t>
            </w:r>
            <w:r w:rsidRPr="009756FA">
              <w:rPr>
                <w:i/>
                <w:iCs/>
              </w:rPr>
              <w:t>all</w:t>
            </w:r>
            <w:r>
              <w:t xml:space="preserve"> mutable data storage used: relational, </w:t>
            </w:r>
            <w:proofErr w:type="spellStart"/>
            <w:r>
              <w:t>nosql</w:t>
            </w:r>
            <w:proofErr w:type="spellEnd"/>
            <w:r>
              <w:t xml:space="preserve">, potentially including </w:t>
            </w:r>
            <w:proofErr w:type="spellStart"/>
            <w:r>
              <w:t>redis</w:t>
            </w:r>
            <w:proofErr w:type="spellEnd"/>
            <w:r>
              <w:t xml:space="preserve"> cache </w:t>
            </w:r>
            <w:proofErr w:type="gramStart"/>
            <w:r>
              <w:t>servers</w:t>
            </w:r>
            <w:proofErr w:type="gramEnd"/>
            <w:r>
              <w:t xml:space="preserve"> elastic storage, </w:t>
            </w:r>
          </w:p>
          <w:p w14:paraId="581BC81F" w14:textId="153EFD19" w:rsidR="005F60A2" w:rsidRDefault="00EF6743" w:rsidP="009E49C0">
            <w:pPr>
              <w:pStyle w:val="BodyText"/>
              <w:numPr>
                <w:ilvl w:val="0"/>
                <w:numId w:val="5"/>
              </w:numPr>
            </w:pPr>
            <w:r>
              <w:t xml:space="preserve">potentially providing </w:t>
            </w:r>
            <w:r w:rsidR="009756FA">
              <w:t xml:space="preserve">active-active </w:t>
            </w:r>
            <w:r>
              <w:t>redundancy</w:t>
            </w:r>
            <w:r w:rsidR="009756FA">
              <w:t xml:space="preserve"> (active passive is a deprecated pattern that just wastes 50% of infrastructure costs),</w:t>
            </w:r>
          </w:p>
          <w:p w14:paraId="661E495F" w14:textId="45FFE9F5" w:rsidR="005F60A2" w:rsidRDefault="009756FA" w:rsidP="005F60A2">
            <w:pPr>
              <w:pStyle w:val="BodyText"/>
              <w:numPr>
                <w:ilvl w:val="0"/>
                <w:numId w:val="5"/>
              </w:numPr>
            </w:pPr>
            <w:r>
              <w:t>p</w:t>
            </w:r>
            <w:r w:rsidR="005F60A2" w:rsidRPr="001E0C3F">
              <w:t xml:space="preserve">eriodic </w:t>
            </w:r>
            <w:r w:rsidR="005F60A2">
              <w:t>testing of data restorations is expected</w:t>
            </w:r>
            <w:r>
              <w:t>, preferably automated,</w:t>
            </w:r>
          </w:p>
          <w:p w14:paraId="391753B2" w14:textId="0C5C5A37" w:rsidR="009756FA" w:rsidRDefault="00EF6743" w:rsidP="005F60A2">
            <w:pPr>
              <w:pStyle w:val="BodyText"/>
              <w:numPr>
                <w:ilvl w:val="0"/>
                <w:numId w:val="5"/>
              </w:numPr>
            </w:pPr>
            <w:r>
              <w:t>The use of backup</w:t>
            </w:r>
            <w:r w:rsidR="005F60A2">
              <w:t xml:space="preserve"> restoration </w:t>
            </w:r>
            <w:r>
              <w:t>can be tested via automation</w:t>
            </w:r>
            <w:r w:rsidR="009756FA">
              <w:t>,</w:t>
            </w:r>
            <w:r>
              <w:t xml:space="preserve"> </w:t>
            </w:r>
          </w:p>
          <w:p w14:paraId="41346ACE" w14:textId="1219E102" w:rsidR="009756FA" w:rsidRDefault="009756FA" w:rsidP="005F60A2">
            <w:pPr>
              <w:pStyle w:val="BodyText"/>
              <w:numPr>
                <w:ilvl w:val="0"/>
                <w:numId w:val="5"/>
              </w:numPr>
            </w:pPr>
            <w:r>
              <w:t xml:space="preserve">Data, </w:t>
            </w:r>
            <w:proofErr w:type="gramStart"/>
            <w:r>
              <w:t>If</w:t>
            </w:r>
            <w:proofErr w:type="gramEnd"/>
            <w:r>
              <w:t xml:space="preserve"> using cloud infrastructure, is in a different data zone than logic servers,</w:t>
            </w:r>
          </w:p>
          <w:p w14:paraId="05D9D329" w14:textId="0A10AFF1" w:rsidR="009756FA" w:rsidRDefault="009756FA" w:rsidP="005F60A2">
            <w:pPr>
              <w:pStyle w:val="BodyText"/>
              <w:numPr>
                <w:ilvl w:val="0"/>
                <w:numId w:val="5"/>
              </w:numPr>
            </w:pPr>
            <w:r>
              <w:t xml:space="preserve">Data is restorable to a specific time in the past 31 </w:t>
            </w:r>
            <w:proofErr w:type="gramStart"/>
            <w:r>
              <w:t>days</w:t>
            </w:r>
            <w:proofErr w:type="gramEnd"/>
          </w:p>
          <w:p w14:paraId="23CC5486" w14:textId="506D7477" w:rsidR="005F60A2" w:rsidRDefault="00EF6743" w:rsidP="009756FA">
            <w:pPr>
              <w:pStyle w:val="BodyText"/>
              <w:ind w:left="567"/>
            </w:pPr>
            <w:r>
              <w:br/>
            </w:r>
          </w:p>
          <w:p w14:paraId="5142369B" w14:textId="38FC704A" w:rsidR="00EF6743" w:rsidRDefault="00EF6743" w:rsidP="005F60A2">
            <w:pPr>
              <w:pStyle w:val="BodyText"/>
              <w:ind w:left="567"/>
            </w:pPr>
            <w:r>
              <w:t>The service’s system components are hosted on the infrastructure of the second largest cloud service provider -- the same provider used by most if not all Government Agencies in NZ – with uptime ratio within contracted defined and accepted limits.</w:t>
            </w:r>
            <w:r>
              <w:br/>
              <w:t xml:space="preserve">The techniques, backups cadence, are different depending on whether for SaaS or organisation hosted components. </w:t>
            </w:r>
            <w:r>
              <w:br/>
              <w:t>While we are not responsible for Edsby service backups, it provides assurance that their four distinct data storage services (</w:t>
            </w:r>
            <w:r w:rsidR="00CD2F35">
              <w:t>SQL</w:t>
            </w:r>
            <w:r>
              <w:t xml:space="preserve"> Server, Redis, Elastic and Blob) use both duplication and backup strategies. </w:t>
            </w:r>
            <w:r>
              <w:br/>
            </w:r>
            <w:r w:rsidR="00CD2F35">
              <w:t>SQL</w:t>
            </w:r>
            <w:r>
              <w:t xml:space="preserve"> Server data is both duplicated to different geographic zones as well as backed up to permit rolling back to any time within the past 35 days. Redis is backed up every 5 minutes to Blob storage. Blob storage is restorable to any specific time in the past 35 days. Elastic is not backed up, because it is rebuildable dynamically.</w:t>
            </w:r>
          </w:p>
          <w:p w14:paraId="7435C421" w14:textId="2BF75B0C" w:rsidR="00EF6743" w:rsidRDefault="00EF6743" w:rsidP="009E49C0">
            <w:pPr>
              <w:pStyle w:val="BodyText"/>
            </w:pPr>
            <w:r>
              <w:t xml:space="preserve">Ministry managed services use Ministry architecture patterns (incremental backups &lt;=15minutes, full backups &lt;=every day) to meet standard organisation RPO and RTO targets. In fact, we use the same standard Azure supplied 30+day, point in time processes as CoreFour are using for </w:t>
            </w:r>
            <w:r w:rsidR="00CD2F35">
              <w:t>SQL</w:t>
            </w:r>
            <w:r>
              <w:t xml:space="preserve"> Server based data.</w:t>
            </w:r>
          </w:p>
        </w:tc>
      </w:tr>
      <w:tr w:rsidR="00EF6743" w14:paraId="04312424" w14:textId="77777777" w:rsidTr="009E49C0">
        <w:tc>
          <w:tcPr>
            <w:tcW w:w="9628" w:type="dxa"/>
          </w:tcPr>
          <w:p w14:paraId="42E0C09E" w14:textId="77777777" w:rsidR="00EF6743" w:rsidRDefault="00EF6743" w:rsidP="004D21EE">
            <w:pPr>
              <w:pStyle w:val="Heading5"/>
            </w:pPr>
            <w:r>
              <w:lastRenderedPageBreak/>
              <w:t>Compatibility</w:t>
            </w:r>
          </w:p>
          <w:p w14:paraId="7A8FC459" w14:textId="5B295C03" w:rsidR="009756FA" w:rsidRDefault="00EF6743" w:rsidP="009E49C0">
            <w:pPr>
              <w:pStyle w:val="BodyText"/>
            </w:pPr>
            <w:r>
              <w:t>An iteratively improvable metric of the ability for the system to export data to external services.</w:t>
            </w:r>
          </w:p>
          <w:p w14:paraId="2D3B9FE3" w14:textId="77777777" w:rsidR="009756FA" w:rsidRDefault="009756FA" w:rsidP="009756FA">
            <w:pPr>
              <w:pStyle w:val="BodyText"/>
              <w:tabs>
                <w:tab w:val="center" w:pos="4402"/>
              </w:tabs>
            </w:pPr>
            <w:r>
              <w:t>Contributors to this quality may include:</w:t>
            </w:r>
          </w:p>
          <w:p w14:paraId="40BB0D4E" w14:textId="77777777" w:rsidR="009756FA" w:rsidRDefault="00EF6743" w:rsidP="009756FA">
            <w:pPr>
              <w:pStyle w:val="BodyText"/>
              <w:numPr>
                <w:ilvl w:val="0"/>
                <w:numId w:val="5"/>
              </w:numPr>
            </w:pPr>
            <w:r>
              <w:lastRenderedPageBreak/>
              <w:t xml:space="preserve">improvable by using </w:t>
            </w:r>
            <w:r w:rsidR="009756FA">
              <w:t xml:space="preserve">standards for </w:t>
            </w:r>
            <w:r>
              <w:t>Integration, Transport, Encoding</w:t>
            </w:r>
            <w:r w:rsidR="009756FA">
              <w:t xml:space="preserve">, and </w:t>
            </w:r>
            <w:r>
              <w:t>data interchange</w:t>
            </w:r>
            <w:r w:rsidR="009756FA">
              <w:t>,</w:t>
            </w:r>
          </w:p>
          <w:p w14:paraId="4D14261D" w14:textId="3F67B88F" w:rsidR="009756FA" w:rsidRDefault="009756FA" w:rsidP="009756FA">
            <w:pPr>
              <w:pStyle w:val="BodyText"/>
              <w:numPr>
                <w:ilvl w:val="0"/>
                <w:numId w:val="5"/>
              </w:numPr>
            </w:pPr>
            <w:r>
              <w:t>although avoid relying on legacy standards when more modern and lighter patterns are available and in common use (e.g.</w:t>
            </w:r>
            <w:r w:rsidR="00C37AA5">
              <w:t>, avoid</w:t>
            </w:r>
            <w:r>
              <w:t xml:space="preserve"> </w:t>
            </w:r>
            <w:r w:rsidR="00C37AA5">
              <w:t>SOA &amp; SOAP based patterns</w:t>
            </w:r>
            <w:r>
              <w:t>, when REST is available).</w:t>
            </w:r>
          </w:p>
          <w:p w14:paraId="434A56BF" w14:textId="5DC797B7" w:rsidR="00EF6743" w:rsidRDefault="00EF6743" w:rsidP="009756FA">
            <w:pPr>
              <w:pStyle w:val="BodyText"/>
            </w:pPr>
            <w:r>
              <w:t>The use of standards can be sighted and/or tested via automated tests.</w:t>
            </w:r>
          </w:p>
          <w:p w14:paraId="15EEC610" w14:textId="77777777" w:rsidR="00EF6743" w:rsidRDefault="00EF6743" w:rsidP="009E49C0">
            <w:pPr>
              <w:pStyle w:val="BodyText"/>
            </w:pPr>
            <w:r>
              <w:t xml:space="preserve">The information within the system is made available to other systems via standards-based communication protocols (JSON over HTTPS) over standard development patterns (REST). </w:t>
            </w:r>
            <w:r>
              <w:br/>
              <w:t>Additionally, most pertinent information is available upon request from NZ-SIF compliant APIs.</w:t>
            </w:r>
          </w:p>
        </w:tc>
      </w:tr>
    </w:tbl>
    <w:p w14:paraId="0EC77423" w14:textId="29AB27D3" w:rsidR="00EF6743" w:rsidRDefault="00EF6743" w:rsidP="004D21EE">
      <w:pPr>
        <w:pStyle w:val="Tinyline"/>
      </w:pPr>
    </w:p>
    <w:p w14:paraId="26239196" w14:textId="759944FD" w:rsidR="00CF33B9" w:rsidRDefault="00CF33B9" w:rsidP="00530C0C">
      <w:pPr>
        <w:pStyle w:val="Appendices"/>
      </w:pPr>
      <w:bookmarkStart w:id="33" w:name="_Toc145065868"/>
      <w:r>
        <w:lastRenderedPageBreak/>
        <w:t>Appendices</w:t>
      </w:r>
      <w:bookmarkEnd w:id="33"/>
    </w:p>
    <w:p w14:paraId="30184638" w14:textId="27487EEB" w:rsidR="00530C0C" w:rsidRDefault="00530C0C" w:rsidP="00530C0C">
      <w:pPr>
        <w:pStyle w:val="Appendix"/>
      </w:pPr>
      <w:bookmarkStart w:id="34" w:name="_Toc145065869"/>
      <w:r>
        <w:t xml:space="preserve">Appendix A </w:t>
      </w:r>
      <w:r w:rsidR="008B783D">
        <w:t>–</w:t>
      </w:r>
      <w:r>
        <w:t xml:space="preserve"> Document</w:t>
      </w:r>
      <w:bookmarkEnd w:id="34"/>
      <w:r w:rsidR="008B783D">
        <w:t xml:space="preserve"> Information</w:t>
      </w:r>
    </w:p>
    <w:p w14:paraId="68DA1453" w14:textId="77777777" w:rsidR="00530C0C" w:rsidRDefault="00530C0C" w:rsidP="00530C0C">
      <w:pPr>
        <w:pStyle w:val="Heading3"/>
        <w:rPr>
          <w:color w:val="000000" w:themeColor="text1"/>
        </w:rPr>
      </w:pPr>
      <w:bookmarkStart w:id="35" w:name="_Toc145065870"/>
      <w:r w:rsidRPr="00EF6743">
        <w:t>Diagrams</w:t>
      </w:r>
      <w:bookmarkEnd w:id="35"/>
    </w:p>
    <w:p w14:paraId="019CC4E5" w14:textId="5B6A4DC2" w:rsidR="004D21EE" w:rsidRDefault="00530C0C">
      <w:pPr>
        <w:pStyle w:val="TableofFigures"/>
        <w:tabs>
          <w:tab w:val="right" w:leader="dot" w:pos="9016"/>
        </w:tabs>
        <w:rPr>
          <w:rFonts w:asciiTheme="minorHAnsi" w:eastAsiaTheme="minorEastAsia" w:hAnsiTheme="minorHAnsi"/>
          <w:noProof/>
          <w:sz w:val="22"/>
          <w:szCs w:val="22"/>
          <w:lang w:eastAsia="en-NZ"/>
        </w:rPr>
      </w:pPr>
      <w:r>
        <w:rPr>
          <w:rFonts w:eastAsia="Calibri" w:cs="Calibri"/>
          <w:color w:val="000000" w:themeColor="text1"/>
        </w:rPr>
        <w:fldChar w:fldCharType="begin"/>
      </w:r>
      <w:r>
        <w:rPr>
          <w:rFonts w:eastAsia="Calibri" w:cs="Calibri"/>
          <w:color w:val="000000" w:themeColor="text1"/>
        </w:rPr>
        <w:instrText xml:space="preserve"> TOC \h \z \c "Figure" </w:instrText>
      </w:r>
      <w:r>
        <w:rPr>
          <w:rFonts w:eastAsia="Calibri" w:cs="Calibri"/>
          <w:color w:val="000000" w:themeColor="text1"/>
        </w:rPr>
        <w:fldChar w:fldCharType="separate"/>
      </w:r>
      <w:hyperlink w:anchor="_Toc145067031" w:history="1">
        <w:r w:rsidR="004D21EE" w:rsidRPr="00BF0198">
          <w:rPr>
            <w:rStyle w:val="Hyperlink"/>
            <w:noProof/>
          </w:rPr>
          <w:t>Figure 24: ISO-25024 Qualities in Use (HL)</w:t>
        </w:r>
        <w:r w:rsidR="004D21EE">
          <w:rPr>
            <w:noProof/>
            <w:webHidden/>
          </w:rPr>
          <w:tab/>
        </w:r>
        <w:r w:rsidR="004D21EE">
          <w:rPr>
            <w:noProof/>
            <w:webHidden/>
          </w:rPr>
          <w:fldChar w:fldCharType="begin"/>
        </w:r>
        <w:r w:rsidR="004D21EE">
          <w:rPr>
            <w:noProof/>
            <w:webHidden/>
          </w:rPr>
          <w:instrText xml:space="preserve"> PAGEREF _Toc145067031 \h </w:instrText>
        </w:r>
        <w:r w:rsidR="004D21EE">
          <w:rPr>
            <w:noProof/>
            <w:webHidden/>
          </w:rPr>
        </w:r>
        <w:r w:rsidR="004D21EE">
          <w:rPr>
            <w:noProof/>
            <w:webHidden/>
          </w:rPr>
          <w:fldChar w:fldCharType="separate"/>
        </w:r>
        <w:r w:rsidR="004D21EE">
          <w:rPr>
            <w:noProof/>
            <w:webHidden/>
          </w:rPr>
          <w:t>4</w:t>
        </w:r>
        <w:r w:rsidR="004D21EE">
          <w:rPr>
            <w:noProof/>
            <w:webHidden/>
          </w:rPr>
          <w:fldChar w:fldCharType="end"/>
        </w:r>
      </w:hyperlink>
    </w:p>
    <w:p w14:paraId="763A2854" w14:textId="1B7C6B1A" w:rsidR="004D21EE" w:rsidRDefault="00000000">
      <w:pPr>
        <w:pStyle w:val="TableofFigures"/>
        <w:tabs>
          <w:tab w:val="right" w:leader="dot" w:pos="9016"/>
        </w:tabs>
        <w:rPr>
          <w:rFonts w:asciiTheme="minorHAnsi" w:eastAsiaTheme="minorEastAsia" w:hAnsiTheme="minorHAnsi"/>
          <w:noProof/>
          <w:sz w:val="22"/>
          <w:szCs w:val="22"/>
          <w:lang w:eastAsia="en-NZ"/>
        </w:rPr>
      </w:pPr>
      <w:hyperlink w:anchor="_Toc145067032" w:history="1">
        <w:r w:rsidR="004D21EE" w:rsidRPr="00BF0198">
          <w:rPr>
            <w:rStyle w:val="Hyperlink"/>
            <w:noProof/>
          </w:rPr>
          <w:t>Figure 25: ISO-25012 System Information Qualities (HL)</w:t>
        </w:r>
        <w:r w:rsidR="004D21EE">
          <w:rPr>
            <w:noProof/>
            <w:webHidden/>
          </w:rPr>
          <w:tab/>
        </w:r>
        <w:r w:rsidR="004D21EE">
          <w:rPr>
            <w:noProof/>
            <w:webHidden/>
          </w:rPr>
          <w:fldChar w:fldCharType="begin"/>
        </w:r>
        <w:r w:rsidR="004D21EE">
          <w:rPr>
            <w:noProof/>
            <w:webHidden/>
          </w:rPr>
          <w:instrText xml:space="preserve"> PAGEREF _Toc145067032 \h </w:instrText>
        </w:r>
        <w:r w:rsidR="004D21EE">
          <w:rPr>
            <w:noProof/>
            <w:webHidden/>
          </w:rPr>
        </w:r>
        <w:r w:rsidR="004D21EE">
          <w:rPr>
            <w:noProof/>
            <w:webHidden/>
          </w:rPr>
          <w:fldChar w:fldCharType="separate"/>
        </w:r>
        <w:r w:rsidR="004D21EE">
          <w:rPr>
            <w:noProof/>
            <w:webHidden/>
          </w:rPr>
          <w:t>7</w:t>
        </w:r>
        <w:r w:rsidR="004D21EE">
          <w:rPr>
            <w:noProof/>
            <w:webHidden/>
          </w:rPr>
          <w:fldChar w:fldCharType="end"/>
        </w:r>
      </w:hyperlink>
    </w:p>
    <w:p w14:paraId="302A25FD" w14:textId="3341EB44" w:rsidR="004D21EE" w:rsidRDefault="00000000">
      <w:pPr>
        <w:pStyle w:val="TableofFigures"/>
        <w:tabs>
          <w:tab w:val="right" w:leader="dot" w:pos="9016"/>
        </w:tabs>
        <w:rPr>
          <w:rFonts w:asciiTheme="minorHAnsi" w:eastAsiaTheme="minorEastAsia" w:hAnsiTheme="minorHAnsi"/>
          <w:noProof/>
          <w:sz w:val="22"/>
          <w:szCs w:val="22"/>
          <w:lang w:eastAsia="en-NZ"/>
        </w:rPr>
      </w:pPr>
      <w:hyperlink w:anchor="_Toc145067033" w:history="1">
        <w:r w:rsidR="004D21EE" w:rsidRPr="00BF0198">
          <w:rPr>
            <w:rStyle w:val="Hyperlink"/>
            <w:noProof/>
          </w:rPr>
          <w:t>Figure 26: ISO-25010 System Qualities (HL)</w:t>
        </w:r>
        <w:r w:rsidR="004D21EE">
          <w:rPr>
            <w:noProof/>
            <w:webHidden/>
          </w:rPr>
          <w:tab/>
        </w:r>
        <w:r w:rsidR="004D21EE">
          <w:rPr>
            <w:noProof/>
            <w:webHidden/>
          </w:rPr>
          <w:fldChar w:fldCharType="begin"/>
        </w:r>
        <w:r w:rsidR="004D21EE">
          <w:rPr>
            <w:noProof/>
            <w:webHidden/>
          </w:rPr>
          <w:instrText xml:space="preserve"> PAGEREF _Toc145067033 \h </w:instrText>
        </w:r>
        <w:r w:rsidR="004D21EE">
          <w:rPr>
            <w:noProof/>
            <w:webHidden/>
          </w:rPr>
        </w:r>
        <w:r w:rsidR="004D21EE">
          <w:rPr>
            <w:noProof/>
            <w:webHidden/>
          </w:rPr>
          <w:fldChar w:fldCharType="separate"/>
        </w:r>
        <w:r w:rsidR="004D21EE">
          <w:rPr>
            <w:noProof/>
            <w:webHidden/>
          </w:rPr>
          <w:t>17</w:t>
        </w:r>
        <w:r w:rsidR="004D21EE">
          <w:rPr>
            <w:noProof/>
            <w:webHidden/>
          </w:rPr>
          <w:fldChar w:fldCharType="end"/>
        </w:r>
      </w:hyperlink>
    </w:p>
    <w:p w14:paraId="122BEC73" w14:textId="5C002982" w:rsidR="00530C0C" w:rsidRDefault="00530C0C" w:rsidP="00530C0C">
      <w:pPr>
        <w:rPr>
          <w:rFonts w:eastAsia="Calibri" w:cs="Calibri"/>
          <w:color w:val="000000" w:themeColor="text1"/>
        </w:rPr>
      </w:pPr>
      <w:r>
        <w:rPr>
          <w:rFonts w:eastAsia="Calibri" w:cs="Calibri"/>
          <w:color w:val="000000" w:themeColor="text1"/>
        </w:rPr>
        <w:fldChar w:fldCharType="end"/>
      </w:r>
    </w:p>
    <w:p w14:paraId="3A1AB8F7" w14:textId="77777777" w:rsidR="00530C0C" w:rsidRDefault="00530C0C" w:rsidP="00530C0C">
      <w:pPr>
        <w:pStyle w:val="Heading3"/>
        <w:rPr>
          <w:color w:val="000000" w:themeColor="text1"/>
        </w:rPr>
      </w:pPr>
      <w:bookmarkStart w:id="36" w:name="_Toc145065871"/>
      <w:r w:rsidRPr="00EF6743">
        <w:t>Tables</w:t>
      </w:r>
      <w:bookmarkEnd w:id="36"/>
    </w:p>
    <w:p w14:paraId="68D5D95D" w14:textId="313A68AA" w:rsidR="008B783D" w:rsidRDefault="00530C0C">
      <w:pPr>
        <w:pStyle w:val="TableofFigures"/>
        <w:tabs>
          <w:tab w:val="right" w:leader="dot" w:pos="9016"/>
        </w:tabs>
        <w:rPr>
          <w:rFonts w:asciiTheme="minorHAnsi" w:eastAsiaTheme="minorEastAsia" w:hAnsiTheme="minorHAnsi"/>
          <w:noProof/>
          <w:sz w:val="22"/>
          <w:szCs w:val="22"/>
          <w:lang w:eastAsia="en-NZ"/>
        </w:rPr>
      </w:pPr>
      <w:r>
        <w:rPr>
          <w:rFonts w:eastAsia="Calibri"/>
        </w:rPr>
        <w:fldChar w:fldCharType="begin"/>
      </w:r>
      <w:r>
        <w:rPr>
          <w:rFonts w:eastAsia="Calibri"/>
        </w:rPr>
        <w:instrText xml:space="preserve"> TOC \h \z \c "Table" </w:instrText>
      </w:r>
      <w:r>
        <w:rPr>
          <w:rFonts w:eastAsia="Calibri"/>
        </w:rPr>
        <w:fldChar w:fldCharType="separate"/>
      </w:r>
      <w:hyperlink w:anchor="_Toc145075280" w:history="1">
        <w:r w:rsidR="008B783D" w:rsidRPr="00387337">
          <w:rPr>
            <w:rStyle w:val="Hyperlink"/>
            <w:noProof/>
          </w:rPr>
          <w:t>Table 1: List of ISOs that define ICT relevant Qualities</w:t>
        </w:r>
        <w:r w:rsidR="008B783D">
          <w:rPr>
            <w:noProof/>
            <w:webHidden/>
          </w:rPr>
          <w:tab/>
        </w:r>
        <w:r w:rsidR="008B783D">
          <w:rPr>
            <w:noProof/>
            <w:webHidden/>
          </w:rPr>
          <w:fldChar w:fldCharType="begin"/>
        </w:r>
        <w:r w:rsidR="008B783D">
          <w:rPr>
            <w:noProof/>
            <w:webHidden/>
          </w:rPr>
          <w:instrText xml:space="preserve"> PAGEREF _Toc145075280 \h </w:instrText>
        </w:r>
        <w:r w:rsidR="008B783D">
          <w:rPr>
            <w:noProof/>
            <w:webHidden/>
          </w:rPr>
        </w:r>
        <w:r w:rsidR="008B783D">
          <w:rPr>
            <w:noProof/>
            <w:webHidden/>
          </w:rPr>
          <w:fldChar w:fldCharType="separate"/>
        </w:r>
        <w:r w:rsidR="008B783D">
          <w:rPr>
            <w:noProof/>
            <w:webHidden/>
          </w:rPr>
          <w:t>4</w:t>
        </w:r>
        <w:r w:rsidR="008B783D">
          <w:rPr>
            <w:noProof/>
            <w:webHidden/>
          </w:rPr>
          <w:fldChar w:fldCharType="end"/>
        </w:r>
      </w:hyperlink>
    </w:p>
    <w:p w14:paraId="6F00B1A7" w14:textId="737DC7D9" w:rsidR="008B783D" w:rsidRDefault="00000000">
      <w:pPr>
        <w:pStyle w:val="TableofFigures"/>
        <w:tabs>
          <w:tab w:val="right" w:leader="dot" w:pos="9016"/>
        </w:tabs>
        <w:rPr>
          <w:rFonts w:asciiTheme="minorHAnsi" w:eastAsiaTheme="minorEastAsia" w:hAnsiTheme="minorHAnsi"/>
          <w:noProof/>
          <w:sz w:val="22"/>
          <w:szCs w:val="22"/>
          <w:lang w:eastAsia="en-NZ"/>
        </w:rPr>
      </w:pPr>
      <w:hyperlink w:anchor="_Toc145075281" w:history="1">
        <w:r w:rsidR="008B783D" w:rsidRPr="00387337">
          <w:rPr>
            <w:rStyle w:val="Hyperlink"/>
            <w:noProof/>
          </w:rPr>
          <w:t>Table 2: ISO-25022 Qualities In Use (HL)</w:t>
        </w:r>
        <w:r w:rsidR="008B783D">
          <w:rPr>
            <w:noProof/>
            <w:webHidden/>
          </w:rPr>
          <w:tab/>
        </w:r>
        <w:r w:rsidR="008B783D">
          <w:rPr>
            <w:noProof/>
            <w:webHidden/>
          </w:rPr>
          <w:fldChar w:fldCharType="begin"/>
        </w:r>
        <w:r w:rsidR="008B783D">
          <w:rPr>
            <w:noProof/>
            <w:webHidden/>
          </w:rPr>
          <w:instrText xml:space="preserve"> PAGEREF _Toc145075281 \h </w:instrText>
        </w:r>
        <w:r w:rsidR="008B783D">
          <w:rPr>
            <w:noProof/>
            <w:webHidden/>
          </w:rPr>
        </w:r>
        <w:r w:rsidR="008B783D">
          <w:rPr>
            <w:noProof/>
            <w:webHidden/>
          </w:rPr>
          <w:fldChar w:fldCharType="separate"/>
        </w:r>
        <w:r w:rsidR="008B783D">
          <w:rPr>
            <w:noProof/>
            <w:webHidden/>
          </w:rPr>
          <w:t>5</w:t>
        </w:r>
        <w:r w:rsidR="008B783D">
          <w:rPr>
            <w:noProof/>
            <w:webHidden/>
          </w:rPr>
          <w:fldChar w:fldCharType="end"/>
        </w:r>
      </w:hyperlink>
    </w:p>
    <w:p w14:paraId="08AC50F4" w14:textId="5042427A" w:rsidR="008B783D" w:rsidRDefault="00000000">
      <w:pPr>
        <w:pStyle w:val="TableofFigures"/>
        <w:tabs>
          <w:tab w:val="right" w:leader="dot" w:pos="9016"/>
        </w:tabs>
        <w:rPr>
          <w:rFonts w:asciiTheme="minorHAnsi" w:eastAsiaTheme="minorEastAsia" w:hAnsiTheme="minorHAnsi"/>
          <w:noProof/>
          <w:sz w:val="22"/>
          <w:szCs w:val="22"/>
          <w:lang w:eastAsia="en-NZ"/>
        </w:rPr>
      </w:pPr>
      <w:hyperlink w:anchor="_Toc145075282" w:history="1">
        <w:r w:rsidR="008B783D" w:rsidRPr="00387337">
          <w:rPr>
            <w:rStyle w:val="Hyperlink"/>
            <w:noProof/>
          </w:rPr>
          <w:t>Table 3: ISO-25012 System Information Qualities</w:t>
        </w:r>
        <w:r w:rsidR="008B783D">
          <w:rPr>
            <w:noProof/>
            <w:webHidden/>
          </w:rPr>
          <w:tab/>
        </w:r>
        <w:r w:rsidR="008B783D">
          <w:rPr>
            <w:noProof/>
            <w:webHidden/>
          </w:rPr>
          <w:fldChar w:fldCharType="begin"/>
        </w:r>
        <w:r w:rsidR="008B783D">
          <w:rPr>
            <w:noProof/>
            <w:webHidden/>
          </w:rPr>
          <w:instrText xml:space="preserve"> PAGEREF _Toc145075282 \h </w:instrText>
        </w:r>
        <w:r w:rsidR="008B783D">
          <w:rPr>
            <w:noProof/>
            <w:webHidden/>
          </w:rPr>
        </w:r>
        <w:r w:rsidR="008B783D">
          <w:rPr>
            <w:noProof/>
            <w:webHidden/>
          </w:rPr>
          <w:fldChar w:fldCharType="separate"/>
        </w:r>
        <w:r w:rsidR="008B783D">
          <w:rPr>
            <w:noProof/>
            <w:webHidden/>
          </w:rPr>
          <w:t>7</w:t>
        </w:r>
        <w:r w:rsidR="008B783D">
          <w:rPr>
            <w:noProof/>
            <w:webHidden/>
          </w:rPr>
          <w:fldChar w:fldCharType="end"/>
        </w:r>
      </w:hyperlink>
    </w:p>
    <w:p w14:paraId="55AA48BA" w14:textId="7EBBFC0F" w:rsidR="008B783D" w:rsidRDefault="00000000">
      <w:pPr>
        <w:pStyle w:val="TableofFigures"/>
        <w:tabs>
          <w:tab w:val="right" w:leader="dot" w:pos="9016"/>
        </w:tabs>
        <w:rPr>
          <w:rFonts w:asciiTheme="minorHAnsi" w:eastAsiaTheme="minorEastAsia" w:hAnsiTheme="minorHAnsi"/>
          <w:noProof/>
          <w:sz w:val="22"/>
          <w:szCs w:val="22"/>
          <w:lang w:eastAsia="en-NZ"/>
        </w:rPr>
      </w:pPr>
      <w:hyperlink w:anchor="_Toc145075283" w:history="1">
        <w:r w:rsidR="008B783D" w:rsidRPr="00387337">
          <w:rPr>
            <w:rStyle w:val="Hyperlink"/>
            <w:noProof/>
          </w:rPr>
          <w:t>Table 4: ISO-25010 System Qualities (HL)</w:t>
        </w:r>
        <w:r w:rsidR="008B783D">
          <w:rPr>
            <w:noProof/>
            <w:webHidden/>
          </w:rPr>
          <w:tab/>
        </w:r>
        <w:r w:rsidR="008B783D">
          <w:rPr>
            <w:noProof/>
            <w:webHidden/>
          </w:rPr>
          <w:fldChar w:fldCharType="begin"/>
        </w:r>
        <w:r w:rsidR="008B783D">
          <w:rPr>
            <w:noProof/>
            <w:webHidden/>
          </w:rPr>
          <w:instrText xml:space="preserve"> PAGEREF _Toc145075283 \h </w:instrText>
        </w:r>
        <w:r w:rsidR="008B783D">
          <w:rPr>
            <w:noProof/>
            <w:webHidden/>
          </w:rPr>
        </w:r>
        <w:r w:rsidR="008B783D">
          <w:rPr>
            <w:noProof/>
            <w:webHidden/>
          </w:rPr>
          <w:fldChar w:fldCharType="separate"/>
        </w:r>
        <w:r w:rsidR="008B783D">
          <w:rPr>
            <w:noProof/>
            <w:webHidden/>
          </w:rPr>
          <w:t>14</w:t>
        </w:r>
        <w:r w:rsidR="008B783D">
          <w:rPr>
            <w:noProof/>
            <w:webHidden/>
          </w:rPr>
          <w:fldChar w:fldCharType="end"/>
        </w:r>
      </w:hyperlink>
    </w:p>
    <w:p w14:paraId="3C8348CC" w14:textId="00B4E83B" w:rsidR="00530C0C" w:rsidRDefault="00530C0C" w:rsidP="00530C0C">
      <w:pPr>
        <w:rPr>
          <w:rFonts w:eastAsia="Calibri"/>
        </w:rPr>
      </w:pPr>
      <w:r>
        <w:rPr>
          <w:rFonts w:eastAsia="Calibri"/>
        </w:rPr>
        <w:fldChar w:fldCharType="end"/>
      </w:r>
    </w:p>
    <w:p w14:paraId="0D44D1EB" w14:textId="77777777" w:rsidR="008B783D" w:rsidRDefault="008B783D" w:rsidP="008B783D">
      <w:pPr>
        <w:pStyle w:val="Heading3"/>
        <w:rPr>
          <w:rFonts w:eastAsia="Calibri"/>
        </w:rPr>
      </w:pPr>
      <w:bookmarkStart w:id="37" w:name="_Toc145065872"/>
      <w:bookmarkStart w:id="38" w:name="_Toc145065873"/>
      <w:r>
        <w:rPr>
          <w:rFonts w:eastAsia="Calibri"/>
        </w:rPr>
        <w:t>Review Distribution</w:t>
      </w:r>
      <w:bookmarkEnd w:id="37"/>
      <w:r>
        <w:rPr>
          <w:rFonts w:eastAsia="Calibri"/>
        </w:rPr>
        <w:t xml:space="preserve"> </w:t>
      </w:r>
    </w:p>
    <w:p w14:paraId="2435E0C4" w14:textId="77777777" w:rsidR="008B783D" w:rsidRPr="00991020" w:rsidRDefault="008B783D" w:rsidP="008B783D">
      <w:pPr>
        <w:rPr>
          <w:rFonts w:eastAsia="Calibri" w:cs="Calibri"/>
          <w:color w:val="000000" w:themeColor="text1"/>
        </w:rPr>
      </w:pPr>
      <w:r w:rsidRPr="7C66ECE0">
        <w:rPr>
          <w:rFonts w:eastAsia="Calibri" w:cs="Calibri"/>
          <w:color w:val="000000" w:themeColor="text1"/>
        </w:rPr>
        <w:t>Distribution/Review List:</w:t>
      </w:r>
    </w:p>
    <w:p w14:paraId="41FC821D" w14:textId="77777777" w:rsidR="008B783D" w:rsidRDefault="008B783D" w:rsidP="008B783D">
      <w:pPr>
        <w:pStyle w:val="BodyText"/>
        <w:numPr>
          <w:ilvl w:val="3"/>
          <w:numId w:val="1"/>
        </w:numPr>
        <w:ind w:left="284" w:hanging="284"/>
      </w:pPr>
      <w:r>
        <w:t>Sandy Britain, Enterprise Architect, TPHM</w:t>
      </w:r>
    </w:p>
    <w:p w14:paraId="0F18743F" w14:textId="77777777" w:rsidR="008B783D" w:rsidRDefault="008B783D" w:rsidP="008B783D">
      <w:pPr>
        <w:pStyle w:val="BodyText"/>
        <w:numPr>
          <w:ilvl w:val="3"/>
          <w:numId w:val="1"/>
        </w:numPr>
        <w:ind w:left="284" w:hanging="284"/>
      </w:pPr>
      <w:r>
        <w:t>Amy Orr, Data Architect, TPHM</w:t>
      </w:r>
    </w:p>
    <w:p w14:paraId="383042F8" w14:textId="77777777" w:rsidR="008B783D" w:rsidRDefault="008B783D" w:rsidP="008B783D">
      <w:pPr>
        <w:pStyle w:val="BodyText"/>
        <w:numPr>
          <w:ilvl w:val="3"/>
          <w:numId w:val="1"/>
        </w:numPr>
        <w:ind w:left="284" w:hanging="284"/>
      </w:pPr>
      <w:r>
        <w:t>Dijana Sneath, Business Analyst, TPHM Analysis and Design</w:t>
      </w:r>
    </w:p>
    <w:p w14:paraId="2E85F2C5" w14:textId="77777777" w:rsidR="008B783D" w:rsidRPr="00FE6AEE" w:rsidRDefault="008B783D" w:rsidP="008B783D">
      <w:pPr>
        <w:pStyle w:val="BodyText"/>
        <w:numPr>
          <w:ilvl w:val="3"/>
          <w:numId w:val="1"/>
        </w:numPr>
        <w:ind w:left="284" w:hanging="284"/>
      </w:pPr>
      <w:r>
        <w:t>Archana Sahani, Business Analyst, TPHM Analysis and Design</w:t>
      </w:r>
    </w:p>
    <w:bookmarkEnd w:id="38"/>
    <w:p w14:paraId="0A9AE8DC" w14:textId="1A497402" w:rsidR="00530C0C" w:rsidRDefault="008B783D" w:rsidP="008B783D">
      <w:pPr>
        <w:pStyle w:val="Heading2"/>
        <w:rPr>
          <w:rFonts w:eastAsiaTheme="minorEastAsia"/>
        </w:rPr>
      </w:pPr>
      <w:r>
        <w:rPr>
          <w:rFonts w:eastAsia="Calibri"/>
        </w:rPr>
        <w:t>Conventions: Diagrams</w:t>
      </w:r>
    </w:p>
    <w:p w14:paraId="51F390F0" w14:textId="1FC3F0F9" w:rsidR="00530C0C" w:rsidRPr="00530C0C" w:rsidRDefault="00530C0C" w:rsidP="00530C0C">
      <w:r>
        <w:rPr>
          <w:rFonts w:eastAsia="Calibri" w:cs="Calibri"/>
          <w:color w:val="000000" w:themeColor="text1"/>
        </w:rPr>
        <w:t>Unless solely for a technical audience, where standards based industry diagram conventions (</w:t>
      </w:r>
      <w:r w:rsidR="00CD2F35">
        <w:rPr>
          <w:rFonts w:eastAsia="Calibri" w:cs="Calibri"/>
          <w:color w:val="000000" w:themeColor="text1"/>
        </w:rPr>
        <w:t>ArchiMate</w:t>
      </w:r>
      <w:r>
        <w:rPr>
          <w:rFonts w:eastAsia="Calibri" w:cs="Calibri"/>
          <w:color w:val="000000" w:themeColor="text1"/>
        </w:rPr>
        <w:t>/UML/C4</w:t>
      </w:r>
      <w:proofErr w:type="gramStart"/>
      <w:r>
        <w:rPr>
          <w:rFonts w:eastAsia="Calibri" w:cs="Calibri"/>
          <w:color w:val="000000" w:themeColor="text1"/>
        </w:rPr>
        <w:t>)  are</w:t>
      </w:r>
      <w:proofErr w:type="gramEnd"/>
      <w:r>
        <w:rPr>
          <w:rFonts w:eastAsia="Calibri" w:cs="Calibri"/>
          <w:color w:val="000000" w:themeColor="text1"/>
        </w:rPr>
        <w:t xml:space="preserve"> called for, </w:t>
      </w:r>
      <w:r w:rsidRPr="1F2EC68B">
        <w:rPr>
          <w:rFonts w:eastAsia="Calibri" w:cs="Calibri"/>
          <w:color w:val="000000" w:themeColor="text1"/>
        </w:rPr>
        <w:t xml:space="preserve">diagrams </w:t>
      </w:r>
      <w:r>
        <w:rPr>
          <w:rFonts w:eastAsia="Calibri" w:cs="Calibri"/>
          <w:color w:val="000000" w:themeColor="text1"/>
        </w:rPr>
        <w:t>are developed as simple “boxes &amp; lines” for a broader audience</w:t>
      </w:r>
      <w:r w:rsidRPr="1F2EC68B">
        <w:rPr>
          <w:rFonts w:eastAsia="Calibri" w:cs="Calibri"/>
          <w:color w:val="000000" w:themeColor="text1"/>
        </w:rPr>
        <w:t>.</w:t>
      </w:r>
    </w:p>
    <w:p w14:paraId="4F973012" w14:textId="7F689EE6" w:rsidR="00B66B92" w:rsidRDefault="00B66B92" w:rsidP="00530C0C">
      <w:pPr>
        <w:pStyle w:val="Heading3"/>
      </w:pPr>
      <w:bookmarkStart w:id="39" w:name="_Toc145065874"/>
      <w:r>
        <w:t>Terms</w:t>
      </w:r>
      <w:bookmarkEnd w:id="39"/>
    </w:p>
    <w:p w14:paraId="13F88C35" w14:textId="080B327B" w:rsidR="00CF33B9" w:rsidRPr="00CF33B9" w:rsidRDefault="00B66B92" w:rsidP="00CF33B9">
      <w:pPr>
        <w:pStyle w:val="BodyText"/>
      </w:pPr>
      <w:r>
        <w:t>N/A</w:t>
      </w:r>
    </w:p>
    <w:sectPr w:rsidR="00CF33B9" w:rsidRPr="00CF33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an Heward" w:date="2023-02-24T12:44:00Z" w:initials="AH">
    <w:p w14:paraId="420A5A9C" w14:textId="77777777" w:rsidR="00EF6743" w:rsidRDefault="00EF6743" w:rsidP="00EF6743">
      <w:pPr>
        <w:pStyle w:val="CommentText"/>
      </w:pPr>
      <w:r>
        <w:rPr>
          <w:rStyle w:val="CommentReference"/>
        </w:rPr>
        <w:annotationRef/>
      </w:r>
      <w:r>
        <w:t>These are fine in themselves, are we commenting on how Te Rito delivers these Qualities?</w:t>
      </w:r>
    </w:p>
  </w:comment>
  <w:comment w:id="11" w:author="Sky Sigal" w:date="2023-03-14T13:46:00Z" w:initials="SS">
    <w:p w14:paraId="2242E7F1" w14:textId="77777777" w:rsidR="00EF6743" w:rsidRDefault="00EF6743" w:rsidP="00EF6743">
      <w:pPr>
        <w:pStyle w:val="CommentText"/>
      </w:pPr>
      <w:r>
        <w:rPr>
          <w:rStyle w:val="CommentReference"/>
        </w:rPr>
        <w:annotationRef/>
      </w:r>
      <w:r>
        <w:t>Gave some examples, to affect QA testing directions in that view.</w:t>
      </w:r>
    </w:p>
  </w:comment>
  <w:comment w:id="26" w:author="Alan Heward" w:date="2023-02-24T12:47:00Z" w:initials="AH">
    <w:p w14:paraId="757D168D" w14:textId="77777777" w:rsidR="006A12CC" w:rsidRDefault="006A12CC" w:rsidP="006A12CC">
      <w:pPr>
        <w:pStyle w:val="CommentText"/>
      </w:pPr>
      <w:r>
        <w:rPr>
          <w:rStyle w:val="CommentReference"/>
        </w:rPr>
        <w:annotationRef/>
      </w:r>
      <w:r w:rsidRPr="00500744">
        <w:t>2022 Availability</w:t>
      </w:r>
      <w:r>
        <w:t xml:space="preserve"> gives a measured</w:t>
      </w:r>
      <w:r w:rsidRPr="00500744">
        <w:t xml:space="preserve"> average 99.96%</w:t>
      </w:r>
    </w:p>
  </w:comment>
  <w:comment w:id="27" w:author="Sky Sigal" w:date="2023-03-14T13:58:00Z" w:initials="SS">
    <w:p w14:paraId="5AD702E0" w14:textId="77777777" w:rsidR="006A12CC" w:rsidRDefault="006A12CC" w:rsidP="006A12CC">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0A5A9C" w15:done="1"/>
  <w15:commentEx w15:paraId="2242E7F1" w15:paraIdParent="420A5A9C" w15:done="1"/>
  <w15:commentEx w15:paraId="757D168D" w15:done="1"/>
  <w15:commentEx w15:paraId="5AD702E0" w15:paraIdParent="757D168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2F92" w16cex:dateUtc="2023-02-23T23:44:00Z"/>
  <w16cex:commentExtensible w16cex:durableId="27BAF91E" w16cex:dateUtc="2023-03-14T00:46:00Z"/>
  <w16cex:commentExtensible w16cex:durableId="27A33078" w16cex:dateUtc="2023-02-23T23:47:00Z"/>
  <w16cex:commentExtensible w16cex:durableId="27BAFC00" w16cex:dateUtc="2023-03-14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0A5A9C" w16cid:durableId="27A32F92"/>
  <w16cid:commentId w16cid:paraId="2242E7F1" w16cid:durableId="27BAF91E"/>
  <w16cid:commentId w16cid:paraId="757D168D" w16cid:durableId="27A33078"/>
  <w16cid:commentId w16cid:paraId="5AD702E0" w16cid:durableId="27BAF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5D74" w14:textId="77777777" w:rsidR="00232E1F" w:rsidRDefault="00232E1F" w:rsidP="00943CE0">
      <w:pPr>
        <w:spacing w:after="0" w:line="240" w:lineRule="auto"/>
      </w:pPr>
      <w:r>
        <w:separator/>
      </w:r>
    </w:p>
  </w:endnote>
  <w:endnote w:type="continuationSeparator" w:id="0">
    <w:p w14:paraId="4960D568" w14:textId="77777777" w:rsidR="00232E1F" w:rsidRDefault="00232E1F"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C19D" w14:textId="77777777" w:rsidR="00232E1F" w:rsidRDefault="00232E1F" w:rsidP="00943CE0">
      <w:pPr>
        <w:spacing w:after="0" w:line="240" w:lineRule="auto"/>
      </w:pPr>
      <w:r>
        <w:separator/>
      </w:r>
    </w:p>
  </w:footnote>
  <w:footnote w:type="continuationSeparator" w:id="0">
    <w:p w14:paraId="146E971E" w14:textId="77777777" w:rsidR="00232E1F" w:rsidRDefault="00232E1F" w:rsidP="00943CE0">
      <w:pPr>
        <w:spacing w:after="0" w:line="240" w:lineRule="auto"/>
      </w:pPr>
      <w:r>
        <w:continuationSeparator/>
      </w:r>
    </w:p>
  </w:footnote>
  <w:footnote w:id="1">
    <w:p w14:paraId="7EF4EC2C" w14:textId="5354E599" w:rsidR="00D030D0" w:rsidRDefault="00D030D0">
      <w:pPr>
        <w:pStyle w:val="FootnoteText"/>
      </w:pPr>
      <w:r>
        <w:rPr>
          <w:rStyle w:val="FootnoteReference"/>
        </w:rPr>
        <w:footnoteRef/>
      </w:r>
      <w:r>
        <w:t xml:space="preserve"> ISO-25010, ISO-25012, ISO-25022</w:t>
      </w:r>
    </w:p>
  </w:footnote>
  <w:footnote w:id="2">
    <w:p w14:paraId="57D81BD4" w14:textId="27C6262A" w:rsidR="00FC5081" w:rsidRDefault="00FC5081">
      <w:pPr>
        <w:pStyle w:val="FootnoteText"/>
      </w:pPr>
      <w:r>
        <w:rPr>
          <w:rStyle w:val="FootnoteReference"/>
        </w:rPr>
        <w:footnoteRef/>
      </w:r>
      <w:r>
        <w:t xml:space="preserve"> The ISOs provide a rigour of thought that was unavailable earlier in the era of using “FURPS”, “FURPS+”, etc. develop </w:t>
      </w:r>
      <w:r w:rsidR="004D21EE">
        <w:t>Non-Functional</w:t>
      </w:r>
      <w:r>
        <w:t xml:space="preserve"> Requirements.</w:t>
      </w:r>
    </w:p>
  </w:footnote>
  <w:footnote w:id="3">
    <w:p w14:paraId="3A184925" w14:textId="77777777" w:rsidR="00EF6743" w:rsidRDefault="00EF6743" w:rsidP="00EF6743">
      <w:pPr>
        <w:pStyle w:val="FootnoteText"/>
      </w:pPr>
      <w:r>
        <w:rPr>
          <w:rStyle w:val="FootnoteReference"/>
        </w:rPr>
        <w:footnoteRef/>
      </w:r>
      <w:r>
        <w:t xml:space="preserve"> Note that legal obligations define a minimum required before a system can be deployed to a production data environment.</w:t>
      </w:r>
    </w:p>
  </w:footnote>
  <w:footnote w:id="4">
    <w:p w14:paraId="50BADFA4" w14:textId="77777777" w:rsidR="00EF6743" w:rsidRDefault="00EF6743" w:rsidP="00EF6743">
      <w:pPr>
        <w:pStyle w:val="FootnoteText"/>
      </w:pPr>
      <w:r>
        <w:rPr>
          <w:rStyle w:val="FootnoteReference"/>
        </w:rPr>
        <w:footnoteRef/>
      </w:r>
      <w:r>
        <w:t xml:space="preserve"> Note that legal obligations define a minimum required before a system can be deployed to a production data environment.</w:t>
      </w:r>
    </w:p>
  </w:footnote>
  <w:footnote w:id="5">
    <w:p w14:paraId="2C227032" w14:textId="77777777" w:rsidR="00EF6743" w:rsidRDefault="00EF6743" w:rsidP="00EF6743">
      <w:pPr>
        <w:pStyle w:val="FootnoteText"/>
      </w:pPr>
      <w:r>
        <w:rPr>
          <w:rStyle w:val="FootnoteReference"/>
        </w:rPr>
        <w:footnoteRef/>
      </w:r>
      <w:r>
        <w:t xml:space="preserve"> Note that legal obligations define a minimum required before a system can be deployed to a production data environment.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589"/>
    <w:multiLevelType w:val="hybridMultilevel"/>
    <w:tmpl w:val="44087D02"/>
    <w:lvl w:ilvl="0" w:tplc="C9208C7C">
      <w:start w:val="1"/>
      <w:numFmt w:val="bullet"/>
      <w:lvlText w:val="-"/>
      <w:lvlJc w:val="left"/>
      <w:pPr>
        <w:ind w:left="360" w:hanging="360"/>
      </w:pPr>
      <w:rPr>
        <w:rFonts w:ascii="Calibri" w:hAnsi="Calibri" w:hint="default"/>
      </w:rPr>
    </w:lvl>
    <w:lvl w:ilvl="1" w:tplc="098EE016">
      <w:start w:val="1"/>
      <w:numFmt w:val="bullet"/>
      <w:lvlText w:val="o"/>
      <w:lvlJc w:val="left"/>
      <w:pPr>
        <w:ind w:left="1080" w:hanging="360"/>
      </w:pPr>
      <w:rPr>
        <w:rFonts w:ascii="Courier New" w:hAnsi="Courier New" w:hint="default"/>
      </w:rPr>
    </w:lvl>
    <w:lvl w:ilvl="2" w:tplc="63B23BBA">
      <w:start w:val="1"/>
      <w:numFmt w:val="bullet"/>
      <w:lvlText w:val=""/>
      <w:lvlJc w:val="left"/>
      <w:pPr>
        <w:ind w:left="1800" w:hanging="360"/>
      </w:pPr>
      <w:rPr>
        <w:rFonts w:ascii="Wingdings" w:hAnsi="Wingdings" w:hint="default"/>
      </w:rPr>
    </w:lvl>
    <w:lvl w:ilvl="3" w:tplc="27A41A08">
      <w:start w:val="1"/>
      <w:numFmt w:val="bullet"/>
      <w:lvlText w:val=""/>
      <w:lvlJc w:val="left"/>
      <w:pPr>
        <w:ind w:left="2520" w:hanging="360"/>
      </w:pPr>
      <w:rPr>
        <w:rFonts w:ascii="Symbol" w:hAnsi="Symbol" w:hint="default"/>
      </w:rPr>
    </w:lvl>
    <w:lvl w:ilvl="4" w:tplc="E452E1CA">
      <w:start w:val="1"/>
      <w:numFmt w:val="bullet"/>
      <w:lvlText w:val="o"/>
      <w:lvlJc w:val="left"/>
      <w:pPr>
        <w:ind w:left="3240" w:hanging="360"/>
      </w:pPr>
      <w:rPr>
        <w:rFonts w:ascii="Courier New" w:hAnsi="Courier New" w:hint="default"/>
      </w:rPr>
    </w:lvl>
    <w:lvl w:ilvl="5" w:tplc="AC525C1E">
      <w:start w:val="1"/>
      <w:numFmt w:val="bullet"/>
      <w:lvlText w:val=""/>
      <w:lvlJc w:val="left"/>
      <w:pPr>
        <w:ind w:left="3960" w:hanging="360"/>
      </w:pPr>
      <w:rPr>
        <w:rFonts w:ascii="Wingdings" w:hAnsi="Wingdings" w:hint="default"/>
      </w:rPr>
    </w:lvl>
    <w:lvl w:ilvl="6" w:tplc="769A7CA6">
      <w:start w:val="1"/>
      <w:numFmt w:val="bullet"/>
      <w:lvlText w:val=""/>
      <w:lvlJc w:val="left"/>
      <w:pPr>
        <w:ind w:left="4680" w:hanging="360"/>
      </w:pPr>
      <w:rPr>
        <w:rFonts w:ascii="Symbol" w:hAnsi="Symbol" w:hint="default"/>
      </w:rPr>
    </w:lvl>
    <w:lvl w:ilvl="7" w:tplc="77186262">
      <w:start w:val="1"/>
      <w:numFmt w:val="bullet"/>
      <w:lvlText w:val="o"/>
      <w:lvlJc w:val="left"/>
      <w:pPr>
        <w:ind w:left="5400" w:hanging="360"/>
      </w:pPr>
      <w:rPr>
        <w:rFonts w:ascii="Courier New" w:hAnsi="Courier New" w:hint="default"/>
      </w:rPr>
    </w:lvl>
    <w:lvl w:ilvl="8" w:tplc="B5E24920">
      <w:start w:val="1"/>
      <w:numFmt w:val="bullet"/>
      <w:lvlText w:val=""/>
      <w:lvlJc w:val="left"/>
      <w:pPr>
        <w:ind w:left="6120" w:hanging="360"/>
      </w:pPr>
      <w:rPr>
        <w:rFonts w:ascii="Wingdings" w:hAnsi="Wingdings" w:hint="default"/>
      </w:rPr>
    </w:lvl>
  </w:abstractNum>
  <w:abstractNum w:abstractNumId="1"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31ED165A"/>
    <w:multiLevelType w:val="multilevel"/>
    <w:tmpl w:val="055C0EE4"/>
    <w:lvl w:ilvl="0">
      <w:start w:val="1"/>
      <w:numFmt w:val="none"/>
      <w:lvlText w:val="%1"/>
      <w:lvlJc w:val="left"/>
      <w:pPr>
        <w:ind w:left="0" w:firstLine="0"/>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none"/>
      <w:lvlText w:val="%1"/>
      <w:lvlJc w:val="left"/>
      <w:pPr>
        <w:ind w:left="0" w:firstLine="0"/>
      </w:pPr>
      <w:rPr>
        <w:rFonts w:hint="default"/>
      </w:rPr>
    </w:lvl>
    <w:lvl w:ilvl="4">
      <w:start w:val="1"/>
      <w:numFmt w:val="none"/>
      <w:lvlText w:val="%1"/>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71A17A34"/>
    <w:multiLevelType w:val="multilevel"/>
    <w:tmpl w:val="D96CC3D6"/>
    <w:lvl w:ilvl="0">
      <w:start w:val="1"/>
      <w:numFmt w:val="decimal"/>
      <w:lvlText w:val="%1"/>
      <w:lvlJc w:val="left"/>
      <w:pPr>
        <w:ind w:left="432" w:hanging="432"/>
      </w:pPr>
      <w:rPr>
        <w:rFonts w:ascii="Consolas" w:hAnsi="Consolas" w:hint="default"/>
        <w:color w:val="95B3D7" w:themeColor="accent1" w:themeTint="99"/>
        <w:sz w:val="16"/>
      </w:rPr>
    </w:lvl>
    <w:lvl w:ilvl="1">
      <w:start w:val="1"/>
      <w:numFmt w:val="decimal"/>
      <w:lvlText w:val="%1.%2"/>
      <w:lvlJc w:val="left"/>
      <w:pPr>
        <w:ind w:left="576" w:hanging="576"/>
      </w:pPr>
      <w:rPr>
        <w:rFonts w:ascii="Consolas" w:hAnsi="Consolas" w:hint="default"/>
        <w:color w:val="95B3D7" w:themeColor="accent1" w:themeTint="99"/>
        <w:sz w:val="16"/>
      </w:rPr>
    </w:lvl>
    <w:lvl w:ilvl="2">
      <w:start w:val="1"/>
      <w:numFmt w:val="decimal"/>
      <w:lvlText w:val="%1.%2.%3"/>
      <w:lvlJc w:val="left"/>
      <w:pPr>
        <w:ind w:left="720" w:hanging="720"/>
      </w:pPr>
      <w:rPr>
        <w:rFonts w:ascii="Consolas" w:hAnsi="Consolas" w:hint="default"/>
        <w:color w:val="95B3D7" w:themeColor="accent1" w:themeTint="99"/>
        <w:sz w:val="16"/>
      </w:rPr>
    </w:lvl>
    <w:lvl w:ilvl="3">
      <w:start w:val="1"/>
      <w:numFmt w:val="decimal"/>
      <w:lvlText w:val="%1.%2.%3.%4"/>
      <w:lvlJc w:val="left"/>
      <w:pPr>
        <w:ind w:left="864" w:hanging="864"/>
      </w:pPr>
      <w:rPr>
        <w:rFonts w:ascii="Consolas" w:hAnsi="Consolas" w:hint="default"/>
        <w:color w:val="95B3D7" w:themeColor="accent1" w:themeTint="99"/>
        <w:sz w:val="16"/>
      </w:rPr>
    </w:lvl>
    <w:lvl w:ilvl="4">
      <w:start w:val="1"/>
      <w:numFmt w:val="decimal"/>
      <w:lvlText w:val="%1.%2.%3.%4.%5"/>
      <w:lvlJc w:val="left"/>
      <w:pPr>
        <w:ind w:left="1008" w:hanging="1008"/>
      </w:pPr>
      <w:rPr>
        <w:rFonts w:ascii="Consolas" w:hAnsi="Consolas" w:hint="default"/>
        <w:color w:val="95B3D7" w:themeColor="accent1" w:themeTint="99"/>
        <w:sz w:val="16"/>
      </w:rPr>
    </w:lvl>
    <w:lvl w:ilvl="5">
      <w:start w:val="1"/>
      <w:numFmt w:val="decimal"/>
      <w:lvlText w:val="%1.%2.%3.%4.%5.%6"/>
      <w:lvlJc w:val="left"/>
      <w:pPr>
        <w:ind w:left="1152" w:hanging="1152"/>
      </w:pPr>
      <w:rPr>
        <w:rFonts w:ascii="Consolas" w:hAnsi="Consolas" w:hint="default"/>
        <w:color w:val="95B3D7"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39311C6"/>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num w:numId="1" w16cid:durableId="1235820783">
    <w:abstractNumId w:val="0"/>
  </w:num>
  <w:num w:numId="2" w16cid:durableId="2066710354">
    <w:abstractNumId w:val="1"/>
  </w:num>
  <w:num w:numId="3" w16cid:durableId="1654064965">
    <w:abstractNumId w:val="3"/>
  </w:num>
  <w:num w:numId="4" w16cid:durableId="1218589662">
    <w:abstractNumId w:val="2"/>
  </w:num>
  <w:num w:numId="5" w16cid:durableId="2000232231">
    <w:abstractNumId w:val="4"/>
  </w:num>
  <w:num w:numId="6" w16cid:durableId="1167551876">
    <w:abstractNumId w:val="3"/>
  </w:num>
  <w:num w:numId="7" w16cid:durableId="378212037">
    <w:abstractNumId w:val="3"/>
  </w:num>
  <w:num w:numId="8" w16cid:durableId="1301499488">
    <w:abstractNumId w:val="3"/>
  </w:num>
  <w:num w:numId="9" w16cid:durableId="388191641">
    <w:abstractNumId w:val="3"/>
  </w:num>
  <w:num w:numId="10" w16cid:durableId="1787577617">
    <w:abstractNumId w:val="3"/>
  </w:num>
  <w:num w:numId="11" w16cid:durableId="186868741">
    <w:abstractNumId w:val="3"/>
  </w:num>
  <w:num w:numId="12" w16cid:durableId="1060597755">
    <w:abstractNumId w:val="3"/>
  </w:num>
  <w:num w:numId="13" w16cid:durableId="1494955420">
    <w:abstractNumId w:val="3"/>
  </w:num>
  <w:num w:numId="14" w16cid:durableId="1551500811">
    <w:abstractNumId w:val="3"/>
  </w:num>
  <w:num w:numId="15" w16cid:durableId="1883863692">
    <w:abstractNumId w:val="3"/>
  </w:num>
  <w:num w:numId="16" w16cid:durableId="1277297998">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156FA"/>
    <w:rsid w:val="0006632C"/>
    <w:rsid w:val="000935AE"/>
    <w:rsid w:val="00097711"/>
    <w:rsid w:val="000C63C5"/>
    <w:rsid w:val="000E545D"/>
    <w:rsid w:val="00135F4B"/>
    <w:rsid w:val="00152A37"/>
    <w:rsid w:val="00167DE1"/>
    <w:rsid w:val="00177F55"/>
    <w:rsid w:val="00184B26"/>
    <w:rsid w:val="00184B2D"/>
    <w:rsid w:val="001A139F"/>
    <w:rsid w:val="001B0353"/>
    <w:rsid w:val="001B3331"/>
    <w:rsid w:val="001E2744"/>
    <w:rsid w:val="001E74C4"/>
    <w:rsid w:val="001F22C7"/>
    <w:rsid w:val="001F43DD"/>
    <w:rsid w:val="00232E1F"/>
    <w:rsid w:val="002617CC"/>
    <w:rsid w:val="00272F28"/>
    <w:rsid w:val="00277B3B"/>
    <w:rsid w:val="002928E8"/>
    <w:rsid w:val="002B64D7"/>
    <w:rsid w:val="002F141B"/>
    <w:rsid w:val="003029FF"/>
    <w:rsid w:val="00330AF9"/>
    <w:rsid w:val="0036384B"/>
    <w:rsid w:val="003A4376"/>
    <w:rsid w:val="003B2C37"/>
    <w:rsid w:val="003C0123"/>
    <w:rsid w:val="003D381D"/>
    <w:rsid w:val="003D44B4"/>
    <w:rsid w:val="003E36B7"/>
    <w:rsid w:val="0041480B"/>
    <w:rsid w:val="00445736"/>
    <w:rsid w:val="00455839"/>
    <w:rsid w:val="00465101"/>
    <w:rsid w:val="004D21EE"/>
    <w:rsid w:val="004D4107"/>
    <w:rsid w:val="005151FA"/>
    <w:rsid w:val="00525780"/>
    <w:rsid w:val="00530C0C"/>
    <w:rsid w:val="0053276A"/>
    <w:rsid w:val="0054088B"/>
    <w:rsid w:val="005415DA"/>
    <w:rsid w:val="00580E2D"/>
    <w:rsid w:val="00581C33"/>
    <w:rsid w:val="00587F37"/>
    <w:rsid w:val="005C4424"/>
    <w:rsid w:val="005D394F"/>
    <w:rsid w:val="005F1B57"/>
    <w:rsid w:val="005F3080"/>
    <w:rsid w:val="005F60A2"/>
    <w:rsid w:val="00635441"/>
    <w:rsid w:val="00643C2F"/>
    <w:rsid w:val="006440D9"/>
    <w:rsid w:val="006806F0"/>
    <w:rsid w:val="00682D09"/>
    <w:rsid w:val="00697A60"/>
    <w:rsid w:val="006A12CC"/>
    <w:rsid w:val="006A7394"/>
    <w:rsid w:val="006B7B64"/>
    <w:rsid w:val="00704E95"/>
    <w:rsid w:val="0070586A"/>
    <w:rsid w:val="007229C7"/>
    <w:rsid w:val="00745790"/>
    <w:rsid w:val="007541A5"/>
    <w:rsid w:val="007550C0"/>
    <w:rsid w:val="0078588E"/>
    <w:rsid w:val="00794972"/>
    <w:rsid w:val="00797D2F"/>
    <w:rsid w:val="007A3F8A"/>
    <w:rsid w:val="007D001A"/>
    <w:rsid w:val="007E2D74"/>
    <w:rsid w:val="007F241D"/>
    <w:rsid w:val="00815AA6"/>
    <w:rsid w:val="00824C74"/>
    <w:rsid w:val="008343EC"/>
    <w:rsid w:val="00834E62"/>
    <w:rsid w:val="00844E7D"/>
    <w:rsid w:val="0085082E"/>
    <w:rsid w:val="00867C0B"/>
    <w:rsid w:val="00893D0B"/>
    <w:rsid w:val="008967B2"/>
    <w:rsid w:val="008B783D"/>
    <w:rsid w:val="008C370D"/>
    <w:rsid w:val="008D1503"/>
    <w:rsid w:val="008E74BB"/>
    <w:rsid w:val="008F2432"/>
    <w:rsid w:val="00940CB4"/>
    <w:rsid w:val="00943CE0"/>
    <w:rsid w:val="0095097F"/>
    <w:rsid w:val="00964B44"/>
    <w:rsid w:val="009756FA"/>
    <w:rsid w:val="00985780"/>
    <w:rsid w:val="00991020"/>
    <w:rsid w:val="009A538C"/>
    <w:rsid w:val="009C3A96"/>
    <w:rsid w:val="009C4846"/>
    <w:rsid w:val="009E16C3"/>
    <w:rsid w:val="00A151A2"/>
    <w:rsid w:val="00A82A5C"/>
    <w:rsid w:val="00A94608"/>
    <w:rsid w:val="00AB26A5"/>
    <w:rsid w:val="00AB49A7"/>
    <w:rsid w:val="00AB532A"/>
    <w:rsid w:val="00AC6278"/>
    <w:rsid w:val="00AD7AD9"/>
    <w:rsid w:val="00AE074B"/>
    <w:rsid w:val="00AE74FB"/>
    <w:rsid w:val="00AF3220"/>
    <w:rsid w:val="00AF6FD0"/>
    <w:rsid w:val="00B14E31"/>
    <w:rsid w:val="00B25C9D"/>
    <w:rsid w:val="00B368E0"/>
    <w:rsid w:val="00B42386"/>
    <w:rsid w:val="00B57315"/>
    <w:rsid w:val="00B66B92"/>
    <w:rsid w:val="00B70D8B"/>
    <w:rsid w:val="00BB1FF8"/>
    <w:rsid w:val="00BB2644"/>
    <w:rsid w:val="00BD09FE"/>
    <w:rsid w:val="00BD1AE0"/>
    <w:rsid w:val="00BF7A9C"/>
    <w:rsid w:val="00C315B7"/>
    <w:rsid w:val="00C37AA5"/>
    <w:rsid w:val="00C41025"/>
    <w:rsid w:val="00C8411B"/>
    <w:rsid w:val="00C94D95"/>
    <w:rsid w:val="00CA2375"/>
    <w:rsid w:val="00CD02A4"/>
    <w:rsid w:val="00CD2F35"/>
    <w:rsid w:val="00CF33B9"/>
    <w:rsid w:val="00D030D0"/>
    <w:rsid w:val="00D41D81"/>
    <w:rsid w:val="00D72CC2"/>
    <w:rsid w:val="00DA4092"/>
    <w:rsid w:val="00DB661A"/>
    <w:rsid w:val="00DE0A6F"/>
    <w:rsid w:val="00E316D2"/>
    <w:rsid w:val="00E76992"/>
    <w:rsid w:val="00E92BC5"/>
    <w:rsid w:val="00E94C2D"/>
    <w:rsid w:val="00E94F16"/>
    <w:rsid w:val="00EA511D"/>
    <w:rsid w:val="00EA5F77"/>
    <w:rsid w:val="00ED3E84"/>
    <w:rsid w:val="00EE4AEE"/>
    <w:rsid w:val="00EF6743"/>
    <w:rsid w:val="00F136A7"/>
    <w:rsid w:val="00F15C19"/>
    <w:rsid w:val="00F15FB6"/>
    <w:rsid w:val="00F17045"/>
    <w:rsid w:val="00F227EE"/>
    <w:rsid w:val="00F23858"/>
    <w:rsid w:val="00F51014"/>
    <w:rsid w:val="00F6388F"/>
    <w:rsid w:val="00F737CC"/>
    <w:rsid w:val="00FA7407"/>
    <w:rsid w:val="00FB1A2A"/>
    <w:rsid w:val="00FC482A"/>
    <w:rsid w:val="00FC5081"/>
    <w:rsid w:val="00FC6DEF"/>
    <w:rsid w:val="00FE36F3"/>
    <w:rsid w:val="00FE6AEE"/>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chartTrackingRefBased/>
  <w15:docId w15:val="{B4D40DDA-21E6-4D6B-B034-F5BA23CD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1B3331"/>
    <w:rPr>
      <w:rFonts w:cstheme="minorBidi"/>
    </w:rPr>
  </w:style>
  <w:style w:type="paragraph" w:styleId="Heading1">
    <w:name w:val="heading 1"/>
    <w:basedOn w:val="BodyText"/>
    <w:next w:val="BodyText"/>
    <w:link w:val="Heading1Char"/>
    <w:uiPriority w:val="9"/>
    <w:qFormat/>
    <w:rsid w:val="00AD7AD9"/>
    <w:pPr>
      <w:keepNext/>
      <w:keepLines/>
      <w:pageBreakBefore/>
      <w:spacing w:before="0" w:after="0" w:line="276" w:lineRule="auto"/>
      <w:outlineLvl w:val="0"/>
    </w:pPr>
    <w:rPr>
      <w:rFonts w:eastAsiaTheme="majorEastAsia" w:cstheme="majorBidi"/>
      <w:b/>
      <w:color w:val="365F91" w:themeColor="accent1" w:themeShade="BF"/>
      <w:sz w:val="36"/>
      <w:szCs w:val="32"/>
    </w:rPr>
  </w:style>
  <w:style w:type="paragraph" w:styleId="Heading2">
    <w:name w:val="heading 2"/>
    <w:basedOn w:val="Heading1"/>
    <w:next w:val="BodyText"/>
    <w:link w:val="Heading2Char"/>
    <w:uiPriority w:val="9"/>
    <w:qFormat/>
    <w:rsid w:val="00AD7AD9"/>
    <w:pPr>
      <w:pageBreakBefore w:val="0"/>
      <w:outlineLvl w:val="1"/>
    </w:pPr>
    <w:rPr>
      <w:sz w:val="32"/>
      <w:szCs w:val="26"/>
    </w:rPr>
  </w:style>
  <w:style w:type="paragraph" w:styleId="Heading3">
    <w:name w:val="heading 3"/>
    <w:basedOn w:val="Heading1"/>
    <w:next w:val="BodyText"/>
    <w:link w:val="Heading3Char"/>
    <w:uiPriority w:val="9"/>
    <w:qFormat/>
    <w:rsid w:val="005F3080"/>
    <w:pPr>
      <w:pageBreakBefore w:val="0"/>
      <w:spacing w:before="180"/>
      <w:outlineLvl w:val="2"/>
    </w:pPr>
    <w:rPr>
      <w:sz w:val="28"/>
    </w:rPr>
  </w:style>
  <w:style w:type="paragraph" w:styleId="Heading4">
    <w:name w:val="heading 4"/>
    <w:basedOn w:val="Heading1"/>
    <w:next w:val="BodyText"/>
    <w:link w:val="Heading4Char"/>
    <w:uiPriority w:val="9"/>
    <w:qFormat/>
    <w:rsid w:val="0053276A"/>
    <w:pPr>
      <w:spacing w:before="40"/>
      <w:outlineLvl w:val="3"/>
    </w:pPr>
    <w:rPr>
      <w:i/>
      <w:sz w:val="24"/>
      <w:szCs w:val="24"/>
    </w:rPr>
  </w:style>
  <w:style w:type="paragraph" w:styleId="Heading5">
    <w:name w:val="heading 5"/>
    <w:basedOn w:val="Heading1"/>
    <w:next w:val="BodyText"/>
    <w:link w:val="Heading5Char"/>
    <w:uiPriority w:val="9"/>
    <w:qFormat/>
    <w:rsid w:val="005F3080"/>
    <w:pPr>
      <w:keepNext w:val="0"/>
      <w:pageBreakBefore w:val="0"/>
      <w:spacing w:before="40"/>
      <w:outlineLvl w:val="4"/>
    </w:pPr>
    <w:rPr>
      <w:b w:val="0"/>
      <w:sz w:val="24"/>
    </w:rPr>
  </w:style>
  <w:style w:type="paragraph" w:styleId="Heading6">
    <w:name w:val="heading 6"/>
    <w:basedOn w:val="Normal"/>
    <w:next w:val="Normal"/>
    <w:link w:val="Heading6Char"/>
    <w:uiPriority w:val="9"/>
    <w:semiHidden/>
    <w:qFormat/>
    <w:rsid w:val="005327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qFormat/>
    <w:rsid w:val="005327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rsid w:val="005327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5327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next w:val="BodyText"/>
    <w:link w:val="NoteChar"/>
    <w:qFormat/>
    <w:rsid w:val="0053276A"/>
    <w:pPr>
      <w:pBdr>
        <w:left w:val="single" w:sz="24" w:space="4" w:color="B8CCE4" w:themeColor="accent1" w:themeTint="66"/>
      </w:pBdr>
      <w:spacing w:after="0" w:line="276" w:lineRule="auto"/>
    </w:pPr>
    <w:rPr>
      <w:i/>
      <w:color w:val="244061" w:themeColor="accent1" w:themeShade="80"/>
    </w:rPr>
  </w:style>
  <w:style w:type="character" w:customStyle="1" w:styleId="NoteChar">
    <w:name w:val="Note Char"/>
    <w:basedOn w:val="DefaultParagraphFont"/>
    <w:link w:val="Note"/>
    <w:rsid w:val="00BB1FF8"/>
    <w:rPr>
      <w:rFonts w:ascii="Arial" w:hAnsi="Arial" w:cstheme="minorBidi"/>
      <w:i/>
      <w:color w:val="244061" w:themeColor="accent1" w:themeShade="80"/>
    </w:rPr>
  </w:style>
  <w:style w:type="paragraph" w:styleId="BodyText">
    <w:name w:val="Body Text"/>
    <w:basedOn w:val="Normal"/>
    <w:link w:val="BodyTextChar"/>
    <w:uiPriority w:val="8"/>
    <w:rsid w:val="0053276A"/>
    <w:pPr>
      <w:spacing w:after="240" w:line="240" w:lineRule="atLeast"/>
    </w:pPr>
    <w:rPr>
      <w:rFonts w:ascii="Arial" w:hAnsi="Arial"/>
    </w:rPr>
  </w:style>
  <w:style w:type="character" w:customStyle="1" w:styleId="BodyTextChar">
    <w:name w:val="Body Text Char"/>
    <w:link w:val="BodyText"/>
    <w:uiPriority w:val="8"/>
    <w:rsid w:val="0053276A"/>
    <w:rPr>
      <w:rFonts w:ascii="Arial" w:hAnsi="Arial" w:cstheme="minorBidi"/>
    </w:rPr>
  </w:style>
  <w:style w:type="paragraph" w:customStyle="1" w:styleId="TableText">
    <w:name w:val="Table Text"/>
    <w:basedOn w:val="BodyText"/>
    <w:link w:val="TableTextChar"/>
    <w:uiPriority w:val="99"/>
    <w:semiHidden/>
    <w:unhideWhenUsed/>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rsid w:val="00BB1FF8"/>
    <w:pPr>
      <w:widowControl w:val="0"/>
      <w:contextualSpacing/>
    </w:pPr>
    <w:rPr>
      <w:rFonts w:ascii="Arial" w:eastAsia="Times New Roman" w:hAnsi="Arial"/>
      <w:i/>
      <w:color w:val="365F91" w:themeColor="accent1" w:themeShade="BF"/>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AD7AD9"/>
    <w:rPr>
      <w:rFonts w:ascii="Arial" w:eastAsiaTheme="majorEastAsia" w:hAnsi="Arial" w:cstheme="majorBidi"/>
      <w:b/>
      <w:color w:val="365F91" w:themeColor="accent1" w:themeShade="BF"/>
      <w:sz w:val="36"/>
      <w:szCs w:val="32"/>
    </w:rPr>
  </w:style>
  <w:style w:type="character" w:customStyle="1" w:styleId="Heading2Char">
    <w:name w:val="Heading 2 Char"/>
    <w:basedOn w:val="DefaultParagraphFont"/>
    <w:link w:val="Heading2"/>
    <w:uiPriority w:val="9"/>
    <w:rsid w:val="00AD7AD9"/>
    <w:rPr>
      <w:rFonts w:ascii="Arial" w:eastAsiaTheme="majorEastAsia" w:hAnsi="Arial" w:cstheme="majorBidi"/>
      <w:b/>
      <w:color w:val="365F91" w:themeColor="accent1" w:themeShade="BF"/>
      <w:sz w:val="32"/>
      <w:szCs w:val="26"/>
    </w:rPr>
  </w:style>
  <w:style w:type="character" w:customStyle="1" w:styleId="Heading3Char">
    <w:name w:val="Heading 3 Char"/>
    <w:basedOn w:val="DefaultParagraphFont"/>
    <w:link w:val="Heading3"/>
    <w:uiPriority w:val="9"/>
    <w:rsid w:val="005F3080"/>
    <w:rPr>
      <w:rFonts w:ascii="Arial" w:eastAsiaTheme="majorEastAsia" w:hAnsi="Arial" w:cstheme="majorBidi"/>
      <w:b/>
      <w:color w:val="365F91" w:themeColor="accent1" w:themeShade="BF"/>
      <w:sz w:val="28"/>
      <w:szCs w:val="32"/>
    </w:rPr>
  </w:style>
  <w:style w:type="character" w:customStyle="1" w:styleId="Heading4Char">
    <w:name w:val="Heading 4 Char"/>
    <w:basedOn w:val="DefaultParagraphFont"/>
    <w:link w:val="Heading4"/>
    <w:uiPriority w:val="9"/>
    <w:rsid w:val="0053276A"/>
    <w:rPr>
      <w:rFonts w:ascii="Arial" w:eastAsiaTheme="majorEastAsia" w:hAnsi="Arial" w:cstheme="majorBidi"/>
      <w:b/>
      <w:i/>
      <w:color w:val="365F91" w:themeColor="accent1" w:themeShade="BF"/>
    </w:rPr>
  </w:style>
  <w:style w:type="character" w:customStyle="1" w:styleId="Heading5Char">
    <w:name w:val="Heading 5 Char"/>
    <w:basedOn w:val="DefaultParagraphFont"/>
    <w:link w:val="Heading5"/>
    <w:uiPriority w:val="9"/>
    <w:rsid w:val="005F3080"/>
    <w:rPr>
      <w:rFonts w:ascii="Arial" w:eastAsiaTheme="majorEastAsia" w:hAnsi="Arial" w:cstheme="majorBidi"/>
      <w:color w:val="365F91" w:themeColor="accent1" w:themeShade="BF"/>
      <w:szCs w:val="32"/>
    </w:rPr>
  </w:style>
  <w:style w:type="character" w:customStyle="1" w:styleId="Heading6Char">
    <w:name w:val="Heading 6 Char"/>
    <w:basedOn w:val="DefaultParagraphFont"/>
    <w:link w:val="Heading6"/>
    <w:uiPriority w:val="9"/>
    <w:semiHidden/>
    <w:rsid w:val="001B333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327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327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76A"/>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rsid w:val="00BB1FF8"/>
    <w:pPr>
      <w:numPr>
        <w:numId w:val="2"/>
      </w:numPr>
    </w:pPr>
  </w:style>
  <w:style w:type="paragraph" w:styleId="Title">
    <w:name w:val="Title"/>
    <w:basedOn w:val="Normal"/>
    <w:next w:val="BodyText"/>
    <w:link w:val="TitleChar"/>
    <w:uiPriority w:val="10"/>
    <w:qFormat/>
    <w:rsid w:val="0053276A"/>
    <w:pPr>
      <w:spacing w:before="240"/>
    </w:pPr>
    <w:rPr>
      <w:rFonts w:ascii="Arial" w:eastAsiaTheme="majorEastAsia" w:hAnsi="Arial" w:cstheme="majorBidi"/>
      <w:b/>
      <w:color w:val="365F91" w:themeColor="accent1" w:themeShade="BF"/>
      <w:kern w:val="28"/>
      <w:sz w:val="56"/>
      <w:szCs w:val="56"/>
    </w:rPr>
  </w:style>
  <w:style w:type="character" w:customStyle="1" w:styleId="TitleChar">
    <w:name w:val="Title Char"/>
    <w:basedOn w:val="DefaultParagraphFont"/>
    <w:link w:val="Title"/>
    <w:uiPriority w:val="10"/>
    <w:rsid w:val="0053276A"/>
    <w:rPr>
      <w:rFonts w:ascii="Arial" w:eastAsiaTheme="majorEastAsia" w:hAnsi="Arial" w:cstheme="majorBidi"/>
      <w:b/>
      <w:color w:val="365F91" w:themeColor="accent1" w:themeShade="BF"/>
      <w:kern w:val="28"/>
      <w:sz w:val="56"/>
      <w:szCs w:val="56"/>
    </w:rPr>
  </w:style>
  <w:style w:type="paragraph" w:styleId="Subtitle">
    <w:name w:val="Subtitle"/>
    <w:basedOn w:val="Title"/>
    <w:next w:val="BodyText"/>
    <w:link w:val="SubtitleChar"/>
    <w:uiPriority w:val="11"/>
    <w:qFormat/>
    <w:rsid w:val="0053276A"/>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53276A"/>
    <w:rPr>
      <w:rFonts w:ascii="Arial" w:eastAsiaTheme="minorEastAsia" w:hAnsi="Arial" w:cstheme="minorBidi"/>
      <w:b/>
      <w:color w:val="365F91" w:themeColor="accent1" w:themeShade="BF"/>
      <w:kern w:val="28"/>
      <w:sz w:val="40"/>
      <w:szCs w:val="22"/>
    </w:rPr>
  </w:style>
  <w:style w:type="character" w:styleId="Strong">
    <w:name w:val="Strong"/>
    <w:basedOn w:val="DefaultParagraphFont"/>
    <w:uiPriority w:val="22"/>
    <w:qFormat/>
    <w:rsid w:val="0053276A"/>
    <w:rPr>
      <w:b/>
      <w:bCs/>
    </w:rPr>
  </w:style>
  <w:style w:type="character" w:styleId="Emphasis">
    <w:name w:val="Emphasis"/>
    <w:basedOn w:val="DefaultParagraphFont"/>
    <w:uiPriority w:val="20"/>
    <w:qFormat/>
    <w:rsid w:val="0053276A"/>
    <w:rPr>
      <w:i/>
      <w:iCs/>
    </w:rPr>
  </w:style>
  <w:style w:type="character" w:styleId="SubtleReference">
    <w:name w:val="Subtle Reference"/>
    <w:basedOn w:val="DefaultParagraphFont"/>
    <w:uiPriority w:val="31"/>
    <w:qFormat/>
    <w:rsid w:val="0053276A"/>
    <w:rPr>
      <w:smallCaps/>
      <w:color w:val="5A5A5A" w:themeColor="text1" w:themeTint="A5"/>
    </w:rPr>
  </w:style>
  <w:style w:type="paragraph" w:styleId="TOCHeading">
    <w:name w:val="TOC Heading"/>
    <w:basedOn w:val="Heading1"/>
    <w:next w:val="Normal"/>
    <w:uiPriority w:val="39"/>
    <w:unhideWhenUsed/>
    <w:qFormat/>
    <w:rsid w:val="0053276A"/>
    <w:pPr>
      <w:spacing w:before="240"/>
      <w:outlineLvl w:val="9"/>
    </w:pPr>
    <w:rPr>
      <w:rFonts w:asciiTheme="majorHAnsi" w:hAnsiTheme="majorHAnsi"/>
      <w:b w:val="0"/>
      <w:sz w:val="32"/>
    </w:r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semiHidden/>
    <w:rsid w:val="00943CE0"/>
    <w:rPr>
      <w:rFonts w:asciiTheme="minorHAnsi" w:hAnsiTheme="minorHAnsi" w:cstheme="minorBidi"/>
    </w:rPr>
  </w:style>
  <w:style w:type="character" w:styleId="FootnoteReference">
    <w:name w:val="footnote reference"/>
    <w:basedOn w:val="DefaultParagraphFont"/>
    <w:semiHidden/>
    <w:unhideWhenUsed/>
    <w:rsid w:val="00943CE0"/>
    <w:rPr>
      <w:vertAlign w:val="superscript"/>
    </w:rPr>
  </w:style>
  <w:style w:type="paragraph" w:styleId="Caption">
    <w:name w:val="caption"/>
    <w:basedOn w:val="BodyText"/>
    <w:next w:val="BodyText"/>
    <w:uiPriority w:val="35"/>
    <w:qFormat/>
    <w:rsid w:val="0053276A"/>
    <w:pPr>
      <w:spacing w:before="80" w:after="80" w:line="240" w:lineRule="auto"/>
    </w:pPr>
    <w:rPr>
      <w:rFonts w:cs="Arial"/>
      <w:i/>
      <w:iCs/>
      <w:szCs w:val="18"/>
    </w:rPr>
  </w:style>
  <w:style w:type="table" w:customStyle="1" w:styleId="Invisible">
    <w:name w:val="Invisible"/>
    <w:basedOn w:val="TableNormal"/>
    <w:uiPriority w:val="99"/>
    <w:rsid w:val="00EF6743"/>
    <w:rPr>
      <w:rFonts w:asciiTheme="minorHAnsi" w:hAnsiTheme="minorHAnsi"/>
    </w:rPr>
    <w:tblPr>
      <w:tblBorders>
        <w:left w:val="single" w:sz="4" w:space="0" w:color="A6A6A6" w:themeColor="background1" w:themeShade="A6"/>
      </w:tblBorders>
    </w:tblPr>
    <w:tcPr>
      <w:shd w:val="clear" w:color="auto" w:fill="auto"/>
    </w:tcPr>
  </w:style>
  <w:style w:type="character" w:styleId="CommentReference">
    <w:name w:val="annotation reference"/>
    <w:basedOn w:val="DefaultParagraphFont"/>
    <w:semiHidden/>
    <w:unhideWhenUsed/>
    <w:rsid w:val="00EF6743"/>
    <w:rPr>
      <w:sz w:val="16"/>
      <w:szCs w:val="16"/>
    </w:rPr>
  </w:style>
  <w:style w:type="paragraph" w:styleId="CommentText">
    <w:name w:val="annotation text"/>
    <w:basedOn w:val="Normal"/>
    <w:link w:val="CommentTextChar"/>
    <w:semiHidden/>
    <w:unhideWhenUsed/>
    <w:rsid w:val="00EF6743"/>
    <w:pPr>
      <w:spacing w:after="0" w:line="240" w:lineRule="auto"/>
    </w:pPr>
    <w:rPr>
      <w:rFonts w:ascii="Arial" w:hAnsi="Arial" w:cs="Times New Roman"/>
      <w:sz w:val="20"/>
      <w:szCs w:val="20"/>
    </w:rPr>
  </w:style>
  <w:style w:type="character" w:customStyle="1" w:styleId="CommentTextChar">
    <w:name w:val="Comment Text Char"/>
    <w:basedOn w:val="DefaultParagraphFont"/>
    <w:link w:val="CommentText"/>
    <w:semiHidden/>
    <w:rsid w:val="00EF6743"/>
    <w:rPr>
      <w:rFonts w:ascii="Arial" w:hAnsi="Arial"/>
    </w:rPr>
  </w:style>
  <w:style w:type="paragraph" w:styleId="TableofFigures">
    <w:name w:val="table of figures"/>
    <w:basedOn w:val="Normal"/>
    <w:next w:val="Normal"/>
    <w:uiPriority w:val="99"/>
    <w:unhideWhenUsed/>
    <w:rsid w:val="00EF6743"/>
    <w:pPr>
      <w:spacing w:after="0"/>
    </w:pPr>
  </w:style>
  <w:style w:type="character" w:styleId="Hyperlink">
    <w:name w:val="Hyperlink"/>
    <w:basedOn w:val="DefaultParagraphFont"/>
    <w:uiPriority w:val="99"/>
    <w:unhideWhenUsed/>
    <w:rsid w:val="00EF6743"/>
    <w:rPr>
      <w:color w:val="0000FF" w:themeColor="hyperlink"/>
      <w:u w:val="single"/>
    </w:rPr>
  </w:style>
  <w:style w:type="paragraph" w:styleId="TOC1">
    <w:name w:val="toc 1"/>
    <w:basedOn w:val="Normal"/>
    <w:next w:val="Normal"/>
    <w:autoRedefine/>
    <w:uiPriority w:val="39"/>
    <w:unhideWhenUsed/>
    <w:rsid w:val="00DB661A"/>
    <w:pPr>
      <w:spacing w:after="100"/>
    </w:pPr>
  </w:style>
  <w:style w:type="paragraph" w:styleId="TOC2">
    <w:name w:val="toc 2"/>
    <w:basedOn w:val="Normal"/>
    <w:next w:val="Normal"/>
    <w:autoRedefine/>
    <w:uiPriority w:val="39"/>
    <w:unhideWhenUsed/>
    <w:rsid w:val="00DB661A"/>
    <w:pPr>
      <w:spacing w:after="100"/>
      <w:ind w:left="220"/>
    </w:pPr>
  </w:style>
  <w:style w:type="paragraph" w:styleId="TOC3">
    <w:name w:val="toc 3"/>
    <w:basedOn w:val="Normal"/>
    <w:next w:val="Normal"/>
    <w:autoRedefine/>
    <w:uiPriority w:val="39"/>
    <w:unhideWhenUsed/>
    <w:rsid w:val="00DB661A"/>
    <w:pPr>
      <w:spacing w:after="100"/>
      <w:ind w:left="440"/>
    </w:pPr>
  </w:style>
  <w:style w:type="table" w:styleId="TableGridLight">
    <w:name w:val="Grid Table Light"/>
    <w:basedOn w:val="TableNormal"/>
    <w:uiPriority w:val="40"/>
    <w:rsid w:val="006A12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tContents-Heading1">
    <w:name w:val="Not Contents - Heading 1"/>
    <w:basedOn w:val="Normal"/>
    <w:next w:val="BodyText"/>
    <w:qFormat/>
    <w:rsid w:val="0053276A"/>
    <w:pPr>
      <w:spacing w:before="240" w:after="0"/>
    </w:pPr>
    <w:rPr>
      <w:rFonts w:cs="Times New Roman"/>
      <w:b/>
      <w:color w:val="365F91" w:themeColor="accent1" w:themeShade="BF"/>
      <w:sz w:val="36"/>
    </w:rPr>
  </w:style>
  <w:style w:type="paragraph" w:customStyle="1" w:styleId="Tinyline">
    <w:name w:val="Tiny line"/>
    <w:basedOn w:val="BodyText"/>
    <w:qFormat/>
    <w:rsid w:val="0053276A"/>
    <w:pPr>
      <w:spacing w:before="0" w:after="0" w:line="276" w:lineRule="auto"/>
    </w:pPr>
    <w:rPr>
      <w:rFonts w:cs="Times New Roman"/>
      <w:sz w:val="8"/>
    </w:rPr>
  </w:style>
  <w:style w:type="character" w:customStyle="1" w:styleId="Important">
    <w:name w:val="Important"/>
    <w:basedOn w:val="DefaultParagraphFont"/>
    <w:uiPriority w:val="1"/>
    <w:qFormat/>
    <w:rsid w:val="0053276A"/>
    <w:rPr>
      <w:bdr w:val="single" w:sz="12" w:space="0" w:color="FF0000"/>
    </w:rPr>
  </w:style>
  <w:style w:type="paragraph" w:customStyle="1" w:styleId="Importantpara">
    <w:name w:val="Important para"/>
    <w:basedOn w:val="BodyText"/>
    <w:qFormat/>
    <w:rsid w:val="0053276A"/>
    <w:pPr>
      <w:pBdr>
        <w:top w:val="single" w:sz="8" w:space="1" w:color="FF0000"/>
        <w:left w:val="single" w:sz="8" w:space="4" w:color="FF0000"/>
        <w:bottom w:val="single" w:sz="8" w:space="1" w:color="FF0000"/>
        <w:right w:val="single" w:sz="8" w:space="4" w:color="FF0000"/>
      </w:pBdr>
      <w:spacing w:after="120" w:line="276" w:lineRule="auto"/>
    </w:pPr>
    <w:rPr>
      <w:rFonts w:cs="Times New Roman"/>
    </w:rPr>
  </w:style>
  <w:style w:type="paragraph" w:customStyle="1" w:styleId="Appendix">
    <w:name w:val="Appendix"/>
    <w:basedOn w:val="Appendices"/>
    <w:next w:val="BodyText"/>
    <w:qFormat/>
    <w:rsid w:val="0053276A"/>
    <w:pPr>
      <w:pageBreakBefore w:val="0"/>
      <w:outlineLvl w:val="1"/>
    </w:pPr>
    <w:rPr>
      <w:sz w:val="32"/>
    </w:rPr>
  </w:style>
  <w:style w:type="paragraph" w:customStyle="1" w:styleId="NotContents-Heading2">
    <w:name w:val="Not Contents - Heading 2"/>
    <w:basedOn w:val="NotContents-Heading1"/>
    <w:next w:val="BodyText"/>
    <w:qFormat/>
    <w:rsid w:val="0053276A"/>
    <w:rPr>
      <w:sz w:val="28"/>
    </w:rPr>
  </w:style>
  <w:style w:type="paragraph" w:customStyle="1" w:styleId="BodyText-ColouredB">
    <w:name w:val="Body Text - Coloured B"/>
    <w:basedOn w:val="Normal"/>
    <w:qFormat/>
    <w:rsid w:val="0053276A"/>
    <w:rPr>
      <w:rFonts w:ascii="Arial" w:hAnsi="Arial" w:cs="Times New Roman"/>
      <w:color w:val="365F91" w:themeColor="accent1" w:themeShade="BF"/>
    </w:rPr>
  </w:style>
  <w:style w:type="paragraph" w:customStyle="1" w:styleId="Logo-Org">
    <w:name w:val="Logo-Org"/>
    <w:basedOn w:val="BodyText"/>
    <w:next w:val="BodyText"/>
    <w:qFormat/>
    <w:rsid w:val="0053276A"/>
    <w:pPr>
      <w:spacing w:after="120" w:line="276" w:lineRule="auto"/>
    </w:pPr>
    <w:rPr>
      <w:rFonts w:cs="Times New Roman"/>
      <w:noProof/>
      <w:vanish/>
      <w:lang w:eastAsia="en-NZ"/>
    </w:rPr>
  </w:style>
  <w:style w:type="paragraph" w:customStyle="1" w:styleId="Logo-Blank">
    <w:name w:val="Logo-Blank"/>
    <w:basedOn w:val="BodyText"/>
    <w:next w:val="BodyText"/>
    <w:qFormat/>
    <w:rsid w:val="0053276A"/>
    <w:pPr>
      <w:spacing w:after="120" w:line="276" w:lineRule="auto"/>
    </w:pPr>
    <w:rPr>
      <w:rFonts w:cs="Times New Roman"/>
    </w:rPr>
  </w:style>
  <w:style w:type="paragraph" w:customStyle="1" w:styleId="Appendices">
    <w:name w:val="Appendices"/>
    <w:basedOn w:val="Heading1"/>
    <w:next w:val="Appendix"/>
    <w:qFormat/>
    <w:rsid w:val="0053276A"/>
    <w:rPr>
      <w:color w:val="2F5496"/>
    </w:rPr>
  </w:style>
  <w:style w:type="paragraph" w:styleId="NoSpacing">
    <w:name w:val="No Spacing"/>
    <w:uiPriority w:val="1"/>
    <w:qFormat/>
    <w:rsid w:val="0053276A"/>
    <w:pPr>
      <w:spacing w:before="0" w:after="0" w:line="240" w:lineRule="auto"/>
    </w:pPr>
  </w:style>
  <w:style w:type="character" w:styleId="SubtleEmphasis">
    <w:name w:val="Subtle Emphasis"/>
    <w:basedOn w:val="DefaultParagraphFont"/>
    <w:uiPriority w:val="19"/>
    <w:qFormat/>
    <w:rsid w:val="0053276A"/>
    <w:rPr>
      <w:i/>
      <w:iCs/>
      <w:color w:val="404040" w:themeColor="text1" w:themeTint="BF"/>
    </w:rPr>
  </w:style>
  <w:style w:type="character" w:styleId="IntenseEmphasis">
    <w:name w:val="Intense Emphasis"/>
    <w:basedOn w:val="DefaultParagraphFont"/>
    <w:uiPriority w:val="21"/>
    <w:qFormat/>
    <w:rsid w:val="0053276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20</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110</cp:revision>
  <dcterms:created xsi:type="dcterms:W3CDTF">2021-06-13T01:58:00Z</dcterms:created>
  <dcterms:modified xsi:type="dcterms:W3CDTF">2023-10-10T02:55:00Z</dcterms:modified>
</cp:coreProperties>
</file>