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033A1728" w:rsidR="008C39DC" w:rsidRDefault="008C39DC" w:rsidP="008C39DC">
      <w:pPr>
        <w:pStyle w:val="Title"/>
      </w:pPr>
      <w:r>
        <w:t>ICT Project Guidance</w:t>
      </w:r>
    </w:p>
    <w:p w14:paraId="39614DFE" w14:textId="33408F6C" w:rsidR="008C39DC" w:rsidRDefault="000E4177" w:rsidP="008C39DC">
      <w:pPr>
        <w:pStyle w:val="Subtitle"/>
      </w:pPr>
      <w:r>
        <w:t xml:space="preserve">New Zealand </w:t>
      </w:r>
      <w:r w:rsidR="0011618B">
        <w:t xml:space="preserve">Government </w:t>
      </w:r>
      <w:r>
        <w:t>Organisation</w:t>
      </w:r>
      <w:r w:rsidR="0011618B">
        <w:t xml:space="preserve"> </w:t>
      </w:r>
      <w:r w:rsidR="0011618B">
        <w:br/>
      </w:r>
      <w:r w:rsidR="00D36861">
        <w:t>Obligations</w:t>
      </w:r>
      <w:r w:rsidR="0011618B">
        <w:t xml:space="preserve">, Agreements, </w:t>
      </w:r>
      <w:r w:rsidR="000172B9">
        <w:br/>
      </w:r>
      <w:r w:rsidR="0011618B">
        <w:t>Commitments</w:t>
      </w:r>
      <w:r>
        <w:t xml:space="preserve">, </w:t>
      </w:r>
      <w:r w:rsidR="0011618B">
        <w:t>Standards</w:t>
      </w:r>
      <w:r>
        <w:t xml:space="preserve"> and Principles</w:t>
      </w:r>
    </w:p>
    <w:p w14:paraId="297082E7" w14:textId="5ED3092D" w:rsidR="00813161" w:rsidRPr="00813161" w:rsidRDefault="00813161" w:rsidP="00406FE9">
      <w:pPr>
        <w:pStyle w:val="NotContents-Heading3"/>
        <w:rPr>
          <w:vanish/>
          <w:specVanish/>
        </w:rPr>
      </w:pPr>
      <w:r>
        <w:t xml:space="preserve">Version: </w:t>
      </w:r>
    </w:p>
    <w:p w14:paraId="6113FB75" w14:textId="0D4DF845" w:rsidR="00813161" w:rsidRPr="00813161" w:rsidRDefault="00813161" w:rsidP="00813161">
      <w:r>
        <w:t xml:space="preserve"> </w:t>
      </w:r>
      <w:r w:rsidRPr="00813161">
        <w:t>0.</w:t>
      </w:r>
      <w:r w:rsidR="00A0465B">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9C370C0" w:rsidR="00921365" w:rsidRPr="00921365" w:rsidRDefault="00F929E7" w:rsidP="00921365">
      <w:pPr>
        <w:pStyle w:val="BodyText"/>
      </w:pPr>
      <w:r>
        <w:t xml:space="preserve"> </w:t>
      </w:r>
      <w:r w:rsidR="00D36861">
        <w:t>Sky Sigal, Solution Architect</w:t>
      </w:r>
    </w:p>
    <w:p w14:paraId="4CA5917F" w14:textId="126BC889" w:rsidR="00921365" w:rsidRDefault="00921365" w:rsidP="00921365">
      <w:pPr>
        <w:pStyle w:val="Heading2"/>
      </w:pPr>
      <w:r>
        <w:br/>
      </w:r>
      <w:bookmarkStart w:id="0" w:name="_Toc145049426"/>
      <w:bookmarkStart w:id="1" w:name="_Toc150603061"/>
      <w:r w:rsidR="00CA1795">
        <w:t>Description</w:t>
      </w:r>
      <w:bookmarkEnd w:id="0"/>
      <w:bookmarkEnd w:id="1"/>
    </w:p>
    <w:p w14:paraId="2A8981D0" w14:textId="4CE06BA2" w:rsidR="000172B9" w:rsidRDefault="000172B9" w:rsidP="000172B9">
      <w:pPr>
        <w:pStyle w:val="BodyText"/>
      </w:pPr>
      <w:r>
        <w:t xml:space="preserve">All services developed and/or provided by a NZ Government Agency are subject to </w:t>
      </w:r>
      <w:r w:rsidR="00A0465B">
        <w:t>several</w:t>
      </w:r>
      <w:r>
        <w:t xml:space="preserve"> Obligations, Agreements</w:t>
      </w:r>
      <w:r w:rsidR="00E46989">
        <w:t xml:space="preserve"> and </w:t>
      </w:r>
      <w:r>
        <w:t>Commitments, including following Standards and Guiding Principles.</w:t>
      </w:r>
    </w:p>
    <w:p w14:paraId="0F00AFD8" w14:textId="77777777" w:rsidR="00AE2E49" w:rsidRDefault="00AE2E49" w:rsidP="00AE2E49">
      <w:pPr>
        <w:pStyle w:val="Heading2"/>
      </w:pPr>
      <w:bookmarkStart w:id="2" w:name="_Toc150603062"/>
      <w:r>
        <w:t>Synopsis</w:t>
      </w:r>
      <w:bookmarkEnd w:id="2"/>
    </w:p>
    <w:p w14:paraId="464F791F" w14:textId="008E9D91" w:rsidR="000172B9" w:rsidRDefault="000172B9" w:rsidP="000172B9">
      <w:pPr>
        <w:pStyle w:val="BodyText"/>
      </w:pPr>
      <w:r>
        <w:t xml:space="preserve">This document </w:t>
      </w:r>
      <w:r w:rsidR="00E46989">
        <w:t>summarises</w:t>
      </w:r>
      <w:r>
        <w:t xml:space="preserve"> external </w:t>
      </w:r>
      <w:r w:rsidR="00E46989">
        <w:t>c</w:t>
      </w:r>
      <w:r>
        <w:t xml:space="preserve">onstraints that impact </w:t>
      </w:r>
      <w:r w:rsidR="00E46989">
        <w:t xml:space="preserve">discussions, </w:t>
      </w:r>
      <w:r>
        <w:t xml:space="preserve">design, </w:t>
      </w:r>
      <w:proofErr w:type="gramStart"/>
      <w:r>
        <w:t>development</w:t>
      </w:r>
      <w:proofErr w:type="gramEnd"/>
      <w:r>
        <w:t xml:space="preserve"> and delivery of services by NZ Government Agencies.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03063"/>
      <w:r>
        <w:lastRenderedPageBreak/>
        <w:t>Contents</w:t>
      </w:r>
      <w:bookmarkEnd w:id="3"/>
      <w:bookmarkEnd w:id="4"/>
    </w:p>
    <w:p w14:paraId="18DBB8F0" w14:textId="6244C391" w:rsidR="00A0465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03061" w:history="1">
        <w:r w:rsidR="00A0465B" w:rsidRPr="00BF4EF9">
          <w:rPr>
            <w:rStyle w:val="Hyperlink"/>
            <w:noProof/>
          </w:rPr>
          <w:t>Description</w:t>
        </w:r>
        <w:r w:rsidR="00A0465B">
          <w:rPr>
            <w:noProof/>
            <w:webHidden/>
          </w:rPr>
          <w:tab/>
        </w:r>
        <w:r w:rsidR="00A0465B">
          <w:rPr>
            <w:noProof/>
            <w:webHidden/>
          </w:rPr>
          <w:fldChar w:fldCharType="begin"/>
        </w:r>
        <w:r w:rsidR="00A0465B">
          <w:rPr>
            <w:noProof/>
            <w:webHidden/>
          </w:rPr>
          <w:instrText xml:space="preserve"> PAGEREF _Toc150603061 \h </w:instrText>
        </w:r>
        <w:r w:rsidR="00A0465B">
          <w:rPr>
            <w:noProof/>
            <w:webHidden/>
          </w:rPr>
        </w:r>
        <w:r w:rsidR="00A0465B">
          <w:rPr>
            <w:noProof/>
            <w:webHidden/>
          </w:rPr>
          <w:fldChar w:fldCharType="separate"/>
        </w:r>
        <w:r w:rsidR="00A0465B">
          <w:rPr>
            <w:noProof/>
            <w:webHidden/>
          </w:rPr>
          <w:t>1</w:t>
        </w:r>
        <w:r w:rsidR="00A0465B">
          <w:rPr>
            <w:noProof/>
            <w:webHidden/>
          </w:rPr>
          <w:fldChar w:fldCharType="end"/>
        </w:r>
      </w:hyperlink>
    </w:p>
    <w:p w14:paraId="405283CA" w14:textId="0978E6C2" w:rsidR="00A0465B" w:rsidRDefault="00000000">
      <w:pPr>
        <w:pStyle w:val="TOC2"/>
        <w:rPr>
          <w:rFonts w:asciiTheme="minorHAnsi" w:eastAsiaTheme="minorEastAsia" w:hAnsiTheme="minorHAnsi" w:cstheme="minorBidi"/>
          <w:noProof/>
          <w:sz w:val="22"/>
          <w:szCs w:val="22"/>
          <w:lang w:eastAsia="en-NZ"/>
        </w:rPr>
      </w:pPr>
      <w:hyperlink w:anchor="_Toc150603062" w:history="1">
        <w:r w:rsidR="00A0465B" w:rsidRPr="00BF4EF9">
          <w:rPr>
            <w:rStyle w:val="Hyperlink"/>
            <w:noProof/>
          </w:rPr>
          <w:t>Synopsis</w:t>
        </w:r>
        <w:r w:rsidR="00A0465B">
          <w:rPr>
            <w:noProof/>
            <w:webHidden/>
          </w:rPr>
          <w:tab/>
        </w:r>
        <w:r w:rsidR="00A0465B">
          <w:rPr>
            <w:noProof/>
            <w:webHidden/>
          </w:rPr>
          <w:fldChar w:fldCharType="begin"/>
        </w:r>
        <w:r w:rsidR="00A0465B">
          <w:rPr>
            <w:noProof/>
            <w:webHidden/>
          </w:rPr>
          <w:instrText xml:space="preserve"> PAGEREF _Toc150603062 \h </w:instrText>
        </w:r>
        <w:r w:rsidR="00A0465B">
          <w:rPr>
            <w:noProof/>
            <w:webHidden/>
          </w:rPr>
        </w:r>
        <w:r w:rsidR="00A0465B">
          <w:rPr>
            <w:noProof/>
            <w:webHidden/>
          </w:rPr>
          <w:fldChar w:fldCharType="separate"/>
        </w:r>
        <w:r w:rsidR="00A0465B">
          <w:rPr>
            <w:noProof/>
            <w:webHidden/>
          </w:rPr>
          <w:t>1</w:t>
        </w:r>
        <w:r w:rsidR="00A0465B">
          <w:rPr>
            <w:noProof/>
            <w:webHidden/>
          </w:rPr>
          <w:fldChar w:fldCharType="end"/>
        </w:r>
      </w:hyperlink>
    </w:p>
    <w:p w14:paraId="3896A37E" w14:textId="70202DC2" w:rsidR="00A0465B" w:rsidRDefault="00000000">
      <w:pPr>
        <w:pStyle w:val="TOC2"/>
        <w:rPr>
          <w:rFonts w:asciiTheme="minorHAnsi" w:eastAsiaTheme="minorEastAsia" w:hAnsiTheme="minorHAnsi" w:cstheme="minorBidi"/>
          <w:noProof/>
          <w:sz w:val="22"/>
          <w:szCs w:val="22"/>
          <w:lang w:eastAsia="en-NZ"/>
        </w:rPr>
      </w:pPr>
      <w:hyperlink w:anchor="_Toc150603063" w:history="1">
        <w:r w:rsidR="00A0465B" w:rsidRPr="00BF4EF9">
          <w:rPr>
            <w:rStyle w:val="Hyperlink"/>
            <w:noProof/>
          </w:rPr>
          <w:t>Contents</w:t>
        </w:r>
        <w:r w:rsidR="00A0465B">
          <w:rPr>
            <w:noProof/>
            <w:webHidden/>
          </w:rPr>
          <w:tab/>
        </w:r>
        <w:r w:rsidR="00A0465B">
          <w:rPr>
            <w:noProof/>
            <w:webHidden/>
          </w:rPr>
          <w:fldChar w:fldCharType="begin"/>
        </w:r>
        <w:r w:rsidR="00A0465B">
          <w:rPr>
            <w:noProof/>
            <w:webHidden/>
          </w:rPr>
          <w:instrText xml:space="preserve"> PAGEREF _Toc150603063 \h </w:instrText>
        </w:r>
        <w:r w:rsidR="00A0465B">
          <w:rPr>
            <w:noProof/>
            <w:webHidden/>
          </w:rPr>
        </w:r>
        <w:r w:rsidR="00A0465B">
          <w:rPr>
            <w:noProof/>
            <w:webHidden/>
          </w:rPr>
          <w:fldChar w:fldCharType="separate"/>
        </w:r>
        <w:r w:rsidR="00A0465B">
          <w:rPr>
            <w:noProof/>
            <w:webHidden/>
          </w:rPr>
          <w:t>2</w:t>
        </w:r>
        <w:r w:rsidR="00A0465B">
          <w:rPr>
            <w:noProof/>
            <w:webHidden/>
          </w:rPr>
          <w:fldChar w:fldCharType="end"/>
        </w:r>
      </w:hyperlink>
    </w:p>
    <w:p w14:paraId="060ADAB7" w14:textId="17C5B42D" w:rsidR="00A0465B" w:rsidRDefault="00000000">
      <w:pPr>
        <w:pStyle w:val="TOC2"/>
        <w:rPr>
          <w:rFonts w:asciiTheme="minorHAnsi" w:eastAsiaTheme="minorEastAsia" w:hAnsiTheme="minorHAnsi" w:cstheme="minorBidi"/>
          <w:noProof/>
          <w:sz w:val="22"/>
          <w:szCs w:val="22"/>
          <w:lang w:eastAsia="en-NZ"/>
        </w:rPr>
      </w:pPr>
      <w:hyperlink w:anchor="_Toc150603064" w:history="1">
        <w:r w:rsidR="00A0465B" w:rsidRPr="00BF4EF9">
          <w:rPr>
            <w:rStyle w:val="Hyperlink"/>
            <w:noProof/>
          </w:rPr>
          <w:t>Introduction</w:t>
        </w:r>
        <w:r w:rsidR="00A0465B">
          <w:rPr>
            <w:noProof/>
            <w:webHidden/>
          </w:rPr>
          <w:tab/>
        </w:r>
        <w:r w:rsidR="00A0465B">
          <w:rPr>
            <w:noProof/>
            <w:webHidden/>
          </w:rPr>
          <w:fldChar w:fldCharType="begin"/>
        </w:r>
        <w:r w:rsidR="00A0465B">
          <w:rPr>
            <w:noProof/>
            <w:webHidden/>
          </w:rPr>
          <w:instrText xml:space="preserve"> PAGEREF _Toc150603064 \h </w:instrText>
        </w:r>
        <w:r w:rsidR="00A0465B">
          <w:rPr>
            <w:noProof/>
            <w:webHidden/>
          </w:rPr>
        </w:r>
        <w:r w:rsidR="00A0465B">
          <w:rPr>
            <w:noProof/>
            <w:webHidden/>
          </w:rPr>
          <w:fldChar w:fldCharType="separate"/>
        </w:r>
        <w:r w:rsidR="00A0465B">
          <w:rPr>
            <w:noProof/>
            <w:webHidden/>
          </w:rPr>
          <w:t>4</w:t>
        </w:r>
        <w:r w:rsidR="00A0465B">
          <w:rPr>
            <w:noProof/>
            <w:webHidden/>
          </w:rPr>
          <w:fldChar w:fldCharType="end"/>
        </w:r>
      </w:hyperlink>
    </w:p>
    <w:p w14:paraId="69754BF6" w14:textId="709D7E96" w:rsidR="00A0465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03065" w:history="1">
        <w:r w:rsidR="00A0465B" w:rsidRPr="00BF4EF9">
          <w:rPr>
            <w:rStyle w:val="Hyperlink"/>
            <w:noProof/>
          </w:rPr>
          <w:t>Obligations</w:t>
        </w:r>
        <w:r w:rsidR="00A0465B">
          <w:rPr>
            <w:noProof/>
            <w:webHidden/>
          </w:rPr>
          <w:tab/>
        </w:r>
        <w:r w:rsidR="00A0465B">
          <w:rPr>
            <w:noProof/>
            <w:webHidden/>
          </w:rPr>
          <w:fldChar w:fldCharType="begin"/>
        </w:r>
        <w:r w:rsidR="00A0465B">
          <w:rPr>
            <w:noProof/>
            <w:webHidden/>
          </w:rPr>
          <w:instrText xml:space="preserve"> PAGEREF _Toc150603065 \h </w:instrText>
        </w:r>
        <w:r w:rsidR="00A0465B">
          <w:rPr>
            <w:noProof/>
            <w:webHidden/>
          </w:rPr>
        </w:r>
        <w:r w:rsidR="00A0465B">
          <w:rPr>
            <w:noProof/>
            <w:webHidden/>
          </w:rPr>
          <w:fldChar w:fldCharType="separate"/>
        </w:r>
        <w:r w:rsidR="00A0465B">
          <w:rPr>
            <w:noProof/>
            <w:webHidden/>
          </w:rPr>
          <w:t>5</w:t>
        </w:r>
        <w:r w:rsidR="00A0465B">
          <w:rPr>
            <w:noProof/>
            <w:webHidden/>
          </w:rPr>
          <w:fldChar w:fldCharType="end"/>
        </w:r>
      </w:hyperlink>
    </w:p>
    <w:p w14:paraId="53F00005" w14:textId="4F86AD79" w:rsidR="00A0465B" w:rsidRDefault="00000000">
      <w:pPr>
        <w:pStyle w:val="TOC2"/>
        <w:rPr>
          <w:rFonts w:asciiTheme="minorHAnsi" w:eastAsiaTheme="minorEastAsia" w:hAnsiTheme="minorHAnsi" w:cstheme="minorBidi"/>
          <w:noProof/>
          <w:sz w:val="22"/>
          <w:szCs w:val="22"/>
          <w:lang w:eastAsia="en-NZ"/>
        </w:rPr>
      </w:pPr>
      <w:hyperlink w:anchor="_Toc150603066" w:history="1">
        <w:r w:rsidR="00A0465B" w:rsidRPr="00BF4EF9">
          <w:rPr>
            <w:rStyle w:val="Hyperlink"/>
            <w:noProof/>
          </w:rPr>
          <w:t>Laws</w:t>
        </w:r>
        <w:r w:rsidR="00A0465B">
          <w:rPr>
            <w:noProof/>
            <w:webHidden/>
          </w:rPr>
          <w:tab/>
        </w:r>
        <w:r w:rsidR="00A0465B">
          <w:rPr>
            <w:noProof/>
            <w:webHidden/>
          </w:rPr>
          <w:fldChar w:fldCharType="begin"/>
        </w:r>
        <w:r w:rsidR="00A0465B">
          <w:rPr>
            <w:noProof/>
            <w:webHidden/>
          </w:rPr>
          <w:instrText xml:space="preserve"> PAGEREF _Toc150603066 \h </w:instrText>
        </w:r>
        <w:r w:rsidR="00A0465B">
          <w:rPr>
            <w:noProof/>
            <w:webHidden/>
          </w:rPr>
        </w:r>
        <w:r w:rsidR="00A0465B">
          <w:rPr>
            <w:noProof/>
            <w:webHidden/>
          </w:rPr>
          <w:fldChar w:fldCharType="separate"/>
        </w:r>
        <w:r w:rsidR="00A0465B">
          <w:rPr>
            <w:noProof/>
            <w:webHidden/>
          </w:rPr>
          <w:t>5</w:t>
        </w:r>
        <w:r w:rsidR="00A0465B">
          <w:rPr>
            <w:noProof/>
            <w:webHidden/>
          </w:rPr>
          <w:fldChar w:fldCharType="end"/>
        </w:r>
      </w:hyperlink>
    </w:p>
    <w:p w14:paraId="393DAFFC" w14:textId="62C2A385"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67" w:history="1">
        <w:r w:rsidR="00A0465B" w:rsidRPr="00BF4EF9">
          <w:rPr>
            <w:rStyle w:val="Hyperlink"/>
            <w:noProof/>
          </w:rPr>
          <w:t>International Legal Obligations</w:t>
        </w:r>
        <w:r w:rsidR="00A0465B">
          <w:rPr>
            <w:noProof/>
            <w:webHidden/>
          </w:rPr>
          <w:tab/>
        </w:r>
        <w:r w:rsidR="00A0465B">
          <w:rPr>
            <w:noProof/>
            <w:webHidden/>
          </w:rPr>
          <w:fldChar w:fldCharType="begin"/>
        </w:r>
        <w:r w:rsidR="00A0465B">
          <w:rPr>
            <w:noProof/>
            <w:webHidden/>
          </w:rPr>
          <w:instrText xml:space="preserve"> PAGEREF _Toc150603067 \h </w:instrText>
        </w:r>
        <w:r w:rsidR="00A0465B">
          <w:rPr>
            <w:noProof/>
            <w:webHidden/>
          </w:rPr>
        </w:r>
        <w:r w:rsidR="00A0465B">
          <w:rPr>
            <w:noProof/>
            <w:webHidden/>
          </w:rPr>
          <w:fldChar w:fldCharType="separate"/>
        </w:r>
        <w:r w:rsidR="00A0465B">
          <w:rPr>
            <w:noProof/>
            <w:webHidden/>
          </w:rPr>
          <w:t>5</w:t>
        </w:r>
        <w:r w:rsidR="00A0465B">
          <w:rPr>
            <w:noProof/>
            <w:webHidden/>
          </w:rPr>
          <w:fldChar w:fldCharType="end"/>
        </w:r>
      </w:hyperlink>
    </w:p>
    <w:p w14:paraId="0E952D2B" w14:textId="5DF4E574"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68" w:history="1">
        <w:r w:rsidR="00A0465B" w:rsidRPr="00BF4EF9">
          <w:rPr>
            <w:rStyle w:val="Hyperlink"/>
            <w:noProof/>
          </w:rPr>
          <w:t>National Legal Obligations</w:t>
        </w:r>
        <w:r w:rsidR="00A0465B">
          <w:rPr>
            <w:noProof/>
            <w:webHidden/>
          </w:rPr>
          <w:tab/>
        </w:r>
        <w:r w:rsidR="00A0465B">
          <w:rPr>
            <w:noProof/>
            <w:webHidden/>
          </w:rPr>
          <w:fldChar w:fldCharType="begin"/>
        </w:r>
        <w:r w:rsidR="00A0465B">
          <w:rPr>
            <w:noProof/>
            <w:webHidden/>
          </w:rPr>
          <w:instrText xml:space="preserve"> PAGEREF _Toc150603068 \h </w:instrText>
        </w:r>
        <w:r w:rsidR="00A0465B">
          <w:rPr>
            <w:noProof/>
            <w:webHidden/>
          </w:rPr>
        </w:r>
        <w:r w:rsidR="00A0465B">
          <w:rPr>
            <w:noProof/>
            <w:webHidden/>
          </w:rPr>
          <w:fldChar w:fldCharType="separate"/>
        </w:r>
        <w:r w:rsidR="00A0465B">
          <w:rPr>
            <w:noProof/>
            <w:webHidden/>
          </w:rPr>
          <w:t>6</w:t>
        </w:r>
        <w:r w:rsidR="00A0465B">
          <w:rPr>
            <w:noProof/>
            <w:webHidden/>
          </w:rPr>
          <w:fldChar w:fldCharType="end"/>
        </w:r>
      </w:hyperlink>
    </w:p>
    <w:p w14:paraId="0BF27D34" w14:textId="1F4FB2C3" w:rsidR="00A0465B" w:rsidRDefault="00000000">
      <w:pPr>
        <w:pStyle w:val="TOC4"/>
        <w:rPr>
          <w:rFonts w:asciiTheme="minorHAnsi" w:eastAsiaTheme="minorEastAsia" w:hAnsiTheme="minorHAnsi" w:cstheme="minorBidi"/>
          <w:noProof/>
          <w:sz w:val="22"/>
          <w:szCs w:val="22"/>
          <w:lang w:eastAsia="en-NZ"/>
        </w:rPr>
      </w:pPr>
      <w:hyperlink w:anchor="_Toc150603069" w:history="1">
        <w:r w:rsidR="00A0465B" w:rsidRPr="00BF4EF9">
          <w:rPr>
            <w:rStyle w:val="Hyperlink"/>
            <w:noProof/>
          </w:rPr>
          <w:t>New Zealand Public Sector Legal Obligations</w:t>
        </w:r>
        <w:r w:rsidR="00A0465B">
          <w:rPr>
            <w:noProof/>
            <w:webHidden/>
          </w:rPr>
          <w:tab/>
        </w:r>
        <w:r w:rsidR="00A0465B">
          <w:rPr>
            <w:noProof/>
            <w:webHidden/>
          </w:rPr>
          <w:fldChar w:fldCharType="begin"/>
        </w:r>
        <w:r w:rsidR="00A0465B">
          <w:rPr>
            <w:noProof/>
            <w:webHidden/>
          </w:rPr>
          <w:instrText xml:space="preserve"> PAGEREF _Toc150603069 \h </w:instrText>
        </w:r>
        <w:r w:rsidR="00A0465B">
          <w:rPr>
            <w:noProof/>
            <w:webHidden/>
          </w:rPr>
        </w:r>
        <w:r w:rsidR="00A0465B">
          <w:rPr>
            <w:noProof/>
            <w:webHidden/>
          </w:rPr>
          <w:fldChar w:fldCharType="separate"/>
        </w:r>
        <w:r w:rsidR="00A0465B">
          <w:rPr>
            <w:noProof/>
            <w:webHidden/>
          </w:rPr>
          <w:t>6</w:t>
        </w:r>
        <w:r w:rsidR="00A0465B">
          <w:rPr>
            <w:noProof/>
            <w:webHidden/>
          </w:rPr>
          <w:fldChar w:fldCharType="end"/>
        </w:r>
      </w:hyperlink>
    </w:p>
    <w:p w14:paraId="70B9D84E" w14:textId="73F76780" w:rsidR="00A0465B" w:rsidRDefault="00000000">
      <w:pPr>
        <w:pStyle w:val="TOC4"/>
        <w:rPr>
          <w:rFonts w:asciiTheme="minorHAnsi" w:eastAsiaTheme="minorEastAsia" w:hAnsiTheme="minorHAnsi" w:cstheme="minorBidi"/>
          <w:noProof/>
          <w:sz w:val="22"/>
          <w:szCs w:val="22"/>
          <w:lang w:eastAsia="en-NZ"/>
        </w:rPr>
      </w:pPr>
      <w:hyperlink w:anchor="_Toc150603070" w:history="1">
        <w:r w:rsidR="00A0465B" w:rsidRPr="00BF4EF9">
          <w:rPr>
            <w:rStyle w:val="Hyperlink"/>
            <w:noProof/>
          </w:rPr>
          <w:t>New Zealand Government Sector Legal Obligations</w:t>
        </w:r>
        <w:r w:rsidR="00A0465B">
          <w:rPr>
            <w:noProof/>
            <w:webHidden/>
          </w:rPr>
          <w:tab/>
        </w:r>
        <w:r w:rsidR="00A0465B">
          <w:rPr>
            <w:noProof/>
            <w:webHidden/>
          </w:rPr>
          <w:fldChar w:fldCharType="begin"/>
        </w:r>
        <w:r w:rsidR="00A0465B">
          <w:rPr>
            <w:noProof/>
            <w:webHidden/>
          </w:rPr>
          <w:instrText xml:space="preserve"> PAGEREF _Toc150603070 \h </w:instrText>
        </w:r>
        <w:r w:rsidR="00A0465B">
          <w:rPr>
            <w:noProof/>
            <w:webHidden/>
          </w:rPr>
        </w:r>
        <w:r w:rsidR="00A0465B">
          <w:rPr>
            <w:noProof/>
            <w:webHidden/>
          </w:rPr>
          <w:fldChar w:fldCharType="separate"/>
        </w:r>
        <w:r w:rsidR="00A0465B">
          <w:rPr>
            <w:noProof/>
            <w:webHidden/>
          </w:rPr>
          <w:t>6</w:t>
        </w:r>
        <w:r w:rsidR="00A0465B">
          <w:rPr>
            <w:noProof/>
            <w:webHidden/>
          </w:rPr>
          <w:fldChar w:fldCharType="end"/>
        </w:r>
      </w:hyperlink>
    </w:p>
    <w:p w14:paraId="24AC0CD1" w14:textId="614ABDF6" w:rsidR="00A0465B" w:rsidRDefault="00000000">
      <w:pPr>
        <w:pStyle w:val="TOC4"/>
        <w:rPr>
          <w:rFonts w:asciiTheme="minorHAnsi" w:eastAsiaTheme="minorEastAsia" w:hAnsiTheme="minorHAnsi" w:cstheme="minorBidi"/>
          <w:noProof/>
          <w:sz w:val="22"/>
          <w:szCs w:val="22"/>
          <w:lang w:eastAsia="en-NZ"/>
        </w:rPr>
      </w:pPr>
      <w:hyperlink w:anchor="_Toc150603071" w:history="1">
        <w:r w:rsidR="00A0465B" w:rsidRPr="00BF4EF9">
          <w:rPr>
            <w:rStyle w:val="Hyperlink"/>
            <w:noProof/>
          </w:rPr>
          <w:t>New Zealand Education Sector Legal Obligations</w:t>
        </w:r>
        <w:r w:rsidR="00A0465B">
          <w:rPr>
            <w:noProof/>
            <w:webHidden/>
          </w:rPr>
          <w:tab/>
        </w:r>
        <w:r w:rsidR="00A0465B">
          <w:rPr>
            <w:noProof/>
            <w:webHidden/>
          </w:rPr>
          <w:fldChar w:fldCharType="begin"/>
        </w:r>
        <w:r w:rsidR="00A0465B">
          <w:rPr>
            <w:noProof/>
            <w:webHidden/>
          </w:rPr>
          <w:instrText xml:space="preserve"> PAGEREF _Toc150603071 \h </w:instrText>
        </w:r>
        <w:r w:rsidR="00A0465B">
          <w:rPr>
            <w:noProof/>
            <w:webHidden/>
          </w:rPr>
        </w:r>
        <w:r w:rsidR="00A0465B">
          <w:rPr>
            <w:noProof/>
            <w:webHidden/>
          </w:rPr>
          <w:fldChar w:fldCharType="separate"/>
        </w:r>
        <w:r w:rsidR="00A0465B">
          <w:rPr>
            <w:noProof/>
            <w:webHidden/>
          </w:rPr>
          <w:t>6</w:t>
        </w:r>
        <w:r w:rsidR="00A0465B">
          <w:rPr>
            <w:noProof/>
            <w:webHidden/>
          </w:rPr>
          <w:fldChar w:fldCharType="end"/>
        </w:r>
      </w:hyperlink>
    </w:p>
    <w:p w14:paraId="777477BA" w14:textId="341F8C5C" w:rsidR="00A0465B" w:rsidRDefault="00000000">
      <w:pPr>
        <w:pStyle w:val="TOC4"/>
        <w:rPr>
          <w:rFonts w:asciiTheme="minorHAnsi" w:eastAsiaTheme="minorEastAsia" w:hAnsiTheme="minorHAnsi" w:cstheme="minorBidi"/>
          <w:noProof/>
          <w:sz w:val="22"/>
          <w:szCs w:val="22"/>
          <w:lang w:eastAsia="en-NZ"/>
        </w:rPr>
      </w:pPr>
      <w:hyperlink w:anchor="_Toc150603072" w:history="1">
        <w:r w:rsidR="00A0465B" w:rsidRPr="00BF4EF9">
          <w:rPr>
            <w:rStyle w:val="Hyperlink"/>
            <w:noProof/>
          </w:rPr>
          <w:t>Considerations</w:t>
        </w:r>
        <w:r w:rsidR="00A0465B">
          <w:rPr>
            <w:noProof/>
            <w:webHidden/>
          </w:rPr>
          <w:tab/>
        </w:r>
        <w:r w:rsidR="00A0465B">
          <w:rPr>
            <w:noProof/>
            <w:webHidden/>
          </w:rPr>
          <w:fldChar w:fldCharType="begin"/>
        </w:r>
        <w:r w:rsidR="00A0465B">
          <w:rPr>
            <w:noProof/>
            <w:webHidden/>
          </w:rPr>
          <w:instrText xml:space="preserve"> PAGEREF _Toc150603072 \h </w:instrText>
        </w:r>
        <w:r w:rsidR="00A0465B">
          <w:rPr>
            <w:noProof/>
            <w:webHidden/>
          </w:rPr>
        </w:r>
        <w:r w:rsidR="00A0465B">
          <w:rPr>
            <w:noProof/>
            <w:webHidden/>
          </w:rPr>
          <w:fldChar w:fldCharType="separate"/>
        </w:r>
        <w:r w:rsidR="00A0465B">
          <w:rPr>
            <w:noProof/>
            <w:webHidden/>
          </w:rPr>
          <w:t>6</w:t>
        </w:r>
        <w:r w:rsidR="00A0465B">
          <w:rPr>
            <w:noProof/>
            <w:webHidden/>
          </w:rPr>
          <w:fldChar w:fldCharType="end"/>
        </w:r>
      </w:hyperlink>
    </w:p>
    <w:p w14:paraId="4A22178D" w14:textId="23D922BA" w:rsidR="00A0465B" w:rsidRDefault="00000000">
      <w:pPr>
        <w:pStyle w:val="TOC2"/>
        <w:rPr>
          <w:rFonts w:asciiTheme="minorHAnsi" w:eastAsiaTheme="minorEastAsia" w:hAnsiTheme="minorHAnsi" w:cstheme="minorBidi"/>
          <w:noProof/>
          <w:sz w:val="22"/>
          <w:szCs w:val="22"/>
          <w:lang w:eastAsia="en-NZ"/>
        </w:rPr>
      </w:pPr>
      <w:hyperlink w:anchor="_Toc150603073" w:history="1">
        <w:r w:rsidR="00A0465B" w:rsidRPr="00BF4EF9">
          <w:rPr>
            <w:rStyle w:val="Hyperlink"/>
            <w:noProof/>
          </w:rPr>
          <w:t>Regulations</w:t>
        </w:r>
        <w:r w:rsidR="00A0465B">
          <w:rPr>
            <w:noProof/>
            <w:webHidden/>
          </w:rPr>
          <w:tab/>
        </w:r>
        <w:r w:rsidR="00A0465B">
          <w:rPr>
            <w:noProof/>
            <w:webHidden/>
          </w:rPr>
          <w:fldChar w:fldCharType="begin"/>
        </w:r>
        <w:r w:rsidR="00A0465B">
          <w:rPr>
            <w:noProof/>
            <w:webHidden/>
          </w:rPr>
          <w:instrText xml:space="preserve"> PAGEREF _Toc150603073 \h </w:instrText>
        </w:r>
        <w:r w:rsidR="00A0465B">
          <w:rPr>
            <w:noProof/>
            <w:webHidden/>
          </w:rPr>
        </w:r>
        <w:r w:rsidR="00A0465B">
          <w:rPr>
            <w:noProof/>
            <w:webHidden/>
          </w:rPr>
          <w:fldChar w:fldCharType="separate"/>
        </w:r>
        <w:r w:rsidR="00A0465B">
          <w:rPr>
            <w:noProof/>
            <w:webHidden/>
          </w:rPr>
          <w:t>7</w:t>
        </w:r>
        <w:r w:rsidR="00A0465B">
          <w:rPr>
            <w:noProof/>
            <w:webHidden/>
          </w:rPr>
          <w:fldChar w:fldCharType="end"/>
        </w:r>
      </w:hyperlink>
    </w:p>
    <w:p w14:paraId="18EE552A" w14:textId="2DFAFA80"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74" w:history="1">
        <w:r w:rsidR="00A0465B" w:rsidRPr="00BF4EF9">
          <w:rPr>
            <w:rStyle w:val="Hyperlink"/>
            <w:noProof/>
          </w:rPr>
          <w:t>Government Domain Obligations</w:t>
        </w:r>
        <w:r w:rsidR="00A0465B">
          <w:rPr>
            <w:noProof/>
            <w:webHidden/>
          </w:rPr>
          <w:tab/>
        </w:r>
        <w:r w:rsidR="00A0465B">
          <w:rPr>
            <w:noProof/>
            <w:webHidden/>
          </w:rPr>
          <w:fldChar w:fldCharType="begin"/>
        </w:r>
        <w:r w:rsidR="00A0465B">
          <w:rPr>
            <w:noProof/>
            <w:webHidden/>
          </w:rPr>
          <w:instrText xml:space="preserve"> PAGEREF _Toc150603074 \h </w:instrText>
        </w:r>
        <w:r w:rsidR="00A0465B">
          <w:rPr>
            <w:noProof/>
            <w:webHidden/>
          </w:rPr>
        </w:r>
        <w:r w:rsidR="00A0465B">
          <w:rPr>
            <w:noProof/>
            <w:webHidden/>
          </w:rPr>
          <w:fldChar w:fldCharType="separate"/>
        </w:r>
        <w:r w:rsidR="00A0465B">
          <w:rPr>
            <w:noProof/>
            <w:webHidden/>
          </w:rPr>
          <w:t>7</w:t>
        </w:r>
        <w:r w:rsidR="00A0465B">
          <w:rPr>
            <w:noProof/>
            <w:webHidden/>
          </w:rPr>
          <w:fldChar w:fldCharType="end"/>
        </w:r>
      </w:hyperlink>
    </w:p>
    <w:p w14:paraId="0A45F70A" w14:textId="45805925" w:rsidR="00A0465B" w:rsidRDefault="00000000">
      <w:pPr>
        <w:pStyle w:val="TOC4"/>
        <w:rPr>
          <w:rFonts w:asciiTheme="minorHAnsi" w:eastAsiaTheme="minorEastAsia" w:hAnsiTheme="minorHAnsi" w:cstheme="minorBidi"/>
          <w:noProof/>
          <w:sz w:val="22"/>
          <w:szCs w:val="22"/>
          <w:lang w:eastAsia="en-NZ"/>
        </w:rPr>
      </w:pPr>
      <w:hyperlink w:anchor="_Toc150603075" w:history="1">
        <w:r w:rsidR="00A0465B" w:rsidRPr="00BF4EF9">
          <w:rPr>
            <w:rStyle w:val="Hyperlink"/>
            <w:noProof/>
          </w:rPr>
          <w:t>AoG Digital Standards</w:t>
        </w:r>
        <w:r w:rsidR="00A0465B">
          <w:rPr>
            <w:noProof/>
            <w:webHidden/>
          </w:rPr>
          <w:tab/>
        </w:r>
        <w:r w:rsidR="00A0465B">
          <w:rPr>
            <w:noProof/>
            <w:webHidden/>
          </w:rPr>
          <w:fldChar w:fldCharType="begin"/>
        </w:r>
        <w:r w:rsidR="00A0465B">
          <w:rPr>
            <w:noProof/>
            <w:webHidden/>
          </w:rPr>
          <w:instrText xml:space="preserve"> PAGEREF _Toc150603075 \h </w:instrText>
        </w:r>
        <w:r w:rsidR="00A0465B">
          <w:rPr>
            <w:noProof/>
            <w:webHidden/>
          </w:rPr>
        </w:r>
        <w:r w:rsidR="00A0465B">
          <w:rPr>
            <w:noProof/>
            <w:webHidden/>
          </w:rPr>
          <w:fldChar w:fldCharType="separate"/>
        </w:r>
        <w:r w:rsidR="00A0465B">
          <w:rPr>
            <w:noProof/>
            <w:webHidden/>
          </w:rPr>
          <w:t>7</w:t>
        </w:r>
        <w:r w:rsidR="00A0465B">
          <w:rPr>
            <w:noProof/>
            <w:webHidden/>
          </w:rPr>
          <w:fldChar w:fldCharType="end"/>
        </w:r>
      </w:hyperlink>
    </w:p>
    <w:p w14:paraId="3922F8C0" w14:textId="29051932" w:rsidR="00A0465B" w:rsidRDefault="00000000">
      <w:pPr>
        <w:pStyle w:val="TOC2"/>
        <w:rPr>
          <w:rFonts w:asciiTheme="minorHAnsi" w:eastAsiaTheme="minorEastAsia" w:hAnsiTheme="minorHAnsi" w:cstheme="minorBidi"/>
          <w:noProof/>
          <w:sz w:val="22"/>
          <w:szCs w:val="22"/>
          <w:lang w:eastAsia="en-NZ"/>
        </w:rPr>
      </w:pPr>
      <w:hyperlink w:anchor="_Toc150603076" w:history="1">
        <w:r w:rsidR="00A0465B" w:rsidRPr="00BF4EF9">
          <w:rPr>
            <w:rStyle w:val="Hyperlink"/>
            <w:noProof/>
          </w:rPr>
          <w:t>Agreements</w:t>
        </w:r>
        <w:r w:rsidR="00A0465B">
          <w:rPr>
            <w:noProof/>
            <w:webHidden/>
          </w:rPr>
          <w:tab/>
        </w:r>
        <w:r w:rsidR="00A0465B">
          <w:rPr>
            <w:noProof/>
            <w:webHidden/>
          </w:rPr>
          <w:fldChar w:fldCharType="begin"/>
        </w:r>
        <w:r w:rsidR="00A0465B">
          <w:rPr>
            <w:noProof/>
            <w:webHidden/>
          </w:rPr>
          <w:instrText xml:space="preserve"> PAGEREF _Toc150603076 \h </w:instrText>
        </w:r>
        <w:r w:rsidR="00A0465B">
          <w:rPr>
            <w:noProof/>
            <w:webHidden/>
          </w:rPr>
        </w:r>
        <w:r w:rsidR="00A0465B">
          <w:rPr>
            <w:noProof/>
            <w:webHidden/>
          </w:rPr>
          <w:fldChar w:fldCharType="separate"/>
        </w:r>
        <w:r w:rsidR="00A0465B">
          <w:rPr>
            <w:noProof/>
            <w:webHidden/>
          </w:rPr>
          <w:t>8</w:t>
        </w:r>
        <w:r w:rsidR="00A0465B">
          <w:rPr>
            <w:noProof/>
            <w:webHidden/>
          </w:rPr>
          <w:fldChar w:fldCharType="end"/>
        </w:r>
      </w:hyperlink>
    </w:p>
    <w:p w14:paraId="0DADA77C" w14:textId="2D3FFB99"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77" w:history="1">
        <w:r w:rsidR="00A0465B" w:rsidRPr="00BF4EF9">
          <w:rPr>
            <w:rStyle w:val="Hyperlink"/>
            <w:noProof/>
          </w:rPr>
          <w:t>International</w:t>
        </w:r>
        <w:r w:rsidR="00A0465B">
          <w:rPr>
            <w:noProof/>
            <w:webHidden/>
          </w:rPr>
          <w:tab/>
        </w:r>
        <w:r w:rsidR="00A0465B">
          <w:rPr>
            <w:noProof/>
            <w:webHidden/>
          </w:rPr>
          <w:fldChar w:fldCharType="begin"/>
        </w:r>
        <w:r w:rsidR="00A0465B">
          <w:rPr>
            <w:noProof/>
            <w:webHidden/>
          </w:rPr>
          <w:instrText xml:space="preserve"> PAGEREF _Toc150603077 \h </w:instrText>
        </w:r>
        <w:r w:rsidR="00A0465B">
          <w:rPr>
            <w:noProof/>
            <w:webHidden/>
          </w:rPr>
        </w:r>
        <w:r w:rsidR="00A0465B">
          <w:rPr>
            <w:noProof/>
            <w:webHidden/>
          </w:rPr>
          <w:fldChar w:fldCharType="separate"/>
        </w:r>
        <w:r w:rsidR="00A0465B">
          <w:rPr>
            <w:noProof/>
            <w:webHidden/>
          </w:rPr>
          <w:t>8</w:t>
        </w:r>
        <w:r w:rsidR="00A0465B">
          <w:rPr>
            <w:noProof/>
            <w:webHidden/>
          </w:rPr>
          <w:fldChar w:fldCharType="end"/>
        </w:r>
      </w:hyperlink>
    </w:p>
    <w:p w14:paraId="59FEE955" w14:textId="65EE324C"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78" w:history="1">
        <w:r w:rsidR="00A0465B" w:rsidRPr="00BF4EF9">
          <w:rPr>
            <w:rStyle w:val="Hyperlink"/>
            <w:noProof/>
          </w:rPr>
          <w:t>Sanctions</w:t>
        </w:r>
        <w:r w:rsidR="00A0465B">
          <w:rPr>
            <w:noProof/>
            <w:webHidden/>
          </w:rPr>
          <w:tab/>
        </w:r>
        <w:r w:rsidR="00A0465B">
          <w:rPr>
            <w:noProof/>
            <w:webHidden/>
          </w:rPr>
          <w:fldChar w:fldCharType="begin"/>
        </w:r>
        <w:r w:rsidR="00A0465B">
          <w:rPr>
            <w:noProof/>
            <w:webHidden/>
          </w:rPr>
          <w:instrText xml:space="preserve"> PAGEREF _Toc150603078 \h </w:instrText>
        </w:r>
        <w:r w:rsidR="00A0465B">
          <w:rPr>
            <w:noProof/>
            <w:webHidden/>
          </w:rPr>
        </w:r>
        <w:r w:rsidR="00A0465B">
          <w:rPr>
            <w:noProof/>
            <w:webHidden/>
          </w:rPr>
          <w:fldChar w:fldCharType="separate"/>
        </w:r>
        <w:r w:rsidR="00A0465B">
          <w:rPr>
            <w:noProof/>
            <w:webHidden/>
          </w:rPr>
          <w:t>8</w:t>
        </w:r>
        <w:r w:rsidR="00A0465B">
          <w:rPr>
            <w:noProof/>
            <w:webHidden/>
          </w:rPr>
          <w:fldChar w:fldCharType="end"/>
        </w:r>
      </w:hyperlink>
    </w:p>
    <w:p w14:paraId="234A3EF1" w14:textId="4BB4D955"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79" w:history="1">
        <w:r w:rsidR="00A0465B" w:rsidRPr="00BF4EF9">
          <w:rPr>
            <w:rStyle w:val="Hyperlink"/>
            <w:noProof/>
          </w:rPr>
          <w:t>Other</w:t>
        </w:r>
        <w:r w:rsidR="00A0465B">
          <w:rPr>
            <w:noProof/>
            <w:webHidden/>
          </w:rPr>
          <w:tab/>
        </w:r>
        <w:r w:rsidR="00A0465B">
          <w:rPr>
            <w:noProof/>
            <w:webHidden/>
          </w:rPr>
          <w:fldChar w:fldCharType="begin"/>
        </w:r>
        <w:r w:rsidR="00A0465B">
          <w:rPr>
            <w:noProof/>
            <w:webHidden/>
          </w:rPr>
          <w:instrText xml:space="preserve"> PAGEREF _Toc150603079 \h </w:instrText>
        </w:r>
        <w:r w:rsidR="00A0465B">
          <w:rPr>
            <w:noProof/>
            <w:webHidden/>
          </w:rPr>
        </w:r>
        <w:r w:rsidR="00A0465B">
          <w:rPr>
            <w:noProof/>
            <w:webHidden/>
          </w:rPr>
          <w:fldChar w:fldCharType="separate"/>
        </w:r>
        <w:r w:rsidR="00A0465B">
          <w:rPr>
            <w:noProof/>
            <w:webHidden/>
          </w:rPr>
          <w:t>8</w:t>
        </w:r>
        <w:r w:rsidR="00A0465B">
          <w:rPr>
            <w:noProof/>
            <w:webHidden/>
          </w:rPr>
          <w:fldChar w:fldCharType="end"/>
        </w:r>
      </w:hyperlink>
    </w:p>
    <w:p w14:paraId="725D6DF4" w14:textId="550F2826" w:rsidR="00A0465B" w:rsidRDefault="00000000">
      <w:pPr>
        <w:pStyle w:val="TOC2"/>
        <w:rPr>
          <w:rFonts w:asciiTheme="minorHAnsi" w:eastAsiaTheme="minorEastAsia" w:hAnsiTheme="minorHAnsi" w:cstheme="minorBidi"/>
          <w:noProof/>
          <w:sz w:val="22"/>
          <w:szCs w:val="22"/>
          <w:lang w:eastAsia="en-NZ"/>
        </w:rPr>
      </w:pPr>
      <w:hyperlink w:anchor="_Toc150603080" w:history="1">
        <w:r w:rsidR="00A0465B" w:rsidRPr="00BF4EF9">
          <w:rPr>
            <w:rStyle w:val="Hyperlink"/>
            <w:noProof/>
          </w:rPr>
          <w:t>Commitments</w:t>
        </w:r>
        <w:r w:rsidR="00A0465B">
          <w:rPr>
            <w:noProof/>
            <w:webHidden/>
          </w:rPr>
          <w:tab/>
        </w:r>
        <w:r w:rsidR="00A0465B">
          <w:rPr>
            <w:noProof/>
            <w:webHidden/>
          </w:rPr>
          <w:fldChar w:fldCharType="begin"/>
        </w:r>
        <w:r w:rsidR="00A0465B">
          <w:rPr>
            <w:noProof/>
            <w:webHidden/>
          </w:rPr>
          <w:instrText xml:space="preserve"> PAGEREF _Toc150603080 \h </w:instrText>
        </w:r>
        <w:r w:rsidR="00A0465B">
          <w:rPr>
            <w:noProof/>
            <w:webHidden/>
          </w:rPr>
        </w:r>
        <w:r w:rsidR="00A0465B">
          <w:rPr>
            <w:noProof/>
            <w:webHidden/>
          </w:rPr>
          <w:fldChar w:fldCharType="separate"/>
        </w:r>
        <w:r w:rsidR="00A0465B">
          <w:rPr>
            <w:noProof/>
            <w:webHidden/>
          </w:rPr>
          <w:t>9</w:t>
        </w:r>
        <w:r w:rsidR="00A0465B">
          <w:rPr>
            <w:noProof/>
            <w:webHidden/>
          </w:rPr>
          <w:fldChar w:fldCharType="end"/>
        </w:r>
      </w:hyperlink>
    </w:p>
    <w:p w14:paraId="055011A5" w14:textId="5183DBE1"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81" w:history="1">
        <w:r w:rsidR="00A0465B" w:rsidRPr="00BF4EF9">
          <w:rPr>
            <w:rStyle w:val="Hyperlink"/>
            <w:noProof/>
          </w:rPr>
          <w:t>Binding</w:t>
        </w:r>
        <w:r w:rsidR="00A0465B">
          <w:rPr>
            <w:noProof/>
            <w:webHidden/>
          </w:rPr>
          <w:tab/>
        </w:r>
        <w:r w:rsidR="00A0465B">
          <w:rPr>
            <w:noProof/>
            <w:webHidden/>
          </w:rPr>
          <w:fldChar w:fldCharType="begin"/>
        </w:r>
        <w:r w:rsidR="00A0465B">
          <w:rPr>
            <w:noProof/>
            <w:webHidden/>
          </w:rPr>
          <w:instrText xml:space="preserve"> PAGEREF _Toc150603081 \h </w:instrText>
        </w:r>
        <w:r w:rsidR="00A0465B">
          <w:rPr>
            <w:noProof/>
            <w:webHidden/>
          </w:rPr>
        </w:r>
        <w:r w:rsidR="00A0465B">
          <w:rPr>
            <w:noProof/>
            <w:webHidden/>
          </w:rPr>
          <w:fldChar w:fldCharType="separate"/>
        </w:r>
        <w:r w:rsidR="00A0465B">
          <w:rPr>
            <w:noProof/>
            <w:webHidden/>
          </w:rPr>
          <w:t>9</w:t>
        </w:r>
        <w:r w:rsidR="00A0465B">
          <w:rPr>
            <w:noProof/>
            <w:webHidden/>
          </w:rPr>
          <w:fldChar w:fldCharType="end"/>
        </w:r>
      </w:hyperlink>
    </w:p>
    <w:p w14:paraId="6BC19EE9" w14:textId="2FA71797"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82" w:history="1">
        <w:r w:rsidR="00A0465B" w:rsidRPr="00BF4EF9">
          <w:rPr>
            <w:rStyle w:val="Hyperlink"/>
            <w:noProof/>
          </w:rPr>
          <w:t>Non-Binding</w:t>
        </w:r>
        <w:r w:rsidR="00A0465B">
          <w:rPr>
            <w:noProof/>
            <w:webHidden/>
          </w:rPr>
          <w:tab/>
        </w:r>
        <w:r w:rsidR="00A0465B">
          <w:rPr>
            <w:noProof/>
            <w:webHidden/>
          </w:rPr>
          <w:fldChar w:fldCharType="begin"/>
        </w:r>
        <w:r w:rsidR="00A0465B">
          <w:rPr>
            <w:noProof/>
            <w:webHidden/>
          </w:rPr>
          <w:instrText xml:space="preserve"> PAGEREF _Toc150603082 \h </w:instrText>
        </w:r>
        <w:r w:rsidR="00A0465B">
          <w:rPr>
            <w:noProof/>
            <w:webHidden/>
          </w:rPr>
        </w:r>
        <w:r w:rsidR="00A0465B">
          <w:rPr>
            <w:noProof/>
            <w:webHidden/>
          </w:rPr>
          <w:fldChar w:fldCharType="separate"/>
        </w:r>
        <w:r w:rsidR="00A0465B">
          <w:rPr>
            <w:noProof/>
            <w:webHidden/>
          </w:rPr>
          <w:t>9</w:t>
        </w:r>
        <w:r w:rsidR="00A0465B">
          <w:rPr>
            <w:noProof/>
            <w:webHidden/>
          </w:rPr>
          <w:fldChar w:fldCharType="end"/>
        </w:r>
      </w:hyperlink>
    </w:p>
    <w:p w14:paraId="7DFA44C8" w14:textId="4EBE1A77" w:rsidR="00A0465B" w:rsidRDefault="00000000">
      <w:pPr>
        <w:pStyle w:val="TOC4"/>
        <w:rPr>
          <w:rFonts w:asciiTheme="minorHAnsi" w:eastAsiaTheme="minorEastAsia" w:hAnsiTheme="minorHAnsi" w:cstheme="minorBidi"/>
          <w:noProof/>
          <w:sz w:val="22"/>
          <w:szCs w:val="22"/>
          <w:lang w:eastAsia="en-NZ"/>
        </w:rPr>
      </w:pPr>
      <w:hyperlink w:anchor="_Toc150603083" w:history="1">
        <w:r w:rsidR="00A0465B" w:rsidRPr="00BF4EF9">
          <w:rPr>
            <w:rStyle w:val="Hyperlink"/>
            <w:noProof/>
          </w:rPr>
          <w:t>International: United Nations Declaration of the Rights of Indigenous People (UNDRIP)</w:t>
        </w:r>
        <w:r w:rsidR="00A0465B">
          <w:rPr>
            <w:noProof/>
            <w:webHidden/>
          </w:rPr>
          <w:tab/>
        </w:r>
        <w:r w:rsidR="00A0465B">
          <w:rPr>
            <w:noProof/>
            <w:webHidden/>
          </w:rPr>
          <w:fldChar w:fldCharType="begin"/>
        </w:r>
        <w:r w:rsidR="00A0465B">
          <w:rPr>
            <w:noProof/>
            <w:webHidden/>
          </w:rPr>
          <w:instrText xml:space="preserve"> PAGEREF _Toc150603083 \h </w:instrText>
        </w:r>
        <w:r w:rsidR="00A0465B">
          <w:rPr>
            <w:noProof/>
            <w:webHidden/>
          </w:rPr>
        </w:r>
        <w:r w:rsidR="00A0465B">
          <w:rPr>
            <w:noProof/>
            <w:webHidden/>
          </w:rPr>
          <w:fldChar w:fldCharType="separate"/>
        </w:r>
        <w:r w:rsidR="00A0465B">
          <w:rPr>
            <w:noProof/>
            <w:webHidden/>
          </w:rPr>
          <w:t>9</w:t>
        </w:r>
        <w:r w:rsidR="00A0465B">
          <w:rPr>
            <w:noProof/>
            <w:webHidden/>
          </w:rPr>
          <w:fldChar w:fldCharType="end"/>
        </w:r>
      </w:hyperlink>
    </w:p>
    <w:p w14:paraId="052D9B7B" w14:textId="3EA6CF41" w:rsidR="00A0465B" w:rsidRDefault="00000000">
      <w:pPr>
        <w:pStyle w:val="TOC4"/>
        <w:rPr>
          <w:rFonts w:asciiTheme="minorHAnsi" w:eastAsiaTheme="minorEastAsia" w:hAnsiTheme="minorHAnsi" w:cstheme="minorBidi"/>
          <w:noProof/>
          <w:sz w:val="22"/>
          <w:szCs w:val="22"/>
          <w:lang w:eastAsia="en-NZ"/>
        </w:rPr>
      </w:pPr>
      <w:hyperlink w:anchor="_Toc150603084" w:history="1">
        <w:r w:rsidR="00A0465B" w:rsidRPr="00BF4EF9">
          <w:rPr>
            <w:rStyle w:val="Hyperlink"/>
            <w:noProof/>
          </w:rPr>
          <w:t>National Commitments: Te Mana Raraunga</w:t>
        </w:r>
        <w:r w:rsidR="00A0465B">
          <w:rPr>
            <w:noProof/>
            <w:webHidden/>
          </w:rPr>
          <w:tab/>
        </w:r>
        <w:r w:rsidR="00A0465B">
          <w:rPr>
            <w:noProof/>
            <w:webHidden/>
          </w:rPr>
          <w:fldChar w:fldCharType="begin"/>
        </w:r>
        <w:r w:rsidR="00A0465B">
          <w:rPr>
            <w:noProof/>
            <w:webHidden/>
          </w:rPr>
          <w:instrText xml:space="preserve"> PAGEREF _Toc150603084 \h </w:instrText>
        </w:r>
        <w:r w:rsidR="00A0465B">
          <w:rPr>
            <w:noProof/>
            <w:webHidden/>
          </w:rPr>
        </w:r>
        <w:r w:rsidR="00A0465B">
          <w:rPr>
            <w:noProof/>
            <w:webHidden/>
          </w:rPr>
          <w:fldChar w:fldCharType="separate"/>
        </w:r>
        <w:r w:rsidR="00A0465B">
          <w:rPr>
            <w:noProof/>
            <w:webHidden/>
          </w:rPr>
          <w:t>9</w:t>
        </w:r>
        <w:r w:rsidR="00A0465B">
          <w:rPr>
            <w:noProof/>
            <w:webHidden/>
          </w:rPr>
          <w:fldChar w:fldCharType="end"/>
        </w:r>
      </w:hyperlink>
    </w:p>
    <w:p w14:paraId="41B263AC" w14:textId="08F88697" w:rsidR="00A0465B" w:rsidRDefault="00000000">
      <w:pPr>
        <w:pStyle w:val="TOC2"/>
        <w:rPr>
          <w:rFonts w:asciiTheme="minorHAnsi" w:eastAsiaTheme="minorEastAsia" w:hAnsiTheme="minorHAnsi" w:cstheme="minorBidi"/>
          <w:noProof/>
          <w:sz w:val="22"/>
          <w:szCs w:val="22"/>
          <w:lang w:eastAsia="en-NZ"/>
        </w:rPr>
      </w:pPr>
      <w:hyperlink w:anchor="_Toc150603085" w:history="1">
        <w:r w:rsidR="00A0465B" w:rsidRPr="00BF4EF9">
          <w:rPr>
            <w:rStyle w:val="Hyperlink"/>
            <w:noProof/>
          </w:rPr>
          <w:t>Standards</w:t>
        </w:r>
        <w:r w:rsidR="00A0465B">
          <w:rPr>
            <w:noProof/>
            <w:webHidden/>
          </w:rPr>
          <w:tab/>
        </w:r>
        <w:r w:rsidR="00A0465B">
          <w:rPr>
            <w:noProof/>
            <w:webHidden/>
          </w:rPr>
          <w:fldChar w:fldCharType="begin"/>
        </w:r>
        <w:r w:rsidR="00A0465B">
          <w:rPr>
            <w:noProof/>
            <w:webHidden/>
          </w:rPr>
          <w:instrText xml:space="preserve"> PAGEREF _Toc150603085 \h </w:instrText>
        </w:r>
        <w:r w:rsidR="00A0465B">
          <w:rPr>
            <w:noProof/>
            <w:webHidden/>
          </w:rPr>
        </w:r>
        <w:r w:rsidR="00A0465B">
          <w:rPr>
            <w:noProof/>
            <w:webHidden/>
          </w:rPr>
          <w:fldChar w:fldCharType="separate"/>
        </w:r>
        <w:r w:rsidR="00A0465B">
          <w:rPr>
            <w:noProof/>
            <w:webHidden/>
          </w:rPr>
          <w:t>9</w:t>
        </w:r>
        <w:r w:rsidR="00A0465B">
          <w:rPr>
            <w:noProof/>
            <w:webHidden/>
          </w:rPr>
          <w:fldChar w:fldCharType="end"/>
        </w:r>
      </w:hyperlink>
    </w:p>
    <w:p w14:paraId="73A69AD8" w14:textId="142178C4"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86" w:history="1">
        <w:r w:rsidR="00A0465B" w:rsidRPr="00BF4EF9">
          <w:rPr>
            <w:rStyle w:val="Hyperlink"/>
            <w:noProof/>
          </w:rPr>
          <w:t>International ICT Standards</w:t>
        </w:r>
        <w:r w:rsidR="00A0465B">
          <w:rPr>
            <w:noProof/>
            <w:webHidden/>
          </w:rPr>
          <w:tab/>
        </w:r>
        <w:r w:rsidR="00A0465B">
          <w:rPr>
            <w:noProof/>
            <w:webHidden/>
          </w:rPr>
          <w:fldChar w:fldCharType="begin"/>
        </w:r>
        <w:r w:rsidR="00A0465B">
          <w:rPr>
            <w:noProof/>
            <w:webHidden/>
          </w:rPr>
          <w:instrText xml:space="preserve"> PAGEREF _Toc150603086 \h </w:instrText>
        </w:r>
        <w:r w:rsidR="00A0465B">
          <w:rPr>
            <w:noProof/>
            <w:webHidden/>
          </w:rPr>
        </w:r>
        <w:r w:rsidR="00A0465B">
          <w:rPr>
            <w:noProof/>
            <w:webHidden/>
          </w:rPr>
          <w:fldChar w:fldCharType="separate"/>
        </w:r>
        <w:r w:rsidR="00A0465B">
          <w:rPr>
            <w:noProof/>
            <w:webHidden/>
          </w:rPr>
          <w:t>10</w:t>
        </w:r>
        <w:r w:rsidR="00A0465B">
          <w:rPr>
            <w:noProof/>
            <w:webHidden/>
          </w:rPr>
          <w:fldChar w:fldCharType="end"/>
        </w:r>
      </w:hyperlink>
    </w:p>
    <w:p w14:paraId="598F36BF" w14:textId="4E9B273A" w:rsidR="00A0465B" w:rsidRDefault="00000000">
      <w:pPr>
        <w:pStyle w:val="TOC2"/>
        <w:rPr>
          <w:rFonts w:asciiTheme="minorHAnsi" w:eastAsiaTheme="minorEastAsia" w:hAnsiTheme="minorHAnsi" w:cstheme="minorBidi"/>
          <w:noProof/>
          <w:sz w:val="22"/>
          <w:szCs w:val="22"/>
          <w:lang w:eastAsia="en-NZ"/>
        </w:rPr>
      </w:pPr>
      <w:hyperlink w:anchor="_Toc150603087" w:history="1">
        <w:r w:rsidR="00A0465B" w:rsidRPr="00BF4EF9">
          <w:rPr>
            <w:rStyle w:val="Hyperlink"/>
            <w:noProof/>
          </w:rPr>
          <w:t>Guiding Principles</w:t>
        </w:r>
        <w:r w:rsidR="00A0465B">
          <w:rPr>
            <w:noProof/>
            <w:webHidden/>
          </w:rPr>
          <w:tab/>
        </w:r>
        <w:r w:rsidR="00A0465B">
          <w:rPr>
            <w:noProof/>
            <w:webHidden/>
          </w:rPr>
          <w:fldChar w:fldCharType="begin"/>
        </w:r>
        <w:r w:rsidR="00A0465B">
          <w:rPr>
            <w:noProof/>
            <w:webHidden/>
          </w:rPr>
          <w:instrText xml:space="preserve"> PAGEREF _Toc150603087 \h </w:instrText>
        </w:r>
        <w:r w:rsidR="00A0465B">
          <w:rPr>
            <w:noProof/>
            <w:webHidden/>
          </w:rPr>
        </w:r>
        <w:r w:rsidR="00A0465B">
          <w:rPr>
            <w:noProof/>
            <w:webHidden/>
          </w:rPr>
          <w:fldChar w:fldCharType="separate"/>
        </w:r>
        <w:r w:rsidR="00A0465B">
          <w:rPr>
            <w:noProof/>
            <w:webHidden/>
          </w:rPr>
          <w:t>11</w:t>
        </w:r>
        <w:r w:rsidR="00A0465B">
          <w:rPr>
            <w:noProof/>
            <w:webHidden/>
          </w:rPr>
          <w:fldChar w:fldCharType="end"/>
        </w:r>
      </w:hyperlink>
    </w:p>
    <w:p w14:paraId="663414FA" w14:textId="51A3F171"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88" w:history="1">
        <w:r w:rsidR="00A0465B" w:rsidRPr="00BF4EF9">
          <w:rPr>
            <w:rStyle w:val="Hyperlink"/>
            <w:noProof/>
          </w:rPr>
          <w:t>Public Domain Principles</w:t>
        </w:r>
        <w:r w:rsidR="00A0465B">
          <w:rPr>
            <w:noProof/>
            <w:webHidden/>
          </w:rPr>
          <w:tab/>
        </w:r>
        <w:r w:rsidR="00A0465B">
          <w:rPr>
            <w:noProof/>
            <w:webHidden/>
          </w:rPr>
          <w:fldChar w:fldCharType="begin"/>
        </w:r>
        <w:r w:rsidR="00A0465B">
          <w:rPr>
            <w:noProof/>
            <w:webHidden/>
          </w:rPr>
          <w:instrText xml:space="preserve"> PAGEREF _Toc150603088 \h </w:instrText>
        </w:r>
        <w:r w:rsidR="00A0465B">
          <w:rPr>
            <w:noProof/>
            <w:webHidden/>
          </w:rPr>
        </w:r>
        <w:r w:rsidR="00A0465B">
          <w:rPr>
            <w:noProof/>
            <w:webHidden/>
          </w:rPr>
          <w:fldChar w:fldCharType="separate"/>
        </w:r>
        <w:r w:rsidR="00A0465B">
          <w:rPr>
            <w:noProof/>
            <w:webHidden/>
          </w:rPr>
          <w:t>11</w:t>
        </w:r>
        <w:r w:rsidR="00A0465B">
          <w:rPr>
            <w:noProof/>
            <w:webHidden/>
          </w:rPr>
          <w:fldChar w:fldCharType="end"/>
        </w:r>
      </w:hyperlink>
    </w:p>
    <w:p w14:paraId="7715A19E" w14:textId="2737BA2F" w:rsidR="00A0465B" w:rsidRDefault="00000000">
      <w:pPr>
        <w:pStyle w:val="TOC4"/>
        <w:rPr>
          <w:rFonts w:asciiTheme="minorHAnsi" w:eastAsiaTheme="minorEastAsia" w:hAnsiTheme="minorHAnsi" w:cstheme="minorBidi"/>
          <w:noProof/>
          <w:sz w:val="22"/>
          <w:szCs w:val="22"/>
          <w:lang w:eastAsia="en-NZ"/>
        </w:rPr>
      </w:pPr>
      <w:hyperlink w:anchor="_Toc150603089" w:history="1">
        <w:r w:rsidR="00A0465B" w:rsidRPr="00BF4EF9">
          <w:rPr>
            <w:rStyle w:val="Hyperlink"/>
            <w:noProof/>
          </w:rPr>
          <w:t>Privacy Guiding Principles</w:t>
        </w:r>
        <w:r w:rsidR="00A0465B">
          <w:rPr>
            <w:noProof/>
            <w:webHidden/>
          </w:rPr>
          <w:tab/>
        </w:r>
        <w:r w:rsidR="00A0465B">
          <w:rPr>
            <w:noProof/>
            <w:webHidden/>
          </w:rPr>
          <w:fldChar w:fldCharType="begin"/>
        </w:r>
        <w:r w:rsidR="00A0465B">
          <w:rPr>
            <w:noProof/>
            <w:webHidden/>
          </w:rPr>
          <w:instrText xml:space="preserve"> PAGEREF _Toc150603089 \h </w:instrText>
        </w:r>
        <w:r w:rsidR="00A0465B">
          <w:rPr>
            <w:noProof/>
            <w:webHidden/>
          </w:rPr>
        </w:r>
        <w:r w:rsidR="00A0465B">
          <w:rPr>
            <w:noProof/>
            <w:webHidden/>
          </w:rPr>
          <w:fldChar w:fldCharType="separate"/>
        </w:r>
        <w:r w:rsidR="00A0465B">
          <w:rPr>
            <w:noProof/>
            <w:webHidden/>
          </w:rPr>
          <w:t>11</w:t>
        </w:r>
        <w:r w:rsidR="00A0465B">
          <w:rPr>
            <w:noProof/>
            <w:webHidden/>
          </w:rPr>
          <w:fldChar w:fldCharType="end"/>
        </w:r>
      </w:hyperlink>
    </w:p>
    <w:p w14:paraId="13E632B2" w14:textId="585B6354" w:rsidR="00A0465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03090" w:history="1">
        <w:r w:rsidR="00A0465B" w:rsidRPr="00BF4EF9">
          <w:rPr>
            <w:rStyle w:val="Hyperlink"/>
            <w:noProof/>
          </w:rPr>
          <w:t>Recommendations</w:t>
        </w:r>
        <w:r w:rsidR="00A0465B">
          <w:rPr>
            <w:noProof/>
            <w:webHidden/>
          </w:rPr>
          <w:tab/>
        </w:r>
        <w:r w:rsidR="00A0465B">
          <w:rPr>
            <w:noProof/>
            <w:webHidden/>
          </w:rPr>
          <w:fldChar w:fldCharType="begin"/>
        </w:r>
        <w:r w:rsidR="00A0465B">
          <w:rPr>
            <w:noProof/>
            <w:webHidden/>
          </w:rPr>
          <w:instrText xml:space="preserve"> PAGEREF _Toc150603090 \h </w:instrText>
        </w:r>
        <w:r w:rsidR="00A0465B">
          <w:rPr>
            <w:noProof/>
            <w:webHidden/>
          </w:rPr>
        </w:r>
        <w:r w:rsidR="00A0465B">
          <w:rPr>
            <w:noProof/>
            <w:webHidden/>
          </w:rPr>
          <w:fldChar w:fldCharType="separate"/>
        </w:r>
        <w:r w:rsidR="00A0465B">
          <w:rPr>
            <w:noProof/>
            <w:webHidden/>
          </w:rPr>
          <w:t>12</w:t>
        </w:r>
        <w:r w:rsidR="00A0465B">
          <w:rPr>
            <w:noProof/>
            <w:webHidden/>
          </w:rPr>
          <w:fldChar w:fldCharType="end"/>
        </w:r>
      </w:hyperlink>
    </w:p>
    <w:p w14:paraId="013399BB" w14:textId="0461E6F5" w:rsidR="00A0465B" w:rsidRDefault="00000000">
      <w:pPr>
        <w:pStyle w:val="TOC2"/>
        <w:rPr>
          <w:rFonts w:asciiTheme="minorHAnsi" w:eastAsiaTheme="minorEastAsia" w:hAnsiTheme="minorHAnsi" w:cstheme="minorBidi"/>
          <w:noProof/>
          <w:sz w:val="22"/>
          <w:szCs w:val="22"/>
          <w:lang w:eastAsia="en-NZ"/>
        </w:rPr>
      </w:pPr>
      <w:hyperlink w:anchor="_Toc150603091" w:history="1">
        <w:r w:rsidR="00A0465B" w:rsidRPr="00BF4EF9">
          <w:rPr>
            <w:rStyle w:val="Hyperlink"/>
            <w:noProof/>
          </w:rPr>
          <w:t>System Infrastructure Considerations</w:t>
        </w:r>
        <w:r w:rsidR="00A0465B">
          <w:rPr>
            <w:noProof/>
            <w:webHidden/>
          </w:rPr>
          <w:tab/>
        </w:r>
        <w:r w:rsidR="00A0465B">
          <w:rPr>
            <w:noProof/>
            <w:webHidden/>
          </w:rPr>
          <w:fldChar w:fldCharType="begin"/>
        </w:r>
        <w:r w:rsidR="00A0465B">
          <w:rPr>
            <w:noProof/>
            <w:webHidden/>
          </w:rPr>
          <w:instrText xml:space="preserve"> PAGEREF _Toc150603091 \h </w:instrText>
        </w:r>
        <w:r w:rsidR="00A0465B">
          <w:rPr>
            <w:noProof/>
            <w:webHidden/>
          </w:rPr>
        </w:r>
        <w:r w:rsidR="00A0465B">
          <w:rPr>
            <w:noProof/>
            <w:webHidden/>
          </w:rPr>
          <w:fldChar w:fldCharType="separate"/>
        </w:r>
        <w:r w:rsidR="00A0465B">
          <w:rPr>
            <w:noProof/>
            <w:webHidden/>
          </w:rPr>
          <w:t>12</w:t>
        </w:r>
        <w:r w:rsidR="00A0465B">
          <w:rPr>
            <w:noProof/>
            <w:webHidden/>
          </w:rPr>
          <w:fldChar w:fldCharType="end"/>
        </w:r>
      </w:hyperlink>
    </w:p>
    <w:p w14:paraId="339D3DDA" w14:textId="43741069" w:rsidR="00A0465B" w:rsidRDefault="00000000">
      <w:pPr>
        <w:pStyle w:val="TOC2"/>
        <w:rPr>
          <w:rFonts w:asciiTheme="minorHAnsi" w:eastAsiaTheme="minorEastAsia" w:hAnsiTheme="minorHAnsi" w:cstheme="minorBidi"/>
          <w:noProof/>
          <w:sz w:val="22"/>
          <w:szCs w:val="22"/>
          <w:lang w:eastAsia="en-NZ"/>
        </w:rPr>
      </w:pPr>
      <w:hyperlink w:anchor="_Toc150603092" w:history="1">
        <w:r w:rsidR="00A0465B" w:rsidRPr="00BF4EF9">
          <w:rPr>
            <w:rStyle w:val="Hyperlink"/>
            <w:noProof/>
          </w:rPr>
          <w:t>Disclosure Considerations</w:t>
        </w:r>
        <w:r w:rsidR="00A0465B">
          <w:rPr>
            <w:noProof/>
            <w:webHidden/>
          </w:rPr>
          <w:tab/>
        </w:r>
        <w:r w:rsidR="00A0465B">
          <w:rPr>
            <w:noProof/>
            <w:webHidden/>
          </w:rPr>
          <w:fldChar w:fldCharType="begin"/>
        </w:r>
        <w:r w:rsidR="00A0465B">
          <w:rPr>
            <w:noProof/>
            <w:webHidden/>
          </w:rPr>
          <w:instrText xml:space="preserve"> PAGEREF _Toc150603092 \h </w:instrText>
        </w:r>
        <w:r w:rsidR="00A0465B">
          <w:rPr>
            <w:noProof/>
            <w:webHidden/>
          </w:rPr>
        </w:r>
        <w:r w:rsidR="00A0465B">
          <w:rPr>
            <w:noProof/>
            <w:webHidden/>
          </w:rPr>
          <w:fldChar w:fldCharType="separate"/>
        </w:r>
        <w:r w:rsidR="00A0465B">
          <w:rPr>
            <w:noProof/>
            <w:webHidden/>
          </w:rPr>
          <w:t>12</w:t>
        </w:r>
        <w:r w:rsidR="00A0465B">
          <w:rPr>
            <w:noProof/>
            <w:webHidden/>
          </w:rPr>
          <w:fldChar w:fldCharType="end"/>
        </w:r>
      </w:hyperlink>
    </w:p>
    <w:p w14:paraId="325AA066" w14:textId="1B052A8A" w:rsidR="00A0465B" w:rsidRDefault="00000000">
      <w:pPr>
        <w:pStyle w:val="TOC2"/>
        <w:rPr>
          <w:rFonts w:asciiTheme="minorHAnsi" w:eastAsiaTheme="minorEastAsia" w:hAnsiTheme="minorHAnsi" w:cstheme="minorBidi"/>
          <w:noProof/>
          <w:sz w:val="22"/>
          <w:szCs w:val="22"/>
          <w:lang w:eastAsia="en-NZ"/>
        </w:rPr>
      </w:pPr>
      <w:hyperlink w:anchor="_Toc150603093" w:history="1">
        <w:r w:rsidR="00A0465B" w:rsidRPr="00BF4EF9">
          <w:rPr>
            <w:rStyle w:val="Hyperlink"/>
            <w:noProof/>
          </w:rPr>
          <w:t>Data at Rest Considerations</w:t>
        </w:r>
        <w:r w:rsidR="00A0465B">
          <w:rPr>
            <w:noProof/>
            <w:webHidden/>
          </w:rPr>
          <w:tab/>
        </w:r>
        <w:r w:rsidR="00A0465B">
          <w:rPr>
            <w:noProof/>
            <w:webHidden/>
          </w:rPr>
          <w:fldChar w:fldCharType="begin"/>
        </w:r>
        <w:r w:rsidR="00A0465B">
          <w:rPr>
            <w:noProof/>
            <w:webHidden/>
          </w:rPr>
          <w:instrText xml:space="preserve"> PAGEREF _Toc150603093 \h </w:instrText>
        </w:r>
        <w:r w:rsidR="00A0465B">
          <w:rPr>
            <w:noProof/>
            <w:webHidden/>
          </w:rPr>
        </w:r>
        <w:r w:rsidR="00A0465B">
          <w:rPr>
            <w:noProof/>
            <w:webHidden/>
          </w:rPr>
          <w:fldChar w:fldCharType="separate"/>
        </w:r>
        <w:r w:rsidR="00A0465B">
          <w:rPr>
            <w:noProof/>
            <w:webHidden/>
          </w:rPr>
          <w:t>13</w:t>
        </w:r>
        <w:r w:rsidR="00A0465B">
          <w:rPr>
            <w:noProof/>
            <w:webHidden/>
          </w:rPr>
          <w:fldChar w:fldCharType="end"/>
        </w:r>
      </w:hyperlink>
    </w:p>
    <w:p w14:paraId="59C843FB" w14:textId="651BC34B"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94" w:history="1">
        <w:r w:rsidR="00A0465B" w:rsidRPr="00BF4EF9">
          <w:rPr>
            <w:rStyle w:val="Hyperlink"/>
            <w:noProof/>
          </w:rPr>
          <w:t>System Data</w:t>
        </w:r>
        <w:r w:rsidR="00A0465B">
          <w:rPr>
            <w:noProof/>
            <w:webHidden/>
          </w:rPr>
          <w:tab/>
        </w:r>
        <w:r w:rsidR="00A0465B">
          <w:rPr>
            <w:noProof/>
            <w:webHidden/>
          </w:rPr>
          <w:fldChar w:fldCharType="begin"/>
        </w:r>
        <w:r w:rsidR="00A0465B">
          <w:rPr>
            <w:noProof/>
            <w:webHidden/>
          </w:rPr>
          <w:instrText xml:space="preserve"> PAGEREF _Toc150603094 \h </w:instrText>
        </w:r>
        <w:r w:rsidR="00A0465B">
          <w:rPr>
            <w:noProof/>
            <w:webHidden/>
          </w:rPr>
        </w:r>
        <w:r w:rsidR="00A0465B">
          <w:rPr>
            <w:noProof/>
            <w:webHidden/>
          </w:rPr>
          <w:fldChar w:fldCharType="separate"/>
        </w:r>
        <w:r w:rsidR="00A0465B">
          <w:rPr>
            <w:noProof/>
            <w:webHidden/>
          </w:rPr>
          <w:t>13</w:t>
        </w:r>
        <w:r w:rsidR="00A0465B">
          <w:rPr>
            <w:noProof/>
            <w:webHidden/>
          </w:rPr>
          <w:fldChar w:fldCharType="end"/>
        </w:r>
      </w:hyperlink>
    </w:p>
    <w:p w14:paraId="72E4CAFC" w14:textId="05CA4DE3"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95" w:history="1">
        <w:r w:rsidR="00A0465B" w:rsidRPr="00BF4EF9">
          <w:rPr>
            <w:rStyle w:val="Hyperlink"/>
            <w:noProof/>
          </w:rPr>
          <w:t>Personal Data</w:t>
        </w:r>
        <w:r w:rsidR="00A0465B">
          <w:rPr>
            <w:noProof/>
            <w:webHidden/>
          </w:rPr>
          <w:tab/>
        </w:r>
        <w:r w:rsidR="00A0465B">
          <w:rPr>
            <w:noProof/>
            <w:webHidden/>
          </w:rPr>
          <w:fldChar w:fldCharType="begin"/>
        </w:r>
        <w:r w:rsidR="00A0465B">
          <w:rPr>
            <w:noProof/>
            <w:webHidden/>
          </w:rPr>
          <w:instrText xml:space="preserve"> PAGEREF _Toc150603095 \h </w:instrText>
        </w:r>
        <w:r w:rsidR="00A0465B">
          <w:rPr>
            <w:noProof/>
            <w:webHidden/>
          </w:rPr>
        </w:r>
        <w:r w:rsidR="00A0465B">
          <w:rPr>
            <w:noProof/>
            <w:webHidden/>
          </w:rPr>
          <w:fldChar w:fldCharType="separate"/>
        </w:r>
        <w:r w:rsidR="00A0465B">
          <w:rPr>
            <w:noProof/>
            <w:webHidden/>
          </w:rPr>
          <w:t>13</w:t>
        </w:r>
        <w:r w:rsidR="00A0465B">
          <w:rPr>
            <w:noProof/>
            <w:webHidden/>
          </w:rPr>
          <w:fldChar w:fldCharType="end"/>
        </w:r>
      </w:hyperlink>
    </w:p>
    <w:p w14:paraId="4E4C2320" w14:textId="398BBC14"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96" w:history="1">
        <w:r w:rsidR="00A0465B" w:rsidRPr="00BF4EF9">
          <w:rPr>
            <w:rStyle w:val="Hyperlink"/>
            <w:noProof/>
          </w:rPr>
          <w:t>Data in Transit Considerations</w:t>
        </w:r>
        <w:r w:rsidR="00A0465B">
          <w:rPr>
            <w:noProof/>
            <w:webHidden/>
          </w:rPr>
          <w:tab/>
        </w:r>
        <w:r w:rsidR="00A0465B">
          <w:rPr>
            <w:noProof/>
            <w:webHidden/>
          </w:rPr>
          <w:fldChar w:fldCharType="begin"/>
        </w:r>
        <w:r w:rsidR="00A0465B">
          <w:rPr>
            <w:noProof/>
            <w:webHidden/>
          </w:rPr>
          <w:instrText xml:space="preserve"> PAGEREF _Toc150603096 \h </w:instrText>
        </w:r>
        <w:r w:rsidR="00A0465B">
          <w:rPr>
            <w:noProof/>
            <w:webHidden/>
          </w:rPr>
        </w:r>
        <w:r w:rsidR="00A0465B">
          <w:rPr>
            <w:noProof/>
            <w:webHidden/>
          </w:rPr>
          <w:fldChar w:fldCharType="separate"/>
        </w:r>
        <w:r w:rsidR="00A0465B">
          <w:rPr>
            <w:noProof/>
            <w:webHidden/>
          </w:rPr>
          <w:t>14</w:t>
        </w:r>
        <w:r w:rsidR="00A0465B">
          <w:rPr>
            <w:noProof/>
            <w:webHidden/>
          </w:rPr>
          <w:fldChar w:fldCharType="end"/>
        </w:r>
      </w:hyperlink>
    </w:p>
    <w:p w14:paraId="59EC6CF2" w14:textId="3F16F1F0"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097" w:history="1">
        <w:r w:rsidR="00A0465B" w:rsidRPr="00BF4EF9">
          <w:rPr>
            <w:rStyle w:val="Hyperlink"/>
            <w:noProof/>
          </w:rPr>
          <w:t>Accessibility and Usability Considerations</w:t>
        </w:r>
        <w:r w:rsidR="00A0465B">
          <w:rPr>
            <w:noProof/>
            <w:webHidden/>
          </w:rPr>
          <w:tab/>
        </w:r>
        <w:r w:rsidR="00A0465B">
          <w:rPr>
            <w:noProof/>
            <w:webHidden/>
          </w:rPr>
          <w:fldChar w:fldCharType="begin"/>
        </w:r>
        <w:r w:rsidR="00A0465B">
          <w:rPr>
            <w:noProof/>
            <w:webHidden/>
          </w:rPr>
          <w:instrText xml:space="preserve"> PAGEREF _Toc150603097 \h </w:instrText>
        </w:r>
        <w:r w:rsidR="00A0465B">
          <w:rPr>
            <w:noProof/>
            <w:webHidden/>
          </w:rPr>
        </w:r>
        <w:r w:rsidR="00A0465B">
          <w:rPr>
            <w:noProof/>
            <w:webHidden/>
          </w:rPr>
          <w:fldChar w:fldCharType="separate"/>
        </w:r>
        <w:r w:rsidR="00A0465B">
          <w:rPr>
            <w:noProof/>
            <w:webHidden/>
          </w:rPr>
          <w:t>14</w:t>
        </w:r>
        <w:r w:rsidR="00A0465B">
          <w:rPr>
            <w:noProof/>
            <w:webHidden/>
          </w:rPr>
          <w:fldChar w:fldCharType="end"/>
        </w:r>
      </w:hyperlink>
    </w:p>
    <w:p w14:paraId="5E1C7673" w14:textId="0A3169C4" w:rsidR="00A0465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03098" w:history="1">
        <w:r w:rsidR="00A0465B" w:rsidRPr="00BF4EF9">
          <w:rPr>
            <w:rStyle w:val="Hyperlink"/>
            <w:noProof/>
          </w:rPr>
          <w:t>Appendices</w:t>
        </w:r>
        <w:r w:rsidR="00A0465B">
          <w:rPr>
            <w:noProof/>
            <w:webHidden/>
          </w:rPr>
          <w:tab/>
        </w:r>
        <w:r w:rsidR="00A0465B">
          <w:rPr>
            <w:noProof/>
            <w:webHidden/>
          </w:rPr>
          <w:fldChar w:fldCharType="begin"/>
        </w:r>
        <w:r w:rsidR="00A0465B">
          <w:rPr>
            <w:noProof/>
            <w:webHidden/>
          </w:rPr>
          <w:instrText xml:space="preserve"> PAGEREF _Toc150603098 \h </w:instrText>
        </w:r>
        <w:r w:rsidR="00A0465B">
          <w:rPr>
            <w:noProof/>
            <w:webHidden/>
          </w:rPr>
        </w:r>
        <w:r w:rsidR="00A0465B">
          <w:rPr>
            <w:noProof/>
            <w:webHidden/>
          </w:rPr>
          <w:fldChar w:fldCharType="separate"/>
        </w:r>
        <w:r w:rsidR="00A0465B">
          <w:rPr>
            <w:noProof/>
            <w:webHidden/>
          </w:rPr>
          <w:t>16</w:t>
        </w:r>
        <w:r w:rsidR="00A0465B">
          <w:rPr>
            <w:noProof/>
            <w:webHidden/>
          </w:rPr>
          <w:fldChar w:fldCharType="end"/>
        </w:r>
      </w:hyperlink>
    </w:p>
    <w:p w14:paraId="04F90142" w14:textId="70FB2ECF" w:rsidR="00A0465B" w:rsidRDefault="00000000">
      <w:pPr>
        <w:pStyle w:val="TOC2"/>
        <w:rPr>
          <w:rFonts w:asciiTheme="minorHAnsi" w:eastAsiaTheme="minorEastAsia" w:hAnsiTheme="minorHAnsi" w:cstheme="minorBidi"/>
          <w:noProof/>
          <w:sz w:val="22"/>
          <w:szCs w:val="22"/>
          <w:lang w:eastAsia="en-NZ"/>
        </w:rPr>
      </w:pPr>
      <w:hyperlink w:anchor="_Toc150603099" w:history="1">
        <w:r w:rsidR="00A0465B" w:rsidRPr="00BF4EF9">
          <w:rPr>
            <w:rStyle w:val="Hyperlink"/>
            <w:noProof/>
          </w:rPr>
          <w:t>Appendix A - Document Information</w:t>
        </w:r>
        <w:r w:rsidR="00A0465B">
          <w:rPr>
            <w:noProof/>
            <w:webHidden/>
          </w:rPr>
          <w:tab/>
        </w:r>
        <w:r w:rsidR="00A0465B">
          <w:rPr>
            <w:noProof/>
            <w:webHidden/>
          </w:rPr>
          <w:fldChar w:fldCharType="begin"/>
        </w:r>
        <w:r w:rsidR="00A0465B">
          <w:rPr>
            <w:noProof/>
            <w:webHidden/>
          </w:rPr>
          <w:instrText xml:space="preserve"> PAGEREF _Toc150603099 \h </w:instrText>
        </w:r>
        <w:r w:rsidR="00A0465B">
          <w:rPr>
            <w:noProof/>
            <w:webHidden/>
          </w:rPr>
        </w:r>
        <w:r w:rsidR="00A0465B">
          <w:rPr>
            <w:noProof/>
            <w:webHidden/>
          </w:rPr>
          <w:fldChar w:fldCharType="separate"/>
        </w:r>
        <w:r w:rsidR="00A0465B">
          <w:rPr>
            <w:noProof/>
            <w:webHidden/>
          </w:rPr>
          <w:t>16</w:t>
        </w:r>
        <w:r w:rsidR="00A0465B">
          <w:rPr>
            <w:noProof/>
            <w:webHidden/>
          </w:rPr>
          <w:fldChar w:fldCharType="end"/>
        </w:r>
      </w:hyperlink>
    </w:p>
    <w:p w14:paraId="5FB1EE88" w14:textId="62555453"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100" w:history="1">
        <w:r w:rsidR="00A0465B" w:rsidRPr="00BF4EF9">
          <w:rPr>
            <w:rStyle w:val="Hyperlink"/>
            <w:noProof/>
          </w:rPr>
          <w:t>Versions</w:t>
        </w:r>
        <w:r w:rsidR="00A0465B">
          <w:rPr>
            <w:noProof/>
            <w:webHidden/>
          </w:rPr>
          <w:tab/>
        </w:r>
        <w:r w:rsidR="00A0465B">
          <w:rPr>
            <w:noProof/>
            <w:webHidden/>
          </w:rPr>
          <w:fldChar w:fldCharType="begin"/>
        </w:r>
        <w:r w:rsidR="00A0465B">
          <w:rPr>
            <w:noProof/>
            <w:webHidden/>
          </w:rPr>
          <w:instrText xml:space="preserve"> PAGEREF _Toc150603100 \h </w:instrText>
        </w:r>
        <w:r w:rsidR="00A0465B">
          <w:rPr>
            <w:noProof/>
            <w:webHidden/>
          </w:rPr>
        </w:r>
        <w:r w:rsidR="00A0465B">
          <w:rPr>
            <w:noProof/>
            <w:webHidden/>
          </w:rPr>
          <w:fldChar w:fldCharType="separate"/>
        </w:r>
        <w:r w:rsidR="00A0465B">
          <w:rPr>
            <w:noProof/>
            <w:webHidden/>
          </w:rPr>
          <w:t>16</w:t>
        </w:r>
        <w:r w:rsidR="00A0465B">
          <w:rPr>
            <w:noProof/>
            <w:webHidden/>
          </w:rPr>
          <w:fldChar w:fldCharType="end"/>
        </w:r>
      </w:hyperlink>
    </w:p>
    <w:p w14:paraId="4818C207" w14:textId="3A1DE6B5"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101" w:history="1">
        <w:r w:rsidR="00A0465B" w:rsidRPr="00BF4EF9">
          <w:rPr>
            <w:rStyle w:val="Hyperlink"/>
            <w:noProof/>
          </w:rPr>
          <w:t>Images</w:t>
        </w:r>
        <w:r w:rsidR="00A0465B">
          <w:rPr>
            <w:noProof/>
            <w:webHidden/>
          </w:rPr>
          <w:tab/>
        </w:r>
        <w:r w:rsidR="00A0465B">
          <w:rPr>
            <w:noProof/>
            <w:webHidden/>
          </w:rPr>
          <w:fldChar w:fldCharType="begin"/>
        </w:r>
        <w:r w:rsidR="00A0465B">
          <w:rPr>
            <w:noProof/>
            <w:webHidden/>
          </w:rPr>
          <w:instrText xml:space="preserve"> PAGEREF _Toc150603101 \h </w:instrText>
        </w:r>
        <w:r w:rsidR="00A0465B">
          <w:rPr>
            <w:noProof/>
            <w:webHidden/>
          </w:rPr>
        </w:r>
        <w:r w:rsidR="00A0465B">
          <w:rPr>
            <w:noProof/>
            <w:webHidden/>
          </w:rPr>
          <w:fldChar w:fldCharType="separate"/>
        </w:r>
        <w:r w:rsidR="00A0465B">
          <w:rPr>
            <w:noProof/>
            <w:webHidden/>
          </w:rPr>
          <w:t>16</w:t>
        </w:r>
        <w:r w:rsidR="00A0465B">
          <w:rPr>
            <w:noProof/>
            <w:webHidden/>
          </w:rPr>
          <w:fldChar w:fldCharType="end"/>
        </w:r>
      </w:hyperlink>
    </w:p>
    <w:p w14:paraId="78D87296" w14:textId="07E2BA14"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102" w:history="1">
        <w:r w:rsidR="00A0465B" w:rsidRPr="00BF4EF9">
          <w:rPr>
            <w:rStyle w:val="Hyperlink"/>
            <w:noProof/>
          </w:rPr>
          <w:t>Tables</w:t>
        </w:r>
        <w:r w:rsidR="00A0465B">
          <w:rPr>
            <w:noProof/>
            <w:webHidden/>
          </w:rPr>
          <w:tab/>
        </w:r>
        <w:r w:rsidR="00A0465B">
          <w:rPr>
            <w:noProof/>
            <w:webHidden/>
          </w:rPr>
          <w:fldChar w:fldCharType="begin"/>
        </w:r>
        <w:r w:rsidR="00A0465B">
          <w:rPr>
            <w:noProof/>
            <w:webHidden/>
          </w:rPr>
          <w:instrText xml:space="preserve"> PAGEREF _Toc150603102 \h </w:instrText>
        </w:r>
        <w:r w:rsidR="00A0465B">
          <w:rPr>
            <w:noProof/>
            <w:webHidden/>
          </w:rPr>
        </w:r>
        <w:r w:rsidR="00A0465B">
          <w:rPr>
            <w:noProof/>
            <w:webHidden/>
          </w:rPr>
          <w:fldChar w:fldCharType="separate"/>
        </w:r>
        <w:r w:rsidR="00A0465B">
          <w:rPr>
            <w:noProof/>
            <w:webHidden/>
          </w:rPr>
          <w:t>16</w:t>
        </w:r>
        <w:r w:rsidR="00A0465B">
          <w:rPr>
            <w:noProof/>
            <w:webHidden/>
          </w:rPr>
          <w:fldChar w:fldCharType="end"/>
        </w:r>
      </w:hyperlink>
    </w:p>
    <w:p w14:paraId="22B0E1D9" w14:textId="2769F14E"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103" w:history="1">
        <w:r w:rsidR="00A0465B" w:rsidRPr="00BF4EF9">
          <w:rPr>
            <w:rStyle w:val="Hyperlink"/>
            <w:noProof/>
          </w:rPr>
          <w:t>References</w:t>
        </w:r>
        <w:r w:rsidR="00A0465B">
          <w:rPr>
            <w:noProof/>
            <w:webHidden/>
          </w:rPr>
          <w:tab/>
        </w:r>
        <w:r w:rsidR="00A0465B">
          <w:rPr>
            <w:noProof/>
            <w:webHidden/>
          </w:rPr>
          <w:fldChar w:fldCharType="begin"/>
        </w:r>
        <w:r w:rsidR="00A0465B">
          <w:rPr>
            <w:noProof/>
            <w:webHidden/>
          </w:rPr>
          <w:instrText xml:space="preserve"> PAGEREF _Toc150603103 \h </w:instrText>
        </w:r>
        <w:r w:rsidR="00A0465B">
          <w:rPr>
            <w:noProof/>
            <w:webHidden/>
          </w:rPr>
        </w:r>
        <w:r w:rsidR="00A0465B">
          <w:rPr>
            <w:noProof/>
            <w:webHidden/>
          </w:rPr>
          <w:fldChar w:fldCharType="separate"/>
        </w:r>
        <w:r w:rsidR="00A0465B">
          <w:rPr>
            <w:noProof/>
            <w:webHidden/>
          </w:rPr>
          <w:t>16</w:t>
        </w:r>
        <w:r w:rsidR="00A0465B">
          <w:rPr>
            <w:noProof/>
            <w:webHidden/>
          </w:rPr>
          <w:fldChar w:fldCharType="end"/>
        </w:r>
      </w:hyperlink>
    </w:p>
    <w:p w14:paraId="76D51752" w14:textId="38639565"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104" w:history="1">
        <w:r w:rsidR="00A0465B" w:rsidRPr="00BF4EF9">
          <w:rPr>
            <w:rStyle w:val="Hyperlink"/>
            <w:noProof/>
          </w:rPr>
          <w:t>Review Distribution</w:t>
        </w:r>
        <w:r w:rsidR="00A0465B">
          <w:rPr>
            <w:noProof/>
            <w:webHidden/>
          </w:rPr>
          <w:tab/>
        </w:r>
        <w:r w:rsidR="00A0465B">
          <w:rPr>
            <w:noProof/>
            <w:webHidden/>
          </w:rPr>
          <w:fldChar w:fldCharType="begin"/>
        </w:r>
        <w:r w:rsidR="00A0465B">
          <w:rPr>
            <w:noProof/>
            <w:webHidden/>
          </w:rPr>
          <w:instrText xml:space="preserve"> PAGEREF _Toc150603104 \h </w:instrText>
        </w:r>
        <w:r w:rsidR="00A0465B">
          <w:rPr>
            <w:noProof/>
            <w:webHidden/>
          </w:rPr>
        </w:r>
        <w:r w:rsidR="00A0465B">
          <w:rPr>
            <w:noProof/>
            <w:webHidden/>
          </w:rPr>
          <w:fldChar w:fldCharType="separate"/>
        </w:r>
        <w:r w:rsidR="00A0465B">
          <w:rPr>
            <w:noProof/>
            <w:webHidden/>
          </w:rPr>
          <w:t>16</w:t>
        </w:r>
        <w:r w:rsidR="00A0465B">
          <w:rPr>
            <w:noProof/>
            <w:webHidden/>
          </w:rPr>
          <w:fldChar w:fldCharType="end"/>
        </w:r>
      </w:hyperlink>
    </w:p>
    <w:p w14:paraId="67ECAEA8" w14:textId="3C82399F"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105" w:history="1">
        <w:r w:rsidR="00A0465B" w:rsidRPr="00BF4EF9">
          <w:rPr>
            <w:rStyle w:val="Hyperlink"/>
            <w:noProof/>
          </w:rPr>
          <w:t>Audience</w:t>
        </w:r>
        <w:r w:rsidR="00A0465B">
          <w:rPr>
            <w:noProof/>
            <w:webHidden/>
          </w:rPr>
          <w:tab/>
        </w:r>
        <w:r w:rsidR="00A0465B">
          <w:rPr>
            <w:noProof/>
            <w:webHidden/>
          </w:rPr>
          <w:fldChar w:fldCharType="begin"/>
        </w:r>
        <w:r w:rsidR="00A0465B">
          <w:rPr>
            <w:noProof/>
            <w:webHidden/>
          </w:rPr>
          <w:instrText xml:space="preserve"> PAGEREF _Toc150603105 \h </w:instrText>
        </w:r>
        <w:r w:rsidR="00A0465B">
          <w:rPr>
            <w:noProof/>
            <w:webHidden/>
          </w:rPr>
        </w:r>
        <w:r w:rsidR="00A0465B">
          <w:rPr>
            <w:noProof/>
            <w:webHidden/>
          </w:rPr>
          <w:fldChar w:fldCharType="separate"/>
        </w:r>
        <w:r w:rsidR="00A0465B">
          <w:rPr>
            <w:noProof/>
            <w:webHidden/>
          </w:rPr>
          <w:t>16</w:t>
        </w:r>
        <w:r w:rsidR="00A0465B">
          <w:rPr>
            <w:noProof/>
            <w:webHidden/>
          </w:rPr>
          <w:fldChar w:fldCharType="end"/>
        </w:r>
      </w:hyperlink>
    </w:p>
    <w:p w14:paraId="7DF54542" w14:textId="5330BDA8"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106" w:history="1">
        <w:r w:rsidR="00A0465B" w:rsidRPr="00BF4EF9">
          <w:rPr>
            <w:rStyle w:val="Hyperlink"/>
            <w:noProof/>
          </w:rPr>
          <w:t>Diagrams</w:t>
        </w:r>
        <w:r w:rsidR="00A0465B">
          <w:rPr>
            <w:noProof/>
            <w:webHidden/>
          </w:rPr>
          <w:tab/>
        </w:r>
        <w:r w:rsidR="00A0465B">
          <w:rPr>
            <w:noProof/>
            <w:webHidden/>
          </w:rPr>
          <w:fldChar w:fldCharType="begin"/>
        </w:r>
        <w:r w:rsidR="00A0465B">
          <w:rPr>
            <w:noProof/>
            <w:webHidden/>
          </w:rPr>
          <w:instrText xml:space="preserve"> PAGEREF _Toc150603106 \h </w:instrText>
        </w:r>
        <w:r w:rsidR="00A0465B">
          <w:rPr>
            <w:noProof/>
            <w:webHidden/>
          </w:rPr>
        </w:r>
        <w:r w:rsidR="00A0465B">
          <w:rPr>
            <w:noProof/>
            <w:webHidden/>
          </w:rPr>
          <w:fldChar w:fldCharType="separate"/>
        </w:r>
        <w:r w:rsidR="00A0465B">
          <w:rPr>
            <w:noProof/>
            <w:webHidden/>
          </w:rPr>
          <w:t>16</w:t>
        </w:r>
        <w:r w:rsidR="00A0465B">
          <w:rPr>
            <w:noProof/>
            <w:webHidden/>
          </w:rPr>
          <w:fldChar w:fldCharType="end"/>
        </w:r>
      </w:hyperlink>
    </w:p>
    <w:p w14:paraId="456EFA33" w14:textId="60A1CBBC" w:rsidR="00A0465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3107" w:history="1">
        <w:r w:rsidR="00A0465B" w:rsidRPr="00BF4EF9">
          <w:rPr>
            <w:rStyle w:val="Hyperlink"/>
            <w:noProof/>
          </w:rPr>
          <w:t>Terms</w:t>
        </w:r>
        <w:r w:rsidR="00A0465B">
          <w:rPr>
            <w:noProof/>
            <w:webHidden/>
          </w:rPr>
          <w:tab/>
        </w:r>
        <w:r w:rsidR="00A0465B">
          <w:rPr>
            <w:noProof/>
            <w:webHidden/>
          </w:rPr>
          <w:fldChar w:fldCharType="begin"/>
        </w:r>
        <w:r w:rsidR="00A0465B">
          <w:rPr>
            <w:noProof/>
            <w:webHidden/>
          </w:rPr>
          <w:instrText xml:space="preserve"> PAGEREF _Toc150603107 \h </w:instrText>
        </w:r>
        <w:r w:rsidR="00A0465B">
          <w:rPr>
            <w:noProof/>
            <w:webHidden/>
          </w:rPr>
        </w:r>
        <w:r w:rsidR="00A0465B">
          <w:rPr>
            <w:noProof/>
            <w:webHidden/>
          </w:rPr>
          <w:fldChar w:fldCharType="separate"/>
        </w:r>
        <w:r w:rsidR="00A0465B">
          <w:rPr>
            <w:noProof/>
            <w:webHidden/>
          </w:rPr>
          <w:t>17</w:t>
        </w:r>
        <w:r w:rsidR="00A0465B">
          <w:rPr>
            <w:noProof/>
            <w:webHidden/>
          </w:rPr>
          <w:fldChar w:fldCharType="end"/>
        </w:r>
      </w:hyperlink>
    </w:p>
    <w:p w14:paraId="56715546" w14:textId="4D814EDE"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50603064"/>
      <w:r w:rsidRPr="00F929E7">
        <w:lastRenderedPageBreak/>
        <w:t>Introduction</w:t>
      </w:r>
      <w:bookmarkEnd w:id="5"/>
      <w:bookmarkEnd w:id="6"/>
    </w:p>
    <w:p w14:paraId="7592F98C" w14:textId="77777777" w:rsidR="000F00CE" w:rsidRDefault="000F00CE" w:rsidP="00D36861">
      <w:pPr>
        <w:pStyle w:val="BodyText"/>
        <w:rPr>
          <w:noProof/>
        </w:rPr>
      </w:pPr>
      <w:r>
        <w:rPr>
          <w:noProof/>
        </w:rPr>
        <w:t xml:space="preserve">Prior to a services being made available to the public by a government agency, it is required to issued an Authority to Operate (ATO), based upon the advice of the agency’s Change Advisory Board (CAB).  </w:t>
      </w:r>
    </w:p>
    <w:p w14:paraId="72C6F1F1" w14:textId="6F7106D8" w:rsidR="000F00CE" w:rsidRDefault="000F00CE" w:rsidP="00D36861">
      <w:pPr>
        <w:pStyle w:val="BodyText"/>
        <w:rPr>
          <w:noProof/>
        </w:rPr>
      </w:pPr>
      <w:r>
        <w:rPr>
          <w:noProof/>
        </w:rPr>
        <w:t xml:space="preserve">The Change Advisory Board </w:t>
      </w:r>
      <w:r w:rsidR="007A7054">
        <w:rPr>
          <w:noProof/>
        </w:rPr>
        <w:t xml:space="preserve">provides this advice based being advised on the service having sufficiengt quality attributes , as well as being advised by the </w:t>
      </w:r>
      <w:r>
        <w:rPr>
          <w:noProof/>
        </w:rPr>
        <w:t xml:space="preserve">responsible parties </w:t>
      </w:r>
      <w:r w:rsidR="007A7054">
        <w:rPr>
          <w:noProof/>
        </w:rPr>
        <w:t xml:space="preserve">that they </w:t>
      </w:r>
      <w:r>
        <w:rPr>
          <w:noProof/>
        </w:rPr>
        <w:t>they have received sufficient information to perform their functions of Supporting, Operating, Monitoring, and Maintaining the service over its full service life span</w:t>
      </w:r>
      <w:r w:rsidR="007A7054">
        <w:rPr>
          <w:noProof/>
        </w:rPr>
        <w:t xml:space="preserve"> once it goes live</w:t>
      </w:r>
      <w:r>
        <w:rPr>
          <w:noProof/>
        </w:rPr>
        <w:t xml:space="preserve">. </w:t>
      </w:r>
    </w:p>
    <w:p w14:paraId="7181AC26" w14:textId="27E58C5B" w:rsidR="000F00CE" w:rsidRDefault="007A7054" w:rsidP="00D36861">
      <w:pPr>
        <w:pStyle w:val="BodyText"/>
        <w:rPr>
          <w:noProof/>
        </w:rPr>
      </w:pPr>
      <w:r>
        <w:rPr>
          <w:noProof/>
        </w:rPr>
        <w:t>A key aspect of the above assurance process is ensuring the system is operatable within its legal and agreed constraints.</w:t>
      </w:r>
    </w:p>
    <w:p w14:paraId="5254DEA9" w14:textId="07326EBA" w:rsidR="00A0465B" w:rsidRDefault="00A0465B" w:rsidP="007A7054">
      <w:pPr>
        <w:pStyle w:val="Heading2"/>
        <w:rPr>
          <w:noProof/>
        </w:rPr>
      </w:pPr>
      <w:r>
        <w:rPr>
          <w:noProof/>
        </w:rPr>
        <w:t>Issue</w:t>
      </w:r>
    </w:p>
    <w:p w14:paraId="5AAFD571" w14:textId="538FDD47" w:rsidR="000F00CE" w:rsidRDefault="000F00CE" w:rsidP="00D36861">
      <w:pPr>
        <w:pStyle w:val="BodyText"/>
        <w:rPr>
          <w:noProof/>
        </w:rPr>
      </w:pPr>
      <w:r>
        <w:rPr>
          <w:noProof/>
        </w:rPr>
        <w:t xml:space="preserve">Delivery </w:t>
      </w:r>
      <w:r w:rsidR="00A0465B">
        <w:rPr>
          <w:noProof/>
        </w:rPr>
        <w:t>Stakeholders are not</w:t>
      </w:r>
      <w:r>
        <w:rPr>
          <w:noProof/>
        </w:rPr>
        <w:t xml:space="preserve"> expected to be experts in domains beyond their daily activities</w:t>
      </w:r>
      <w:r w:rsidR="007A7054">
        <w:rPr>
          <w:noProof/>
        </w:rPr>
        <w:t xml:space="preserve">, or </w:t>
      </w:r>
    </w:p>
    <w:p w14:paraId="6DDC6FC4" w14:textId="3FAFC2DA" w:rsidR="00A0465B" w:rsidRDefault="00A0465B" w:rsidP="007A7054">
      <w:pPr>
        <w:pStyle w:val="Heading2"/>
        <w:rPr>
          <w:noProof/>
        </w:rPr>
      </w:pPr>
      <w:r>
        <w:rPr>
          <w:noProof/>
        </w:rPr>
        <w:t>Risk</w:t>
      </w:r>
    </w:p>
    <w:p w14:paraId="54D2F598" w14:textId="700A84FB" w:rsidR="00A0465B" w:rsidRDefault="00A0465B" w:rsidP="00D36861">
      <w:pPr>
        <w:pStyle w:val="BodyText"/>
        <w:rPr>
          <w:noProof/>
        </w:rPr>
      </w:pPr>
      <w:r>
        <w:rPr>
          <w:noProof/>
        </w:rPr>
        <w:t xml:space="preserve">The resulting system may meet its business functional requirements but still cannot be granted an Authority to Operate (ATO) </w:t>
      </w:r>
      <w:r w:rsidR="007A7054">
        <w:rPr>
          <w:noProof/>
        </w:rPr>
        <w:t>due to being unable to meet its Obl</w:t>
      </w:r>
      <w:r w:rsidR="00794B53">
        <w:rPr>
          <w:noProof/>
        </w:rPr>
        <w:t>i</w:t>
      </w:r>
      <w:r w:rsidR="007A7054">
        <w:rPr>
          <w:noProof/>
        </w:rPr>
        <w:t>gations within its Constraints (legal or otherwise)</w:t>
      </w:r>
      <w:r>
        <w:rPr>
          <w:noProof/>
        </w:rPr>
        <w:t>.</w:t>
      </w:r>
    </w:p>
    <w:p w14:paraId="0DB9721D" w14:textId="01C6A697" w:rsidR="007A7054" w:rsidRDefault="007A7054" w:rsidP="007A7054">
      <w:pPr>
        <w:pStyle w:val="Heading2"/>
        <w:rPr>
          <w:noProof/>
        </w:rPr>
      </w:pPr>
      <w:r>
        <w:rPr>
          <w:noProof/>
        </w:rPr>
        <w:t xml:space="preserve">Resolution </w:t>
      </w:r>
    </w:p>
    <w:p w14:paraId="3CF19C0A" w14:textId="548F67EC" w:rsidR="007A7054" w:rsidRDefault="007A7054" w:rsidP="00D36861">
      <w:pPr>
        <w:pStyle w:val="BodyText"/>
        <w:rPr>
          <w:noProof/>
        </w:rPr>
      </w:pPr>
      <w:r>
        <w:rPr>
          <w:noProof/>
        </w:rPr>
        <w:t>This document provides a high level overview of the obligations a government agency’s services must operate within, to help project managers reduce their risks of a service not obtaining an ATO.</w:t>
      </w:r>
    </w:p>
    <w:p w14:paraId="782995DC" w14:textId="4B6E410A" w:rsidR="00D36861" w:rsidRDefault="00D36861" w:rsidP="00633354">
      <w:pPr>
        <w:pStyle w:val="Heading1"/>
        <w:rPr>
          <w:noProof/>
        </w:rPr>
      </w:pPr>
      <w:bookmarkStart w:id="7" w:name="_Toc150603065"/>
      <w:r>
        <w:rPr>
          <w:noProof/>
        </w:rPr>
        <w:lastRenderedPageBreak/>
        <w:t>Obligations</w:t>
      </w:r>
      <w:bookmarkEnd w:id="7"/>
    </w:p>
    <w:p w14:paraId="36EB994F" w14:textId="1C424A81" w:rsidR="009F6A31" w:rsidRDefault="009F6A31" w:rsidP="00D36861">
      <w:pPr>
        <w:pStyle w:val="BodyText"/>
        <w:rPr>
          <w:noProof/>
        </w:rPr>
      </w:pPr>
      <w:r>
        <w:rPr>
          <w:noProof/>
        </w:rPr>
        <w:t xml:space="preserve">Besides meeting stakeholder expectations, </w:t>
      </w:r>
      <w:r w:rsidR="00D36861">
        <w:rPr>
          <w:noProof/>
        </w:rPr>
        <w:t xml:space="preserve">Services are subject to a collection of </w:t>
      </w:r>
      <w:r>
        <w:rPr>
          <w:noProof/>
        </w:rPr>
        <w:t xml:space="preserve">Constraints outside of a project’s control, in the form of </w:t>
      </w:r>
      <w:r w:rsidR="00D36861">
        <w:rPr>
          <w:noProof/>
        </w:rPr>
        <w:t>Obligations, as Regulations, and/or Agreements</w:t>
      </w:r>
      <w:r>
        <w:rPr>
          <w:noProof/>
        </w:rPr>
        <w:t xml:space="preserve">. </w:t>
      </w:r>
    </w:p>
    <w:p w14:paraId="0F3E8A66" w14:textId="6D502A38" w:rsidR="009F6A31" w:rsidRPr="009F6A31" w:rsidRDefault="004A26FC" w:rsidP="009F6A31">
      <w:pPr>
        <w:pStyle w:val="Heading2"/>
      </w:pPr>
      <w:bookmarkStart w:id="8" w:name="_Toc150603066"/>
      <w:r>
        <w:t>Laws</w:t>
      </w:r>
      <w:bookmarkEnd w:id="8"/>
    </w:p>
    <w:p w14:paraId="6C672E79" w14:textId="77777777" w:rsidR="00B67310" w:rsidRDefault="00B67310" w:rsidP="00B67310">
      <w:pPr>
        <w:pStyle w:val="BodyText"/>
        <w:keepNext/>
        <w:jc w:val="center"/>
      </w:pPr>
      <w:r>
        <w:rPr>
          <w:noProof/>
        </w:rPr>
        <w:drawing>
          <wp:inline distT="0" distB="0" distL="0" distR="0" wp14:anchorId="582FE0AD" wp14:editId="038D1322">
            <wp:extent cx="4013200" cy="1346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3200" cy="1346200"/>
                    </a:xfrm>
                    <a:prstGeom prst="rect">
                      <a:avLst/>
                    </a:prstGeom>
                    <a:noFill/>
                    <a:ln>
                      <a:noFill/>
                    </a:ln>
                  </pic:spPr>
                </pic:pic>
              </a:graphicData>
            </a:graphic>
          </wp:inline>
        </w:drawing>
      </w:r>
    </w:p>
    <w:p w14:paraId="0D59A635" w14:textId="15848854" w:rsidR="00B67310" w:rsidRDefault="00B67310" w:rsidP="00B67310">
      <w:pPr>
        <w:pStyle w:val="Caption"/>
        <w:jc w:val="center"/>
      </w:pPr>
      <w:bookmarkStart w:id="9" w:name="_Toc150607162"/>
      <w:r>
        <w:t xml:space="preserve">Figure </w:t>
      </w:r>
      <w:fldSimple w:instr=" SEQ Figure \* ARABIC ">
        <w:r>
          <w:rPr>
            <w:noProof/>
          </w:rPr>
          <w:t>1</w:t>
        </w:r>
      </w:fldSimple>
      <w:r>
        <w:t>: Applicable Legal Contexts</w:t>
      </w:r>
      <w:bookmarkEnd w:id="9"/>
    </w:p>
    <w:p w14:paraId="7F3336CE" w14:textId="34A90150" w:rsidR="00F41AE1" w:rsidRDefault="00F41AE1" w:rsidP="00FF1DE5">
      <w:pPr>
        <w:pStyle w:val="Heading3"/>
      </w:pPr>
      <w:bookmarkStart w:id="10" w:name="_Toc150603067"/>
      <w:r>
        <w:t>International Legal Obligations</w:t>
      </w:r>
      <w:bookmarkEnd w:id="10"/>
    </w:p>
    <w:p w14:paraId="7535E4C9" w14:textId="665DACD1" w:rsidR="00E46989" w:rsidRDefault="00E46989" w:rsidP="00E46989">
      <w:pPr>
        <w:pStyle w:val="BodyText"/>
      </w:pPr>
      <w:r>
        <w:t xml:space="preserve">While </w:t>
      </w:r>
      <w:r w:rsidR="00B53946">
        <w:t xml:space="preserve">the laws of other countries are not applicable to this country’s citizens and services, some </w:t>
      </w:r>
      <w:r>
        <w:t>international laws may apply to providers of procured SaaS services</w:t>
      </w:r>
      <w:r w:rsidR="00B53946">
        <w:t xml:space="preserve"> used to distribute services.</w:t>
      </w:r>
    </w:p>
    <w:p w14:paraId="69DCAA0B" w14:textId="1E3230DF" w:rsidR="00B53946" w:rsidRDefault="00B53946" w:rsidP="00E46989">
      <w:pPr>
        <w:pStyle w:val="BodyText"/>
      </w:pPr>
      <w:r>
        <w:t>The following are laws of other countries to note:</w:t>
      </w:r>
    </w:p>
    <w:p w14:paraId="50468C07" w14:textId="003E4CB3" w:rsidR="00EF3880" w:rsidRPr="004745DE" w:rsidRDefault="00E46989" w:rsidP="00EF3880">
      <w:pPr>
        <w:pStyle w:val="ListParagraph"/>
        <w:numPr>
          <w:ilvl w:val="0"/>
          <w:numId w:val="38"/>
        </w:numPr>
      </w:pPr>
      <w:r w:rsidRPr="004745DE">
        <w:t xml:space="preserve">The </w:t>
      </w:r>
      <w:r w:rsidRPr="004745DE">
        <w:rPr>
          <w:b/>
          <w:bCs/>
        </w:rPr>
        <w:t>Clarifying Lawful Overseas Use of Data Act (CLOUD) Act</w:t>
      </w:r>
      <w:r w:rsidR="004745DE">
        <w:rPr>
          <w:rStyle w:val="FootnoteReference"/>
        </w:rPr>
        <w:footnoteReference w:id="2"/>
      </w:r>
      <w:r w:rsidRPr="004745DE">
        <w:t xml:space="preserve"> is a United States </w:t>
      </w:r>
      <w:r w:rsidR="004745DE">
        <w:t xml:space="preserve">(US) </w:t>
      </w:r>
      <w:r w:rsidRPr="004745DE">
        <w:t>federal law, allowing federal law enforcement to compel U.S.-based technology companies via warrant or subpoena to provide requested data stored on servers regardless of whether the data are stored in the U.S. or on foreign soil.</w:t>
      </w:r>
      <w:r w:rsidR="00EF3880">
        <w:br/>
      </w:r>
      <w:r w:rsidR="0067665B">
        <w:t xml:space="preserve">Note: </w:t>
      </w:r>
      <w:r w:rsidR="00EF3880">
        <w:t>Australia</w:t>
      </w:r>
      <w:r w:rsidR="0067665B">
        <w:t>, where instances of Azure and AWS and Google Cloud are located,</w:t>
      </w:r>
      <w:r w:rsidR="00EF3880">
        <w:t xml:space="preserve"> is a CLOUD Act partner of the United States</w:t>
      </w:r>
      <w:r w:rsidR="00EF3880">
        <w:rPr>
          <w:rStyle w:val="FootnoteReference"/>
        </w:rPr>
        <w:footnoteReference w:id="3"/>
      </w:r>
      <w:r w:rsidR="0067665B">
        <w:rPr>
          <w:rStyle w:val="FootnoteReference"/>
        </w:rPr>
        <w:footnoteReference w:id="4"/>
      </w:r>
      <w:r w:rsidR="00EF3880">
        <w:t>.</w:t>
      </w:r>
      <w:r w:rsidR="00415F06">
        <w:t xml:space="preserve"> </w:t>
      </w:r>
      <w:r w:rsidR="00B53946">
        <w:br/>
        <w:t xml:space="preserve">While </w:t>
      </w:r>
      <w:r w:rsidR="00415F06">
        <w:t xml:space="preserve">New Zealand </w:t>
      </w:r>
      <w:r w:rsidR="00B53946">
        <w:t xml:space="preserve">is not currently a partner, it </w:t>
      </w:r>
      <w:r w:rsidR="00415F06">
        <w:t xml:space="preserve">may consider </w:t>
      </w:r>
      <w:r w:rsidR="00B53946">
        <w:t>being one as well</w:t>
      </w:r>
      <w:r w:rsidR="00415F06">
        <w:rPr>
          <w:rStyle w:val="FootnoteReference"/>
        </w:rPr>
        <w:footnoteReference w:id="5"/>
      </w:r>
      <w:r w:rsidR="00415F06">
        <w:t>.</w:t>
      </w:r>
      <w:r w:rsidR="00EF3880">
        <w:t xml:space="preserve"> </w:t>
      </w:r>
      <w:r w:rsidR="00EF3880">
        <w:br/>
      </w:r>
    </w:p>
    <w:p w14:paraId="7144542F" w14:textId="3170206C" w:rsidR="00E46989" w:rsidRDefault="004745DE" w:rsidP="004745DE">
      <w:pPr>
        <w:pStyle w:val="ListParagraph"/>
        <w:numPr>
          <w:ilvl w:val="0"/>
          <w:numId w:val="38"/>
        </w:numPr>
      </w:pPr>
      <w:r w:rsidRPr="004745DE">
        <w:t>The </w:t>
      </w:r>
      <w:r w:rsidRPr="004745DE">
        <w:rPr>
          <w:b/>
          <w:bCs/>
        </w:rPr>
        <w:t>General Data Protection Regulation (GDPR)</w:t>
      </w:r>
      <w:r>
        <w:rPr>
          <w:rStyle w:val="FootnoteReference"/>
        </w:rPr>
        <w:footnoteReference w:id="6"/>
      </w:r>
      <w:r w:rsidRPr="004745DE">
        <w:t xml:space="preserve"> is a European Union regulation on information privacy in the European Union (EU) and European Economic Area (EEA). It also governs the transfer of personal data outside the EU and EEA.</w:t>
      </w:r>
    </w:p>
    <w:p w14:paraId="42487A37" w14:textId="1C01B31B" w:rsidR="00D23EA6" w:rsidRPr="00D23EA6" w:rsidRDefault="00B67310" w:rsidP="00D23EA6">
      <w:pPr>
        <w:pStyle w:val="Note"/>
        <w:ind w:left="720"/>
        <w:rPr>
          <w:shd w:val="clear" w:color="auto" w:fill="FFFFFF"/>
        </w:rPr>
      </w:pPr>
      <w:r>
        <w:lastRenderedPageBreak/>
        <w:t>Note:</w:t>
      </w:r>
      <w:r>
        <w:br/>
      </w:r>
      <w:r>
        <w:rPr>
          <w:shd w:val="clear" w:color="auto" w:fill="FFFFFF"/>
        </w:rPr>
        <w:t xml:space="preserve">Regarding the Right to be Forgotten, the law does not describe how PI data must be erased. The decisive element is that as a result it is no longer possible to discern personal data without disproportionate effort. </w:t>
      </w:r>
      <w:r w:rsidR="00415F06">
        <w:rPr>
          <w:shd w:val="clear" w:color="auto" w:fill="FFFFFF"/>
        </w:rPr>
        <w:br/>
        <w:t xml:space="preserve">Additionally, the requirement </w:t>
      </w:r>
      <w:r w:rsidR="00D23EA6">
        <w:rPr>
          <w:shd w:val="clear" w:color="auto" w:fill="FFFFFF"/>
        </w:rPr>
        <w:t xml:space="preserve">makes </w:t>
      </w:r>
      <w:r w:rsidR="00415F06">
        <w:rPr>
          <w:shd w:val="clear" w:color="auto" w:fill="FFFFFF"/>
        </w:rPr>
        <w:t>exempt</w:t>
      </w:r>
      <w:r w:rsidR="00D23EA6">
        <w:rPr>
          <w:shd w:val="clear" w:color="auto" w:fill="FFFFFF"/>
        </w:rPr>
        <w:t>ions</w:t>
      </w:r>
      <w:r w:rsidR="00415F06">
        <w:rPr>
          <w:shd w:val="clear" w:color="auto" w:fill="FFFFFF"/>
        </w:rPr>
        <w:t xml:space="preserve"> </w:t>
      </w:r>
      <w:r w:rsidR="00D23EA6">
        <w:rPr>
          <w:shd w:val="clear" w:color="auto" w:fill="FFFFFF"/>
        </w:rPr>
        <w:t xml:space="preserve">for </w:t>
      </w:r>
      <w:r w:rsidR="00D23EA6" w:rsidRPr="00D23EA6">
        <w:rPr>
          <w:shd w:val="clear" w:color="auto" w:fill="FFFFFF"/>
        </w:rPr>
        <w:t>Archiving purposes in the public interest, scientific or historical research purposes or statistical purposes.</w:t>
      </w:r>
    </w:p>
    <w:p w14:paraId="5E015681" w14:textId="20A8059F" w:rsidR="00D23EA6" w:rsidRDefault="00F60D20" w:rsidP="00FF1DE5">
      <w:pPr>
        <w:pStyle w:val="Heading3"/>
      </w:pPr>
      <w:bookmarkStart w:id="11" w:name="_Toc150603068"/>
      <w:r>
        <w:t>National Legal Obligations</w:t>
      </w:r>
      <w:bookmarkEnd w:id="11"/>
    </w:p>
    <w:p w14:paraId="214EFEB4" w14:textId="77777777" w:rsidR="00FF1DE5" w:rsidRDefault="00FF1DE5" w:rsidP="00FF1DE5">
      <w:pPr>
        <w:pStyle w:val="BodyText"/>
      </w:pPr>
      <w:r>
        <w:t xml:space="preserve">Whomever provides services within the country is subject to the country’s public sector laws and regulations.  </w:t>
      </w:r>
    </w:p>
    <w:p w14:paraId="68EC7718" w14:textId="697E718D" w:rsidR="00F60D20" w:rsidRPr="00D23EA6" w:rsidRDefault="00FF1DE5" w:rsidP="00D23EA6">
      <w:pPr>
        <w:pStyle w:val="BodyText"/>
      </w:pPr>
      <w:r>
        <w:t xml:space="preserve">In addition to these general baseline laws, services provided by government agencies are subject to additional regulation. </w:t>
      </w:r>
    </w:p>
    <w:p w14:paraId="7340D9F0" w14:textId="1B927F0F" w:rsidR="003C3E5C" w:rsidRDefault="004A26FC" w:rsidP="00FF1DE5">
      <w:pPr>
        <w:pStyle w:val="Heading4"/>
      </w:pPr>
      <w:bookmarkStart w:id="12" w:name="_Toc141967053"/>
      <w:bookmarkStart w:id="13" w:name="_Toc150603069"/>
      <w:r>
        <w:t xml:space="preserve">New Zealand </w:t>
      </w:r>
      <w:r w:rsidR="003C3E5C">
        <w:t xml:space="preserve">Public </w:t>
      </w:r>
      <w:r w:rsidR="00F60D20">
        <w:t>Sector</w:t>
      </w:r>
      <w:r w:rsidR="003C3E5C">
        <w:t xml:space="preserve"> </w:t>
      </w:r>
      <w:bookmarkStart w:id="14" w:name="_Hlk150424828"/>
      <w:r>
        <w:t xml:space="preserve">Legal </w:t>
      </w:r>
      <w:bookmarkEnd w:id="14"/>
      <w:r w:rsidR="003C3E5C">
        <w:t>Obligations</w:t>
      </w:r>
      <w:bookmarkEnd w:id="12"/>
      <w:bookmarkEnd w:id="13"/>
    </w:p>
    <w:p w14:paraId="19F5BB29" w14:textId="6F0F0205" w:rsidR="003C3E5C" w:rsidRDefault="003C3E5C" w:rsidP="003C3E5C">
      <w:pPr>
        <w:pStyle w:val="BodyText"/>
      </w:pPr>
      <w:r>
        <w:t>NZ Acts, Laws &amp; Regulations applicable to systems offered within New Zealand:</w:t>
      </w:r>
    </w:p>
    <w:p w14:paraId="0319C7D3" w14:textId="36C380BF" w:rsidR="003C3E5C" w:rsidRDefault="003C3E5C" w:rsidP="003C3E5C">
      <w:pPr>
        <w:pStyle w:val="BodyText"/>
        <w:numPr>
          <w:ilvl w:val="0"/>
          <w:numId w:val="35"/>
        </w:numPr>
        <w:spacing w:before="0" w:after="240" w:line="240" w:lineRule="atLeast"/>
      </w:pPr>
      <w:r w:rsidRPr="00943316">
        <w:rPr>
          <w:b/>
          <w:bCs/>
        </w:rPr>
        <w:t>Privacy Act</w:t>
      </w:r>
      <w:r w:rsidR="00B67310">
        <w:rPr>
          <w:b/>
          <w:bCs/>
        </w:rPr>
        <w:t xml:space="preserve"> 2020</w:t>
      </w:r>
      <w:r>
        <w:rPr>
          <w:rStyle w:val="FootnoteReference"/>
          <w:b/>
          <w:bCs/>
        </w:rPr>
        <w:footnoteReference w:id="7"/>
      </w:r>
      <w:r w:rsidRPr="00943316">
        <w:rPr>
          <w:b/>
          <w:bCs/>
        </w:rPr>
        <w:t>:</w:t>
      </w:r>
      <w:r>
        <w:t xml:space="preserve"> including disclosing and getting permission for tracking, data collection purpose, sharing, use and opt-out.</w:t>
      </w:r>
    </w:p>
    <w:p w14:paraId="2C7AB13D" w14:textId="5288A4CB" w:rsidR="003C3E5C" w:rsidRDefault="003C3E5C" w:rsidP="00FF1DE5">
      <w:pPr>
        <w:pStyle w:val="Heading4"/>
        <w:rPr>
          <w:noProof/>
        </w:rPr>
      </w:pPr>
      <w:bookmarkStart w:id="15" w:name="_Toc150603070"/>
      <w:bookmarkStart w:id="16" w:name="_Toc141967054"/>
      <w:r>
        <w:rPr>
          <w:noProof/>
        </w:rPr>
        <w:t xml:space="preserve">New Zealand Government </w:t>
      </w:r>
      <w:r w:rsidR="004A26FC">
        <w:rPr>
          <w:noProof/>
        </w:rPr>
        <w:t>Sector Legal Obligations</w:t>
      </w:r>
      <w:bookmarkEnd w:id="15"/>
    </w:p>
    <w:p w14:paraId="79EE3AD0" w14:textId="58E0AB48" w:rsidR="003C3E5C" w:rsidRDefault="003C3E5C" w:rsidP="003C3E5C">
      <w:pPr>
        <w:pStyle w:val="BodyText"/>
        <w:numPr>
          <w:ilvl w:val="0"/>
          <w:numId w:val="35"/>
        </w:numPr>
        <w:spacing w:before="0" w:after="240" w:line="240" w:lineRule="atLeast"/>
      </w:pPr>
      <w:r w:rsidRPr="00943316">
        <w:rPr>
          <w:b/>
          <w:bCs/>
        </w:rPr>
        <w:t>Public Records Act</w:t>
      </w:r>
      <w:r w:rsidR="00B67310">
        <w:rPr>
          <w:b/>
          <w:bCs/>
        </w:rPr>
        <w:t xml:space="preserve"> 2005</w:t>
      </w:r>
      <w:r>
        <w:rPr>
          <w:rStyle w:val="FootnoteReference"/>
          <w:b/>
          <w:bCs/>
        </w:rPr>
        <w:footnoteReference w:id="8"/>
      </w:r>
      <w:r w:rsidRPr="00943316">
        <w:rPr>
          <w:b/>
          <w:bCs/>
        </w:rPr>
        <w:t>:</w:t>
      </w:r>
      <w:r>
        <w:t xml:space="preserve"> including limiting physical data deletion and archiving obligations.</w:t>
      </w:r>
    </w:p>
    <w:p w14:paraId="43532C9B" w14:textId="6382E3FF" w:rsidR="003C3E5C" w:rsidRDefault="003C3E5C" w:rsidP="003C3E5C">
      <w:pPr>
        <w:pStyle w:val="BodyText"/>
        <w:numPr>
          <w:ilvl w:val="0"/>
          <w:numId w:val="35"/>
        </w:numPr>
        <w:spacing w:before="0" w:after="240" w:line="240" w:lineRule="atLeast"/>
      </w:pPr>
      <w:r>
        <w:rPr>
          <w:b/>
          <w:bCs/>
        </w:rPr>
        <w:t>Official Information Act</w:t>
      </w:r>
      <w:r w:rsidR="00B67310">
        <w:rPr>
          <w:b/>
          <w:bCs/>
        </w:rPr>
        <w:t xml:space="preserve"> 1982</w:t>
      </w:r>
      <w:r>
        <w:rPr>
          <w:rStyle w:val="FootnoteReference"/>
          <w:b/>
          <w:bCs/>
        </w:rPr>
        <w:footnoteReference w:id="9"/>
      </w:r>
      <w:r>
        <w:rPr>
          <w:b/>
          <w:bCs/>
        </w:rPr>
        <w:t>:</w:t>
      </w:r>
      <w:r>
        <w:t xml:space="preserve"> including ensuring transparency to taxpayers via reports cleansed of sensitive personally identifiable information.</w:t>
      </w:r>
    </w:p>
    <w:p w14:paraId="362ED0D8" w14:textId="0030AEF4" w:rsidR="003C3E5C" w:rsidRDefault="00EF3880" w:rsidP="00FF1DE5">
      <w:pPr>
        <w:pStyle w:val="Heading4"/>
      </w:pPr>
      <w:bookmarkStart w:id="17" w:name="_Toc150603071"/>
      <w:r>
        <w:t xml:space="preserve">New Zealand </w:t>
      </w:r>
      <w:r w:rsidR="003C3E5C">
        <w:t xml:space="preserve">Education </w:t>
      </w:r>
      <w:r>
        <w:t>Sector</w:t>
      </w:r>
      <w:r w:rsidR="003C3E5C">
        <w:t xml:space="preserve"> </w:t>
      </w:r>
      <w:r w:rsidR="004A26FC">
        <w:t xml:space="preserve">Legal </w:t>
      </w:r>
      <w:r w:rsidR="003C3E5C">
        <w:t>Obligations</w:t>
      </w:r>
      <w:bookmarkEnd w:id="16"/>
      <w:bookmarkEnd w:id="17"/>
    </w:p>
    <w:p w14:paraId="3D0EB9B2" w14:textId="38BC7A2D" w:rsidR="003C3E5C" w:rsidRPr="009A0F91" w:rsidRDefault="003C3E5C" w:rsidP="003C3E5C">
      <w:pPr>
        <w:pStyle w:val="BodyText"/>
      </w:pPr>
      <w:r>
        <w:t xml:space="preserve">In addition to </w:t>
      </w:r>
      <w:r w:rsidR="00EF3880">
        <w:t xml:space="preserve">NZ </w:t>
      </w:r>
      <w:r>
        <w:t>public domain legal obligations, services within the education sector are bound by sector specific regulation:</w:t>
      </w:r>
    </w:p>
    <w:p w14:paraId="78F6C996" w14:textId="3E17C984" w:rsidR="003C3E5C" w:rsidRDefault="003C3E5C" w:rsidP="003C3E5C">
      <w:pPr>
        <w:pStyle w:val="BodyText"/>
        <w:numPr>
          <w:ilvl w:val="0"/>
          <w:numId w:val="35"/>
        </w:numPr>
        <w:spacing w:before="0" w:after="240" w:line="240" w:lineRule="atLeast"/>
      </w:pPr>
      <w:r w:rsidRPr="008572BD">
        <w:rPr>
          <w:b/>
          <w:bCs/>
        </w:rPr>
        <w:t xml:space="preserve">Education </w:t>
      </w:r>
      <w:r>
        <w:rPr>
          <w:b/>
          <w:bCs/>
        </w:rPr>
        <w:t xml:space="preserve">and Training </w:t>
      </w:r>
      <w:r w:rsidRPr="008572BD">
        <w:rPr>
          <w:b/>
          <w:bCs/>
        </w:rPr>
        <w:t>Act</w:t>
      </w:r>
      <w:r>
        <w:rPr>
          <w:b/>
          <w:bCs/>
        </w:rPr>
        <w:t xml:space="preserve"> 2020</w:t>
      </w:r>
      <w:r>
        <w:rPr>
          <w:rStyle w:val="FootnoteReference"/>
          <w:b/>
          <w:bCs/>
        </w:rPr>
        <w:footnoteReference w:id="10"/>
      </w:r>
      <w:r w:rsidRPr="008572BD">
        <w:rPr>
          <w:b/>
          <w:bCs/>
        </w:rPr>
        <w:t>:</w:t>
      </w:r>
      <w:r>
        <w:t xml:space="preserve"> of note, the limitations on using NSNs as cross-system identifiers.</w:t>
      </w:r>
    </w:p>
    <w:p w14:paraId="319A970F" w14:textId="0479CD49" w:rsidR="00B67310" w:rsidRDefault="00B67310" w:rsidP="00415F06">
      <w:pPr>
        <w:pStyle w:val="Heading4"/>
      </w:pPr>
      <w:bookmarkStart w:id="18" w:name="_Toc150603072"/>
      <w:r>
        <w:t>Considerations</w:t>
      </w:r>
      <w:bookmarkEnd w:id="18"/>
    </w:p>
    <w:p w14:paraId="4FC5223D" w14:textId="5666223B" w:rsidR="00B67310" w:rsidRPr="00415F06" w:rsidRDefault="00B67310" w:rsidP="00B67310">
      <w:pPr>
        <w:pStyle w:val="BodyText"/>
        <w:numPr>
          <w:ilvl w:val="0"/>
          <w:numId w:val="35"/>
        </w:numPr>
        <w:spacing w:before="0" w:after="240" w:line="240" w:lineRule="atLeast"/>
      </w:pPr>
      <w:r>
        <w:t>The GDPR does not prescribe the means of erasure</w:t>
      </w:r>
      <w:r w:rsidR="00415F06">
        <w:t xml:space="preserve"> (it </w:t>
      </w:r>
      <w:r w:rsidR="00415F06" w:rsidRPr="00415F06">
        <w:rPr>
          <w:i/>
          <w:iCs/>
        </w:rPr>
        <w:t>can</w:t>
      </w:r>
      <w:r w:rsidR="00415F06">
        <w:t xml:space="preserve"> be logical)</w:t>
      </w:r>
      <w:r>
        <w:t xml:space="preserve">. </w:t>
      </w:r>
      <w:r w:rsidR="00415F06">
        <w:rPr>
          <w:shd w:val="clear" w:color="auto" w:fill="FFFFFF"/>
        </w:rPr>
        <w:t>The decisive element is that as a result it is no longer possible to discern personal data without disproportionate effort</w:t>
      </w:r>
      <w:r w:rsidR="00415F06">
        <w:rPr>
          <w:rStyle w:val="FootnoteReference"/>
          <w:shd w:val="clear" w:color="auto" w:fill="FFFFFF"/>
        </w:rPr>
        <w:footnoteReference w:id="11"/>
      </w:r>
      <w:r w:rsidR="00415F06">
        <w:rPr>
          <w:shd w:val="clear" w:color="auto" w:fill="FFFFFF"/>
        </w:rPr>
        <w:t>.</w:t>
      </w:r>
    </w:p>
    <w:p w14:paraId="273C02F5" w14:textId="77777777" w:rsidR="00415F06" w:rsidRDefault="00415F06" w:rsidP="00415F06">
      <w:pPr>
        <w:pStyle w:val="BodyText"/>
        <w:spacing w:before="0" w:after="240" w:line="240" w:lineRule="atLeast"/>
        <w:ind w:left="567"/>
      </w:pPr>
    </w:p>
    <w:p w14:paraId="3E846D7C" w14:textId="18192AE8" w:rsidR="004A26FC" w:rsidRDefault="004A26FC" w:rsidP="003C3E5C">
      <w:pPr>
        <w:pStyle w:val="Heading2"/>
      </w:pPr>
      <w:bookmarkStart w:id="19" w:name="_Toc150603073"/>
      <w:bookmarkStart w:id="20" w:name="_Toc141967055"/>
      <w:r>
        <w:t>Regulations</w:t>
      </w:r>
      <w:bookmarkEnd w:id="19"/>
    </w:p>
    <w:p w14:paraId="5E4DECF6" w14:textId="34396886" w:rsidR="00F41AE1" w:rsidRPr="00F41AE1" w:rsidRDefault="00F41AE1" w:rsidP="00F41AE1">
      <w:r>
        <w:t xml:space="preserve">Whereas </w:t>
      </w:r>
      <w:r w:rsidRPr="00F41AE1">
        <w:t>Acts are bills that have been passed by Parliament and have received the Royal assent</w:t>
      </w:r>
      <w:r>
        <w:t xml:space="preserve">, </w:t>
      </w:r>
      <w:r w:rsidRPr="00F41AE1">
        <w:t>Regulations are law-making action</w:t>
      </w:r>
      <w:r>
        <w:t>s – including the developing of standards and rules --</w:t>
      </w:r>
      <w:r w:rsidRPr="00F41AE1">
        <w:t xml:space="preserve"> made under the </w:t>
      </w:r>
      <w:r w:rsidRPr="00E059ED">
        <w:t>delegated</w:t>
      </w:r>
      <w:r w:rsidRPr="00F41AE1">
        <w:t xml:space="preserve"> authority of an Act</w:t>
      </w:r>
      <w:r>
        <w:t>.</w:t>
      </w:r>
    </w:p>
    <w:p w14:paraId="2EA07D39" w14:textId="202ECD3D" w:rsidR="003C3E5C" w:rsidRDefault="003C3E5C" w:rsidP="004A26FC">
      <w:pPr>
        <w:pStyle w:val="Heading3"/>
      </w:pPr>
      <w:bookmarkStart w:id="21" w:name="_Toc150603074"/>
      <w:r>
        <w:t>Government Domain Obligations</w:t>
      </w:r>
      <w:bookmarkEnd w:id="20"/>
      <w:bookmarkEnd w:id="21"/>
    </w:p>
    <w:p w14:paraId="5DF0C5C1" w14:textId="1745CFF1" w:rsidR="003C3E5C" w:rsidRDefault="003C3E5C" w:rsidP="003C3E5C">
      <w:pPr>
        <w:pStyle w:val="BodyText"/>
      </w:pPr>
      <w:r>
        <w:t>NZ Government agencies are obligated by regulation</w:t>
      </w:r>
      <w:r w:rsidR="00872BBE">
        <w:rPr>
          <w:rStyle w:val="FootnoteReference"/>
        </w:rPr>
        <w:footnoteReference w:id="12"/>
      </w:r>
      <w:r>
        <w:t xml:space="preserve"> to adhere to </w:t>
      </w:r>
      <w:r w:rsidR="00794B53">
        <w:t>All of Government (</w:t>
      </w:r>
      <w:proofErr w:type="spellStart"/>
      <w:r>
        <w:t>AoG</w:t>
      </w:r>
      <w:proofErr w:type="spellEnd"/>
      <w:r w:rsidR="00794B53">
        <w:t>)</w:t>
      </w:r>
      <w:r>
        <w:t xml:space="preserve"> Digital Standards.</w:t>
      </w:r>
    </w:p>
    <w:p w14:paraId="062331FC" w14:textId="3C8720F4" w:rsidR="00F41AE1" w:rsidRDefault="00F41AE1" w:rsidP="003C3E5C">
      <w:pPr>
        <w:pStyle w:val="BodyText"/>
      </w:pPr>
      <w:r>
        <w:t xml:space="preserve">The following is a catalogue of the standards applicable to </w:t>
      </w:r>
      <w:proofErr w:type="spellStart"/>
      <w:r>
        <w:t>AoG</w:t>
      </w:r>
      <w:proofErr w:type="spellEnd"/>
      <w:r>
        <w:t xml:space="preserve"> agencies:</w:t>
      </w:r>
    </w:p>
    <w:p w14:paraId="0CD8CBAC" w14:textId="77777777" w:rsidR="003C3E5C" w:rsidRDefault="003C3E5C" w:rsidP="004A26FC">
      <w:pPr>
        <w:pStyle w:val="Heading4"/>
      </w:pPr>
      <w:bookmarkStart w:id="22" w:name="_Toc141967056"/>
      <w:bookmarkStart w:id="23" w:name="_Toc150603075"/>
      <w:proofErr w:type="spellStart"/>
      <w:r>
        <w:t>AoG</w:t>
      </w:r>
      <w:proofErr w:type="spellEnd"/>
      <w:r>
        <w:t xml:space="preserve"> Digital Standards</w:t>
      </w:r>
      <w:bookmarkEnd w:id="22"/>
      <w:bookmarkEnd w:id="23"/>
    </w:p>
    <w:p w14:paraId="740A2E9E" w14:textId="156363AD" w:rsidR="003C3E5C" w:rsidRDefault="003C3E5C" w:rsidP="003C3E5C">
      <w:pPr>
        <w:pStyle w:val="Caption"/>
        <w:keepNext/>
      </w:pPr>
      <w:bookmarkStart w:id="24" w:name="_Toc141966714"/>
      <w:bookmarkStart w:id="25" w:name="_Toc150607166"/>
      <w:r>
        <w:t xml:space="preserve">Table </w:t>
      </w:r>
      <w:fldSimple w:instr=" SEQ Table \* ARABIC ">
        <w:r>
          <w:rPr>
            <w:noProof/>
          </w:rPr>
          <w:t>2</w:t>
        </w:r>
      </w:fldSimple>
      <w:r>
        <w:t xml:space="preserve">: </w:t>
      </w:r>
      <w:proofErr w:type="spellStart"/>
      <w:r>
        <w:t>AoG</w:t>
      </w:r>
      <w:proofErr w:type="spellEnd"/>
      <w:r>
        <w:t xml:space="preserve"> Digital Standards</w:t>
      </w:r>
      <w:bookmarkEnd w:id="24"/>
      <w:bookmarkEnd w:id="25"/>
    </w:p>
    <w:tbl>
      <w:tblPr>
        <w:tblStyle w:val="Table-Default-Blue"/>
        <w:tblW w:w="0" w:type="auto"/>
        <w:tblLook w:val="04A0" w:firstRow="1" w:lastRow="0" w:firstColumn="1" w:lastColumn="0" w:noHBand="0" w:noVBand="1"/>
      </w:tblPr>
      <w:tblGrid>
        <w:gridCol w:w="9524"/>
      </w:tblGrid>
      <w:tr w:rsidR="00F41AE1" w14:paraId="5D4285E7" w14:textId="77777777" w:rsidTr="00F41AE1">
        <w:trPr>
          <w:cnfStyle w:val="100000000000" w:firstRow="1" w:lastRow="0" w:firstColumn="0" w:lastColumn="0" w:oddVBand="0" w:evenVBand="0" w:oddHBand="0" w:evenHBand="0" w:firstRowFirstColumn="0" w:firstRowLastColumn="0" w:lastRowFirstColumn="0" w:lastRowLastColumn="0"/>
        </w:trPr>
        <w:tc>
          <w:tcPr>
            <w:tcW w:w="9628" w:type="dxa"/>
          </w:tcPr>
          <w:p w14:paraId="348E96F8" w14:textId="36AFE7FB" w:rsidR="00F41AE1" w:rsidRPr="00F41AE1" w:rsidRDefault="00F41AE1" w:rsidP="00F41AE1">
            <w:r>
              <w:t xml:space="preserve">NZ Government </w:t>
            </w:r>
            <w:r w:rsidRPr="00F41AE1">
              <w:t>Digital Standards</w:t>
            </w:r>
          </w:p>
        </w:tc>
      </w:tr>
      <w:tr w:rsidR="003C3E5C" w14:paraId="4A7F4C6C" w14:textId="77777777" w:rsidTr="00F41AE1">
        <w:trPr>
          <w:cnfStyle w:val="000000100000" w:firstRow="0" w:lastRow="0" w:firstColumn="0" w:lastColumn="0" w:oddVBand="0" w:evenVBand="0" w:oddHBand="1" w:evenHBand="0" w:firstRowFirstColumn="0" w:firstRowLastColumn="0" w:lastRowFirstColumn="0" w:lastRowLastColumn="0"/>
        </w:trPr>
        <w:tc>
          <w:tcPr>
            <w:tcW w:w="9628" w:type="dxa"/>
          </w:tcPr>
          <w:p w14:paraId="45AB58E3" w14:textId="77777777" w:rsidR="003C3E5C" w:rsidRPr="004745DE" w:rsidRDefault="003C3E5C" w:rsidP="004745DE">
            <w:pPr>
              <w:rPr>
                <w:b/>
              </w:rPr>
            </w:pPr>
            <w:r w:rsidRPr="004745DE">
              <w:rPr>
                <w:b/>
              </w:rPr>
              <w:t xml:space="preserve">NZ Information Security Manual (NZISM) Standards: </w:t>
            </w:r>
          </w:p>
          <w:p w14:paraId="597DCF1C" w14:textId="77777777" w:rsidR="003C3E5C" w:rsidRPr="003326DE" w:rsidRDefault="003C3E5C" w:rsidP="005157AF">
            <w:pPr>
              <w:pStyle w:val="BodyText"/>
            </w:pPr>
            <w:r>
              <w:t>Guiding security of information and communication decisions</w:t>
            </w:r>
          </w:p>
        </w:tc>
      </w:tr>
      <w:tr w:rsidR="003C3E5C" w14:paraId="15B8E2F5" w14:textId="77777777" w:rsidTr="00F41AE1">
        <w:trPr>
          <w:cnfStyle w:val="000000010000" w:firstRow="0" w:lastRow="0" w:firstColumn="0" w:lastColumn="0" w:oddVBand="0" w:evenVBand="0" w:oddHBand="0" w:evenHBand="1" w:firstRowFirstColumn="0" w:firstRowLastColumn="0" w:lastRowFirstColumn="0" w:lastRowLastColumn="0"/>
        </w:trPr>
        <w:tc>
          <w:tcPr>
            <w:tcW w:w="9628" w:type="dxa"/>
          </w:tcPr>
          <w:p w14:paraId="10A3B09E" w14:textId="77777777" w:rsidR="003C3E5C" w:rsidRPr="004745DE" w:rsidRDefault="003C3E5C" w:rsidP="004745DE">
            <w:pPr>
              <w:rPr>
                <w:b/>
                <w:bCs/>
              </w:rPr>
            </w:pPr>
            <w:r w:rsidRPr="004745DE">
              <w:rPr>
                <w:b/>
                <w:bCs/>
              </w:rPr>
              <w:t xml:space="preserve">NZ System Data and Information Management Standards: </w:t>
            </w:r>
          </w:p>
          <w:p w14:paraId="72BB47A8" w14:textId="77777777" w:rsidR="003C3E5C" w:rsidRPr="003326DE" w:rsidRDefault="003C3E5C" w:rsidP="005157AF">
            <w:pPr>
              <w:pStyle w:val="BodyText"/>
            </w:pPr>
            <w:r>
              <w:t>G</w:t>
            </w:r>
            <w:r w:rsidRPr="004476C9">
              <w:t>uiding the management of data and information within government systems</w:t>
            </w:r>
            <w:r>
              <w:rPr>
                <w:rStyle w:val="FootnoteReference"/>
              </w:rPr>
              <w:footnoteReference w:id="13"/>
            </w:r>
            <w:r>
              <w:rPr>
                <w:b/>
                <w:bCs/>
              </w:rPr>
              <w:t xml:space="preserve">  </w:t>
            </w:r>
            <w:r>
              <w:t>including ensuring data be Open, Protected, Readily Available, Trusted and Authoritative and Well Managed</w:t>
            </w:r>
            <w:r>
              <w:rPr>
                <w:rStyle w:val="FootnoteReference"/>
              </w:rPr>
              <w:footnoteReference w:id="14"/>
            </w:r>
            <w:r>
              <w:t>.</w:t>
            </w:r>
          </w:p>
        </w:tc>
      </w:tr>
      <w:tr w:rsidR="003C3E5C" w14:paraId="73CA6539" w14:textId="77777777" w:rsidTr="00F41AE1">
        <w:trPr>
          <w:cnfStyle w:val="000000100000" w:firstRow="0" w:lastRow="0" w:firstColumn="0" w:lastColumn="0" w:oddVBand="0" w:evenVBand="0" w:oddHBand="1" w:evenHBand="0" w:firstRowFirstColumn="0" w:firstRowLastColumn="0" w:lastRowFirstColumn="0" w:lastRowLastColumn="0"/>
        </w:trPr>
        <w:tc>
          <w:tcPr>
            <w:tcW w:w="9628" w:type="dxa"/>
          </w:tcPr>
          <w:p w14:paraId="70E78C45" w14:textId="77777777" w:rsidR="003C3E5C" w:rsidRPr="004745DE" w:rsidRDefault="003C3E5C" w:rsidP="004745DE">
            <w:pPr>
              <w:rPr>
                <w:b/>
                <w:bCs/>
              </w:rPr>
            </w:pPr>
            <w:r w:rsidRPr="004745DE">
              <w:rPr>
                <w:b/>
                <w:bCs/>
              </w:rPr>
              <w:t xml:space="preserve">NZ Digital Service Design Standards: </w:t>
            </w:r>
          </w:p>
          <w:p w14:paraId="7DFD26E7" w14:textId="77777777" w:rsidR="003C3E5C" w:rsidRPr="003326DE" w:rsidRDefault="003C3E5C" w:rsidP="005157AF">
            <w:pPr>
              <w:pStyle w:val="BodyText"/>
            </w:pPr>
            <w:r>
              <w:t>Guiding digital based service design, including providing services that are specific, clear, secure, inclusive, ethical, empowering, open, accessible, etc.</w:t>
            </w:r>
            <w:r>
              <w:rPr>
                <w:rStyle w:val="FootnoteReference"/>
              </w:rPr>
              <w:footnoteReference w:id="15"/>
            </w:r>
          </w:p>
        </w:tc>
      </w:tr>
      <w:tr w:rsidR="003C3E5C" w14:paraId="0E030751" w14:textId="77777777" w:rsidTr="00F41AE1">
        <w:trPr>
          <w:cnfStyle w:val="000000010000" w:firstRow="0" w:lastRow="0" w:firstColumn="0" w:lastColumn="0" w:oddVBand="0" w:evenVBand="0" w:oddHBand="0" w:evenHBand="1" w:firstRowFirstColumn="0" w:firstRowLastColumn="0" w:lastRowFirstColumn="0" w:lastRowLastColumn="0"/>
        </w:trPr>
        <w:tc>
          <w:tcPr>
            <w:tcW w:w="9628" w:type="dxa"/>
          </w:tcPr>
          <w:p w14:paraId="369A3EE8" w14:textId="0EE6BBC2" w:rsidR="003C3E5C" w:rsidRPr="004745DE" w:rsidRDefault="003C3E5C" w:rsidP="004745DE">
            <w:r w:rsidRPr="004745DE">
              <w:rPr>
                <w:b/>
                <w:bCs/>
              </w:rPr>
              <w:t>NZ Government Web Standards</w:t>
            </w:r>
            <w:r w:rsidR="004745DE">
              <w:rPr>
                <w:b/>
                <w:bCs/>
              </w:rPr>
              <w:t>:</w:t>
            </w:r>
            <w:r w:rsidRPr="004745DE">
              <w:rPr>
                <w:rStyle w:val="FootnoteReference"/>
              </w:rPr>
              <w:footnoteReference w:id="16"/>
            </w:r>
          </w:p>
          <w:p w14:paraId="566C2638" w14:textId="77777777" w:rsidR="003C3E5C" w:rsidRPr="003326DE" w:rsidRDefault="003C3E5C" w:rsidP="005157AF">
            <w:pPr>
              <w:pStyle w:val="BodyText"/>
            </w:pPr>
            <w:r w:rsidRPr="00BE242F">
              <w:t>Guiding digital accessibility &amp; usability of government provided services, comprised of the Web Accessibility (1.1) and Web Usability Standards (1.3).</w:t>
            </w:r>
          </w:p>
        </w:tc>
      </w:tr>
      <w:tr w:rsidR="003C3E5C" w14:paraId="661DD356" w14:textId="77777777" w:rsidTr="00F41AE1">
        <w:trPr>
          <w:cnfStyle w:val="000000100000" w:firstRow="0" w:lastRow="0" w:firstColumn="0" w:lastColumn="0" w:oddVBand="0" w:evenVBand="0" w:oddHBand="1" w:evenHBand="0" w:firstRowFirstColumn="0" w:firstRowLastColumn="0" w:lastRowFirstColumn="0" w:lastRowLastColumn="0"/>
        </w:trPr>
        <w:tc>
          <w:tcPr>
            <w:tcW w:w="9628" w:type="dxa"/>
          </w:tcPr>
          <w:p w14:paraId="253C6127" w14:textId="77777777" w:rsidR="003C3E5C" w:rsidRPr="004745DE" w:rsidRDefault="003C3E5C" w:rsidP="004745DE">
            <w:pPr>
              <w:rPr>
                <w:b/>
                <w:bCs/>
              </w:rPr>
            </w:pPr>
            <w:r w:rsidRPr="004745DE">
              <w:rPr>
                <w:b/>
                <w:bCs/>
              </w:rPr>
              <w:t xml:space="preserve">NZ Digital Standards: </w:t>
            </w:r>
          </w:p>
          <w:p w14:paraId="1867EDE3" w14:textId="77777777" w:rsidR="003C3E5C" w:rsidRPr="003326DE" w:rsidRDefault="003C3E5C" w:rsidP="005157AF">
            <w:pPr>
              <w:pStyle w:val="BodyText"/>
            </w:pPr>
            <w:r>
              <w:t>Guiding system procurement &amp; development</w:t>
            </w:r>
            <w:r>
              <w:rPr>
                <w:rStyle w:val="FootnoteReference"/>
              </w:rPr>
              <w:footnoteReference w:id="17"/>
            </w:r>
          </w:p>
        </w:tc>
      </w:tr>
    </w:tbl>
    <w:p w14:paraId="24CBA766" w14:textId="77777777" w:rsidR="003C3E5C" w:rsidRPr="003C3E5C" w:rsidRDefault="003C3E5C" w:rsidP="003C3E5C">
      <w:pPr>
        <w:pStyle w:val="BodyText"/>
      </w:pPr>
    </w:p>
    <w:p w14:paraId="13433FA5" w14:textId="2707F4AE" w:rsidR="003C3E5C" w:rsidRDefault="003C3E5C" w:rsidP="004A26FC">
      <w:pPr>
        <w:pStyle w:val="Heading2"/>
      </w:pPr>
      <w:bookmarkStart w:id="26" w:name="_Toc141967057"/>
      <w:bookmarkStart w:id="27" w:name="_Toc150603076"/>
      <w:r>
        <w:lastRenderedPageBreak/>
        <w:t>Agreements</w:t>
      </w:r>
      <w:bookmarkEnd w:id="26"/>
      <w:bookmarkEnd w:id="27"/>
    </w:p>
    <w:p w14:paraId="77427373" w14:textId="4D74A740" w:rsidR="00F41AE1" w:rsidRPr="00F41AE1" w:rsidRDefault="00F41AE1" w:rsidP="00F41AE1">
      <w:pPr>
        <w:pStyle w:val="BodyText"/>
      </w:pPr>
      <w:r>
        <w:t>NZ Government agencies are required to meet agreed agreements the government has committed the country to upholding.</w:t>
      </w:r>
    </w:p>
    <w:p w14:paraId="46AB20F8" w14:textId="2E1C9CA1" w:rsidR="004A26FC" w:rsidRPr="004A26FC" w:rsidRDefault="004A26FC" w:rsidP="007A7054">
      <w:pPr>
        <w:pStyle w:val="Heading3"/>
      </w:pPr>
      <w:bookmarkStart w:id="28" w:name="_Toc150603077"/>
      <w:r>
        <w:t>International</w:t>
      </w:r>
      <w:bookmarkEnd w:id="28"/>
    </w:p>
    <w:p w14:paraId="15ED57EA" w14:textId="77777777" w:rsidR="003C3E5C" w:rsidRDefault="003C3E5C" w:rsidP="003C3E5C">
      <w:pPr>
        <w:pStyle w:val="BodyText"/>
      </w:pPr>
      <w:r>
        <w:t>The NZ Government is a member of the United Nations (UN) and must meet its member obligations and uphold its commitments, including adhering to the following inclusion principles:</w:t>
      </w:r>
    </w:p>
    <w:p w14:paraId="4D525D9C" w14:textId="7A936129" w:rsidR="003C3E5C" w:rsidRPr="00E46989" w:rsidRDefault="003C3E5C" w:rsidP="00F60D20">
      <w:pPr>
        <w:pStyle w:val="Caption"/>
      </w:pPr>
      <w:bookmarkStart w:id="29" w:name="_Toc141966715"/>
      <w:bookmarkStart w:id="30" w:name="_Toc150607167"/>
      <w:r>
        <w:t xml:space="preserve">Table </w:t>
      </w:r>
      <w:fldSimple w:instr=" SEQ Table \* ARABIC ">
        <w:r>
          <w:rPr>
            <w:noProof/>
          </w:rPr>
          <w:t>3</w:t>
        </w:r>
      </w:fldSimple>
      <w:r>
        <w:t>: International Agreements</w:t>
      </w:r>
      <w:bookmarkEnd w:id="29"/>
      <w:bookmarkEnd w:id="30"/>
    </w:p>
    <w:tbl>
      <w:tblPr>
        <w:tblStyle w:val="Table-Default-Blue"/>
        <w:tblW w:w="0" w:type="auto"/>
        <w:tblLook w:val="04A0" w:firstRow="1" w:lastRow="0" w:firstColumn="1" w:lastColumn="0" w:noHBand="0" w:noVBand="1"/>
      </w:tblPr>
      <w:tblGrid>
        <w:gridCol w:w="9524"/>
      </w:tblGrid>
      <w:tr w:rsidR="00E46989" w:rsidRPr="00E46989" w14:paraId="25B19C82" w14:textId="77777777" w:rsidTr="00E46989">
        <w:trPr>
          <w:cnfStyle w:val="100000000000" w:firstRow="1" w:lastRow="0" w:firstColumn="0" w:lastColumn="0" w:oddVBand="0" w:evenVBand="0" w:oddHBand="0" w:evenHBand="0" w:firstRowFirstColumn="0" w:firstRowLastColumn="0" w:lastRowFirstColumn="0" w:lastRowLastColumn="0"/>
        </w:trPr>
        <w:tc>
          <w:tcPr>
            <w:tcW w:w="9628" w:type="dxa"/>
          </w:tcPr>
          <w:p w14:paraId="1CCDFEB8" w14:textId="1EF0188D" w:rsidR="00E46989" w:rsidRPr="00E46989" w:rsidRDefault="00E46989" w:rsidP="00E46989">
            <w:r w:rsidRPr="00E46989">
              <w:t>International Agreements</w:t>
            </w:r>
          </w:p>
        </w:tc>
      </w:tr>
      <w:tr w:rsidR="003C3E5C" w14:paraId="642223F3" w14:textId="77777777" w:rsidTr="00E46989">
        <w:trPr>
          <w:cnfStyle w:val="000000100000" w:firstRow="0" w:lastRow="0" w:firstColumn="0" w:lastColumn="0" w:oddVBand="0" w:evenVBand="0" w:oddHBand="1" w:evenHBand="0" w:firstRowFirstColumn="0" w:firstRowLastColumn="0" w:lastRowFirstColumn="0" w:lastRowLastColumn="0"/>
        </w:trPr>
        <w:tc>
          <w:tcPr>
            <w:tcW w:w="9628" w:type="dxa"/>
          </w:tcPr>
          <w:p w14:paraId="6BDE0CF3" w14:textId="77777777" w:rsidR="003C3E5C" w:rsidRPr="004745DE" w:rsidRDefault="003C3E5C" w:rsidP="004745DE">
            <w:pPr>
              <w:rPr>
                <w:b/>
                <w:bCs/>
              </w:rPr>
            </w:pPr>
            <w:r w:rsidRPr="004745DE">
              <w:rPr>
                <w:b/>
                <w:bCs/>
              </w:rPr>
              <w:t xml:space="preserve">Universal Design principles: </w:t>
            </w:r>
          </w:p>
          <w:p w14:paraId="40A3B9F8" w14:textId="2199AA1E" w:rsidR="003C3E5C" w:rsidRPr="00207263" w:rsidRDefault="003C3E5C" w:rsidP="005157AF">
            <w:pPr>
              <w:pStyle w:val="BodyText"/>
            </w:pPr>
            <w:r>
              <w:t xml:space="preserve">promoting equitably accessible, flexible, </w:t>
            </w:r>
            <w:r w:rsidR="007A7054">
              <w:t>intuitive,</w:t>
            </w:r>
            <w:r>
              <w:t xml:space="preserve"> and simple use that is forgiving of errors, avoiding reliance on special attributes.</w:t>
            </w:r>
          </w:p>
        </w:tc>
      </w:tr>
      <w:tr w:rsidR="003C3E5C" w14:paraId="0CD8577F" w14:textId="77777777" w:rsidTr="00E46989">
        <w:trPr>
          <w:cnfStyle w:val="000000010000" w:firstRow="0" w:lastRow="0" w:firstColumn="0" w:lastColumn="0" w:oddVBand="0" w:evenVBand="0" w:oddHBand="0" w:evenHBand="1" w:firstRowFirstColumn="0" w:firstRowLastColumn="0" w:lastRowFirstColumn="0" w:lastRowLastColumn="0"/>
        </w:trPr>
        <w:tc>
          <w:tcPr>
            <w:tcW w:w="9628" w:type="dxa"/>
          </w:tcPr>
          <w:p w14:paraId="0CCA1EB6" w14:textId="77777777" w:rsidR="003C3E5C" w:rsidRPr="004745DE" w:rsidRDefault="003C3E5C" w:rsidP="004745DE">
            <w:pPr>
              <w:rPr>
                <w:b/>
                <w:bCs/>
              </w:rPr>
            </w:pPr>
            <w:r w:rsidRPr="004745DE">
              <w:rPr>
                <w:b/>
                <w:bCs/>
              </w:rPr>
              <w:t>United Nations Declaration of the Rights of Indigenous People (UNDRIP)</w:t>
            </w:r>
          </w:p>
          <w:p w14:paraId="4108E224" w14:textId="6CF080A3" w:rsidR="003C3E5C" w:rsidRPr="00207263" w:rsidRDefault="003C3E5C" w:rsidP="005157AF">
            <w:pPr>
              <w:pStyle w:val="BodyText"/>
            </w:pPr>
            <w:r>
              <w:t xml:space="preserve">New Zealand has accepted UNDRIP ass a non-legally binding document and been a signatory since 2010. UNDRIP establishes a universal framework of minimum standards for the survival, </w:t>
            </w:r>
            <w:r w:rsidR="000F00CE">
              <w:t>dignity,</w:t>
            </w:r>
            <w:r>
              <w:t xml:space="preserve"> and well-being of the Indigenous peoples of the world and it elaborates on existing human rights standards and fundamental freedoms as they apply to indigenous peoples.</w:t>
            </w:r>
          </w:p>
        </w:tc>
      </w:tr>
      <w:tr w:rsidR="003C3E5C" w14:paraId="2AE59C57" w14:textId="77777777" w:rsidTr="00E46989">
        <w:trPr>
          <w:cnfStyle w:val="000000100000" w:firstRow="0" w:lastRow="0" w:firstColumn="0" w:lastColumn="0" w:oddVBand="0" w:evenVBand="0" w:oddHBand="1" w:evenHBand="0" w:firstRowFirstColumn="0" w:firstRowLastColumn="0" w:lastRowFirstColumn="0" w:lastRowLastColumn="0"/>
        </w:trPr>
        <w:tc>
          <w:tcPr>
            <w:tcW w:w="9628" w:type="dxa"/>
          </w:tcPr>
          <w:p w14:paraId="62A16380" w14:textId="54B5C0FE" w:rsidR="003C3E5C" w:rsidRPr="004745DE" w:rsidRDefault="003C3E5C" w:rsidP="004745DE">
            <w:pPr>
              <w:rPr>
                <w:b/>
                <w:bCs/>
              </w:rPr>
            </w:pPr>
            <w:r w:rsidRPr="004745DE">
              <w:rPr>
                <w:b/>
                <w:bCs/>
              </w:rPr>
              <w:t>United Nations Convention on the Rights of the Child</w:t>
            </w:r>
            <w:r w:rsidR="00E059ED">
              <w:rPr>
                <w:rStyle w:val="FootnoteReference"/>
                <w:b/>
                <w:bCs/>
              </w:rPr>
              <w:footnoteReference w:id="18"/>
            </w:r>
          </w:p>
          <w:p w14:paraId="64730076" w14:textId="77777777" w:rsidR="003C3E5C" w:rsidRDefault="003C3E5C" w:rsidP="004745DE">
            <w:pPr>
              <w:rPr>
                <w:b/>
              </w:rPr>
            </w:pPr>
            <w:r w:rsidRPr="004745DE">
              <w:t xml:space="preserve">New Zealand is a signatory to the UNCRC since 1993. Every child has the right to survival, </w:t>
            </w:r>
            <w:proofErr w:type="gramStart"/>
            <w:r w:rsidRPr="004745DE">
              <w:t>protection</w:t>
            </w:r>
            <w:proofErr w:type="gramEnd"/>
            <w:r w:rsidRPr="004745DE">
              <w:t xml:space="preserve"> and education, and to have their voice heard.</w:t>
            </w:r>
          </w:p>
        </w:tc>
      </w:tr>
      <w:tr w:rsidR="003C3E5C" w14:paraId="08BF6444" w14:textId="77777777" w:rsidTr="00E46989">
        <w:trPr>
          <w:cnfStyle w:val="000000010000" w:firstRow="0" w:lastRow="0" w:firstColumn="0" w:lastColumn="0" w:oddVBand="0" w:evenVBand="0" w:oddHBand="0" w:evenHBand="1" w:firstRowFirstColumn="0" w:firstRowLastColumn="0" w:lastRowFirstColumn="0" w:lastRowLastColumn="0"/>
        </w:trPr>
        <w:tc>
          <w:tcPr>
            <w:tcW w:w="9628" w:type="dxa"/>
          </w:tcPr>
          <w:p w14:paraId="45AB778B" w14:textId="535817D0" w:rsidR="003C3E5C" w:rsidRPr="004745DE" w:rsidRDefault="003C3E5C" w:rsidP="004745DE">
            <w:pPr>
              <w:rPr>
                <w:b/>
                <w:bCs/>
              </w:rPr>
            </w:pPr>
            <w:r w:rsidRPr="004745DE">
              <w:rPr>
                <w:b/>
                <w:bCs/>
              </w:rPr>
              <w:t>United Nations Convention on the Rights of Persons with Disabilities</w:t>
            </w:r>
            <w:r w:rsidR="00E059ED">
              <w:rPr>
                <w:rStyle w:val="FootnoteReference"/>
                <w:b/>
                <w:bCs/>
              </w:rPr>
              <w:footnoteReference w:id="19"/>
            </w:r>
          </w:p>
          <w:p w14:paraId="722F6088" w14:textId="77777777" w:rsidR="003C3E5C" w:rsidRDefault="003C3E5C" w:rsidP="005157AF">
            <w:pPr>
              <w:pStyle w:val="BodyText"/>
            </w:pPr>
            <w:r>
              <w:t xml:space="preserve">Since 2008 NZ has been a signatory of the convention </w:t>
            </w:r>
            <w:r w:rsidRPr="00AA5569">
              <w:t>to promote, protect and ensure the full and equal enjoyment of all human rights and fundamental freedoms by all persons with disabilities, and to promote respect for their inherent dignity.</w:t>
            </w:r>
          </w:p>
          <w:p w14:paraId="5E15E357" w14:textId="59BF256D" w:rsidR="004A26FC" w:rsidRPr="00177D66" w:rsidRDefault="004A26FC" w:rsidP="005157AF">
            <w:pPr>
              <w:pStyle w:val="BodyText"/>
            </w:pPr>
          </w:p>
        </w:tc>
      </w:tr>
    </w:tbl>
    <w:p w14:paraId="6FDF5739" w14:textId="1A290683" w:rsidR="008954BC" w:rsidRDefault="008954BC" w:rsidP="004A26FC">
      <w:pPr>
        <w:pStyle w:val="Heading3"/>
      </w:pPr>
      <w:bookmarkStart w:id="31" w:name="_Toc150603078"/>
      <w:r>
        <w:t>Sanctions</w:t>
      </w:r>
      <w:bookmarkEnd w:id="31"/>
    </w:p>
    <w:p w14:paraId="715E7087" w14:textId="7B7282C3" w:rsidR="00794B53" w:rsidRDefault="008954BC" w:rsidP="008954BC">
      <w:pPr>
        <w:pStyle w:val="BodyText"/>
        <w:rPr>
          <w:rFonts w:cs="Arial"/>
          <w:color w:val="000000"/>
          <w:shd w:val="clear" w:color="auto" w:fill="FFFFFF"/>
        </w:rPr>
      </w:pPr>
      <w:r>
        <w:rPr>
          <w:rFonts w:cs="Arial"/>
          <w:color w:val="000000"/>
          <w:shd w:val="clear" w:color="auto" w:fill="FFFFFF"/>
        </w:rPr>
        <w:t xml:space="preserve">New Zealand’s has </w:t>
      </w:r>
      <w:r w:rsidR="006654C3">
        <w:rPr>
          <w:rFonts w:cs="Arial"/>
          <w:color w:val="000000"/>
          <w:shd w:val="clear" w:color="auto" w:fill="FFFFFF"/>
        </w:rPr>
        <w:t xml:space="preserve">current </w:t>
      </w:r>
      <w:r>
        <w:rPr>
          <w:rFonts w:cs="Arial"/>
          <w:color w:val="000000"/>
          <w:shd w:val="clear" w:color="auto" w:fill="FFFFFF"/>
        </w:rPr>
        <w:t xml:space="preserve">sanctions against Iran, North Korea, etc., </w:t>
      </w:r>
      <w:r w:rsidR="006654C3">
        <w:rPr>
          <w:rFonts w:cs="Arial"/>
          <w:color w:val="000000"/>
          <w:shd w:val="clear" w:color="auto" w:fill="FFFFFF"/>
        </w:rPr>
        <w:t>in specific domains</w:t>
      </w:r>
      <w:r w:rsidR="00794B53">
        <w:rPr>
          <w:rFonts w:cs="Arial"/>
          <w:color w:val="000000"/>
          <w:shd w:val="clear" w:color="auto" w:fill="FFFFFF"/>
        </w:rPr>
        <w:t>.</w:t>
      </w:r>
    </w:p>
    <w:p w14:paraId="38E767C9" w14:textId="2ED3DA18" w:rsidR="008954BC" w:rsidRPr="008954BC" w:rsidRDefault="00794B53" w:rsidP="00794B53">
      <w:pPr>
        <w:pStyle w:val="Note"/>
        <w:rPr>
          <w:shd w:val="clear" w:color="auto" w:fill="FFFFFF"/>
        </w:rPr>
      </w:pPr>
      <w:r>
        <w:rPr>
          <w:shd w:val="clear" w:color="auto" w:fill="FFFFFF"/>
        </w:rPr>
        <w:t>Note:</w:t>
      </w:r>
      <w:r>
        <w:rPr>
          <w:shd w:val="clear" w:color="auto" w:fill="FFFFFF"/>
        </w:rPr>
        <w:br/>
      </w:r>
      <w:r w:rsidR="008954BC">
        <w:rPr>
          <w:shd w:val="clear" w:color="auto" w:fill="FFFFFF"/>
        </w:rPr>
        <w:t xml:space="preserve">none </w:t>
      </w:r>
      <w:r>
        <w:rPr>
          <w:shd w:val="clear" w:color="auto" w:fill="FFFFFF"/>
        </w:rPr>
        <w:t xml:space="preserve">currently </w:t>
      </w:r>
      <w:r w:rsidR="008954BC">
        <w:rPr>
          <w:shd w:val="clear" w:color="auto" w:fill="FFFFFF"/>
        </w:rPr>
        <w:t xml:space="preserve">that overlap with the domain of education. </w:t>
      </w:r>
    </w:p>
    <w:p w14:paraId="4392AEAF" w14:textId="45F1FF63" w:rsidR="00872BBE" w:rsidRDefault="00872BBE" w:rsidP="004A26FC">
      <w:pPr>
        <w:pStyle w:val="Heading3"/>
      </w:pPr>
      <w:bookmarkStart w:id="32" w:name="_Toc150603079"/>
      <w:r>
        <w:lastRenderedPageBreak/>
        <w:t>Other</w:t>
      </w:r>
      <w:bookmarkEnd w:id="32"/>
      <w:r>
        <w:t xml:space="preserve"> </w:t>
      </w:r>
    </w:p>
    <w:p w14:paraId="4EABE973" w14:textId="06E2F61E" w:rsidR="00872BBE" w:rsidRPr="00872BBE" w:rsidRDefault="00872BBE" w:rsidP="00872BBE">
      <w:pPr>
        <w:pStyle w:val="BodyText"/>
      </w:pPr>
      <w:r>
        <w:t>Other agreements may exist or develop at a national, sector or organisational level and should be investigated at the start of projects.</w:t>
      </w:r>
    </w:p>
    <w:p w14:paraId="01057A2F" w14:textId="77777777" w:rsidR="003C3E5C" w:rsidRDefault="003C3E5C" w:rsidP="004A26FC">
      <w:pPr>
        <w:pStyle w:val="Heading2"/>
      </w:pPr>
      <w:bookmarkStart w:id="33" w:name="_Toc141967058"/>
      <w:bookmarkStart w:id="34" w:name="_Toc150603080"/>
      <w:r>
        <w:t>Commitments</w:t>
      </w:r>
      <w:bookmarkEnd w:id="33"/>
      <w:bookmarkEnd w:id="34"/>
    </w:p>
    <w:p w14:paraId="61D99ADF" w14:textId="5E1B8945" w:rsidR="00FF1DE5" w:rsidRDefault="00FF1DE5" w:rsidP="00B53946">
      <w:pPr>
        <w:pStyle w:val="Heading3"/>
      </w:pPr>
      <w:bookmarkStart w:id="35" w:name="_Toc150603081"/>
      <w:r>
        <w:t>Binding</w:t>
      </w:r>
      <w:bookmarkEnd w:id="35"/>
    </w:p>
    <w:p w14:paraId="372546B1" w14:textId="5CDEB2AE" w:rsidR="00FF1DE5" w:rsidRPr="006654C3" w:rsidRDefault="00FF1DE5" w:rsidP="00FF1DE5">
      <w:pPr>
        <w:pStyle w:val="BodyText"/>
        <w:rPr>
          <w:rFonts w:ascii="Fira Sans" w:hAnsi="Fira Sans"/>
          <w:color w:val="343A3F"/>
          <w:shd w:val="clear" w:color="auto" w:fill="FFFFFF"/>
        </w:rPr>
      </w:pPr>
      <w:r>
        <w:t>As a member of the WTO</w:t>
      </w:r>
      <w:r w:rsidR="00E059ED">
        <w:rPr>
          <w:rStyle w:val="FootnoteReference"/>
        </w:rPr>
        <w:footnoteReference w:id="20"/>
      </w:r>
      <w:r>
        <w:t>, and signatory of the TBT, we are bound by WTO’s Code of Practice, to use international standards where applicable</w:t>
      </w:r>
      <w:r w:rsidR="00E059ED">
        <w:rPr>
          <w:rStyle w:val="FootnoteReference"/>
        </w:rPr>
        <w:footnoteReference w:id="21"/>
      </w:r>
      <w:r>
        <w:rPr>
          <w:rFonts w:ascii="Fira Sans" w:hAnsi="Fira Sans"/>
          <w:color w:val="343A3F"/>
          <w:shd w:val="clear" w:color="auto" w:fill="FFFFFF"/>
        </w:rPr>
        <w:t>.  These international standards generally reflect the best practice of industry and regulators worldwide and cover conditions in a variety of countries.</w:t>
      </w:r>
    </w:p>
    <w:p w14:paraId="032891EE" w14:textId="61BBB55C" w:rsidR="00B53946" w:rsidRDefault="00B53946" w:rsidP="00B53946">
      <w:pPr>
        <w:pStyle w:val="Heading3"/>
      </w:pPr>
      <w:bookmarkStart w:id="36" w:name="_Toc150603082"/>
      <w:r>
        <w:t>Non</w:t>
      </w:r>
      <w:r w:rsidR="006654C3">
        <w:t>-</w:t>
      </w:r>
      <w:r>
        <w:t>Binding</w:t>
      </w:r>
      <w:bookmarkEnd w:id="36"/>
    </w:p>
    <w:p w14:paraId="4A2D0B14" w14:textId="34575ACE" w:rsidR="003C3E5C" w:rsidRDefault="003C3E5C" w:rsidP="003C3E5C">
      <w:pPr>
        <w:pStyle w:val="BodyText"/>
      </w:pPr>
      <w:r>
        <w:t xml:space="preserve">While not Obligated, </w:t>
      </w:r>
      <w:r w:rsidR="00443FA0">
        <w:t xml:space="preserve">nor formal Agreements, </w:t>
      </w:r>
      <w:r>
        <w:t xml:space="preserve">the following are </w:t>
      </w:r>
      <w:r w:rsidR="00443FA0">
        <w:t xml:space="preserve">non-binding </w:t>
      </w:r>
      <w:r>
        <w:t>Commitments that are expected to be upheld by services offered by government agencies.</w:t>
      </w:r>
    </w:p>
    <w:p w14:paraId="0D092C3D" w14:textId="00416360" w:rsidR="002D7149" w:rsidRPr="002D7149" w:rsidRDefault="002D7149" w:rsidP="002D7149">
      <w:pPr>
        <w:pStyle w:val="Heading4"/>
      </w:pPr>
      <w:bookmarkStart w:id="37" w:name="_Toc150603083"/>
      <w:r>
        <w:t xml:space="preserve">International: </w:t>
      </w:r>
      <w:r w:rsidRPr="004745DE">
        <w:t>United Nations Declaration of the Rights of Indigenous People (UNDRIP)</w:t>
      </w:r>
      <w:r>
        <w:rPr>
          <w:rStyle w:val="FootnoteReference"/>
          <w:b w:val="0"/>
          <w:bCs/>
        </w:rPr>
        <w:footnoteReference w:id="22"/>
      </w:r>
      <w:bookmarkEnd w:id="37"/>
    </w:p>
    <w:p w14:paraId="175AAF70" w14:textId="33F2DDC1" w:rsidR="002D7149" w:rsidRDefault="002D7149" w:rsidP="002D7149">
      <w:pPr>
        <w:pStyle w:val="BodyText"/>
      </w:pPr>
      <w:r>
        <w:t xml:space="preserve">New Zealand has accepted UNDRIP ass a non-legally binding document and been a supporter since 2010. </w:t>
      </w:r>
      <w:r>
        <w:br/>
        <w:t xml:space="preserve">UNDRIP establishes a universal framework of minimum standards for the survival, </w:t>
      </w:r>
      <w:proofErr w:type="gramStart"/>
      <w:r>
        <w:t>dignity</w:t>
      </w:r>
      <w:proofErr w:type="gramEnd"/>
      <w:r>
        <w:t xml:space="preserve"> and well-being of the Indigenous peoples of the world and it elaborates on existing human rights standards and fundamental freedoms as they apply to indigenous peoples.</w:t>
      </w:r>
    </w:p>
    <w:p w14:paraId="0FF1F883" w14:textId="77777777" w:rsidR="002D7149" w:rsidRDefault="002D7149" w:rsidP="002D7149">
      <w:pPr>
        <w:pStyle w:val="Heading4"/>
      </w:pPr>
      <w:bookmarkStart w:id="38" w:name="_Toc141967059"/>
      <w:bookmarkStart w:id="39" w:name="_Toc150603084"/>
      <w:r>
        <w:t xml:space="preserve">National Commitments: Te Mana </w:t>
      </w:r>
      <w:proofErr w:type="spellStart"/>
      <w:r>
        <w:t>Raraunga</w:t>
      </w:r>
      <w:bookmarkEnd w:id="38"/>
      <w:proofErr w:type="spellEnd"/>
      <w:r>
        <w:rPr>
          <w:rStyle w:val="FootnoteReference"/>
        </w:rPr>
        <w:footnoteReference w:id="23"/>
      </w:r>
      <w:bookmarkEnd w:id="39"/>
    </w:p>
    <w:p w14:paraId="50D7620D" w14:textId="77777777" w:rsidR="002D7149" w:rsidRDefault="002D7149" w:rsidP="002D7149">
      <w:pPr>
        <w:pStyle w:val="BodyText"/>
      </w:pPr>
      <w:r>
        <w:t xml:space="preserve">The Government has made non-binding commitments to actively try to implement Māori Data Sovereignty (MDS) objectives where possible. </w:t>
      </w:r>
    </w:p>
    <w:p w14:paraId="71D969DB" w14:textId="77777777" w:rsidR="002D7149" w:rsidRDefault="002D7149" w:rsidP="002D7149">
      <w:pPr>
        <w:pStyle w:val="BodyText"/>
      </w:pPr>
      <w:r>
        <w:t>MDS recognises that Māori data should be subject to Māori governance. Māori data sovereignty supports tribal sovereignty.</w:t>
      </w:r>
    </w:p>
    <w:p w14:paraId="3CBEEE4B" w14:textId="77777777" w:rsidR="002D7149" w:rsidRDefault="002D7149" w:rsidP="002D7149">
      <w:pPr>
        <w:pStyle w:val="Note"/>
      </w:pPr>
      <w:r>
        <w:t xml:space="preserve">While governance of data by Māori is addressed by the establishment of </w:t>
      </w:r>
      <w:r w:rsidRPr="00BB6539">
        <w:rPr>
          <w:i w:val="0"/>
        </w:rPr>
        <w:t xml:space="preserve">Te Rito </w:t>
      </w:r>
      <w:proofErr w:type="spellStart"/>
      <w:r w:rsidRPr="00BB6539">
        <w:rPr>
          <w:i w:val="0"/>
        </w:rPr>
        <w:t>Kaitiakitanga</w:t>
      </w:r>
      <w:proofErr w:type="spellEnd"/>
      <w:r>
        <w:t xml:space="preserve"> (see below), the development of data storage infrastructure in NZ, managed by Māori or not, is not a current project objective due to envisioned latency impacts on all other users. </w:t>
      </w:r>
    </w:p>
    <w:p w14:paraId="57D1352E" w14:textId="77777777" w:rsidR="002D7149" w:rsidRPr="00E059ED" w:rsidRDefault="002D7149" w:rsidP="00E059ED">
      <w:pPr>
        <w:pStyle w:val="BodyText"/>
      </w:pPr>
    </w:p>
    <w:p w14:paraId="5328FA75" w14:textId="77777777" w:rsidR="003C3E5C" w:rsidRDefault="003C3E5C" w:rsidP="00F60D20">
      <w:pPr>
        <w:pStyle w:val="Heading2"/>
      </w:pPr>
      <w:bookmarkStart w:id="40" w:name="_Toc141967060"/>
      <w:bookmarkStart w:id="41" w:name="_Toc150603085"/>
      <w:r>
        <w:lastRenderedPageBreak/>
        <w:t>Standards</w:t>
      </w:r>
      <w:bookmarkEnd w:id="40"/>
      <w:bookmarkEnd w:id="41"/>
    </w:p>
    <w:p w14:paraId="0A9D0C35" w14:textId="113DF4A7" w:rsidR="00F60D20" w:rsidRPr="00DC4B69" w:rsidRDefault="00B53946" w:rsidP="00F60D20">
      <w:r w:rsidRPr="00F60D20">
        <w:t>As a member of the World Trade Organisation (WTO)</w:t>
      </w:r>
      <w:r w:rsidR="00F60D20" w:rsidRPr="00F60D20">
        <w:t>, and signee of The Agreement on Technical Barriers to Trade (TBT), New Zealand has made commitments to ensuring</w:t>
      </w:r>
      <w:r w:rsidR="00F60D20">
        <w:t xml:space="preserve"> </w:t>
      </w:r>
      <w:r w:rsidR="00F60D20" w:rsidRPr="00F60D20">
        <w:t>technical regulations, standards, and conformity assessment procedures are non-discriminatory and do not create unnecessary obstacles to trade.</w:t>
      </w:r>
      <w:r w:rsidR="00F60D20">
        <w:t xml:space="preserve"> </w:t>
      </w:r>
      <w:r w:rsidR="00F60D20" w:rsidRPr="00F60D20">
        <w:t xml:space="preserve">The TBT Agreement strongly encourages members to </w:t>
      </w:r>
      <w:r w:rsidR="00F60D20">
        <w:t xml:space="preserve">standardise </w:t>
      </w:r>
      <w:r w:rsidR="00F60D20" w:rsidRPr="00F60D20">
        <w:t>on international standards. </w:t>
      </w:r>
    </w:p>
    <w:p w14:paraId="0B22D1FD" w14:textId="77777777" w:rsidR="003C3E5C" w:rsidRDefault="003C3E5C" w:rsidP="003C3E5C">
      <w:pPr>
        <w:pStyle w:val="Heading3"/>
      </w:pPr>
      <w:bookmarkStart w:id="42" w:name="_Toc141967061"/>
      <w:bookmarkStart w:id="43" w:name="_Toc150603086"/>
      <w:r>
        <w:t>International ICT Standards</w:t>
      </w:r>
      <w:bookmarkEnd w:id="42"/>
      <w:bookmarkEnd w:id="43"/>
    </w:p>
    <w:p w14:paraId="51DE7D59" w14:textId="77777777" w:rsidR="003C3E5C" w:rsidRDefault="003C3E5C" w:rsidP="003C3E5C">
      <w:pPr>
        <w:pStyle w:val="BodyText"/>
      </w:pPr>
      <w:r>
        <w:t>Government projects are expected to reduce risk by reducing the reliance on novel processes and approaches, using internationally agreed standards first.</w:t>
      </w:r>
    </w:p>
    <w:p w14:paraId="5F7BA023" w14:textId="77777777" w:rsidR="003C3E5C" w:rsidRDefault="003C3E5C" w:rsidP="003C3E5C">
      <w:pPr>
        <w:pStyle w:val="BodyText"/>
      </w:pPr>
      <w:r>
        <w:t>These include, but are not limited to the following:</w:t>
      </w:r>
    </w:p>
    <w:p w14:paraId="24BB52A2" w14:textId="77777777" w:rsidR="003C3E5C" w:rsidRDefault="003C3E5C" w:rsidP="003C3E5C">
      <w:pPr>
        <w:pStyle w:val="Caption"/>
        <w:keepNext/>
      </w:pPr>
      <w:bookmarkStart w:id="44" w:name="_Toc141966716"/>
      <w:bookmarkStart w:id="45" w:name="_Toc150607168"/>
      <w:r>
        <w:t xml:space="preserve">Table </w:t>
      </w:r>
      <w:fldSimple w:instr=" SEQ Table \* ARABIC ">
        <w:r>
          <w:rPr>
            <w:noProof/>
          </w:rPr>
          <w:t>4</w:t>
        </w:r>
      </w:fldSimple>
      <w:r>
        <w:t>: Context View - ICT Standards</w:t>
      </w:r>
      <w:bookmarkEnd w:id="44"/>
      <w:bookmarkEnd w:id="45"/>
    </w:p>
    <w:tbl>
      <w:tblPr>
        <w:tblStyle w:val="Table-Default-Blue"/>
        <w:tblW w:w="0" w:type="auto"/>
        <w:tblLook w:val="04A0" w:firstRow="1" w:lastRow="0" w:firstColumn="1" w:lastColumn="0" w:noHBand="0" w:noVBand="1"/>
      </w:tblPr>
      <w:tblGrid>
        <w:gridCol w:w="9524"/>
      </w:tblGrid>
      <w:tr w:rsidR="00F41AE1" w14:paraId="4133BA2E" w14:textId="77777777" w:rsidTr="00872BBE">
        <w:trPr>
          <w:cnfStyle w:val="100000000000" w:firstRow="1" w:lastRow="0" w:firstColumn="0" w:lastColumn="0" w:oddVBand="0" w:evenVBand="0" w:oddHBand="0" w:evenHBand="0" w:firstRowFirstColumn="0" w:firstRowLastColumn="0" w:lastRowFirstColumn="0" w:lastRowLastColumn="0"/>
        </w:trPr>
        <w:tc>
          <w:tcPr>
            <w:tcW w:w="9628" w:type="dxa"/>
          </w:tcPr>
          <w:p w14:paraId="3AC20B2E" w14:textId="6362A7A8" w:rsidR="00F41AE1" w:rsidRPr="00F41AE1" w:rsidRDefault="00F41AE1" w:rsidP="00F41AE1">
            <w:r w:rsidRPr="00F41AE1">
              <w:t>ICT Standards</w:t>
            </w:r>
          </w:p>
        </w:tc>
      </w:tr>
      <w:tr w:rsidR="003C3E5C" w14:paraId="12CB4CF0" w14:textId="77777777" w:rsidTr="00872BBE">
        <w:trPr>
          <w:cnfStyle w:val="000000100000" w:firstRow="0" w:lastRow="0" w:firstColumn="0" w:lastColumn="0" w:oddVBand="0" w:evenVBand="0" w:oddHBand="1" w:evenHBand="0" w:firstRowFirstColumn="0" w:firstRowLastColumn="0" w:lastRowFirstColumn="0" w:lastRowLastColumn="0"/>
        </w:trPr>
        <w:tc>
          <w:tcPr>
            <w:tcW w:w="9628" w:type="dxa"/>
          </w:tcPr>
          <w:p w14:paraId="415DC441" w14:textId="77777777" w:rsidR="003C3E5C" w:rsidRPr="004745DE" w:rsidRDefault="003C3E5C" w:rsidP="004745DE">
            <w:pPr>
              <w:rPr>
                <w:b/>
                <w:bCs/>
              </w:rPr>
            </w:pPr>
            <w:r w:rsidRPr="004745DE">
              <w:rPr>
                <w:b/>
                <w:bCs/>
              </w:rPr>
              <w:t>ISO-9000</w:t>
            </w:r>
          </w:p>
          <w:p w14:paraId="453EBC51" w14:textId="77777777" w:rsidR="003C3E5C" w:rsidRDefault="003C3E5C" w:rsidP="005157AF">
            <w:pPr>
              <w:pStyle w:val="BodyText"/>
            </w:pPr>
            <w:r>
              <w:t>A set of 5 standards to manage Qualities of Delivery, Systems, Data. Operations.</w:t>
            </w:r>
          </w:p>
        </w:tc>
      </w:tr>
      <w:tr w:rsidR="003C3E5C" w14:paraId="3A0A23DD" w14:textId="77777777" w:rsidTr="00872BBE">
        <w:trPr>
          <w:cnfStyle w:val="000000010000" w:firstRow="0" w:lastRow="0" w:firstColumn="0" w:lastColumn="0" w:oddVBand="0" w:evenVBand="0" w:oddHBand="0" w:evenHBand="1" w:firstRowFirstColumn="0" w:firstRowLastColumn="0" w:lastRowFirstColumn="0" w:lastRowLastColumn="0"/>
        </w:trPr>
        <w:tc>
          <w:tcPr>
            <w:tcW w:w="9628" w:type="dxa"/>
          </w:tcPr>
          <w:p w14:paraId="1C53610A" w14:textId="77777777" w:rsidR="003C3E5C" w:rsidRPr="004745DE" w:rsidRDefault="003C3E5C" w:rsidP="004745DE">
            <w:pPr>
              <w:rPr>
                <w:b/>
                <w:bCs/>
              </w:rPr>
            </w:pPr>
            <w:r w:rsidRPr="004745DE">
              <w:rPr>
                <w:b/>
                <w:bCs/>
              </w:rPr>
              <w:t>ISO-12207 Software Life cycle processes</w:t>
            </w:r>
          </w:p>
          <w:p w14:paraId="45BE8BE8" w14:textId="113CAC5B" w:rsidR="003C3E5C" w:rsidRPr="003B1441" w:rsidRDefault="003C3E5C" w:rsidP="005157AF">
            <w:pPr>
              <w:pStyle w:val="BodyText"/>
            </w:pPr>
            <w:r>
              <w:t xml:space="preserve">A standards-based description of the processes, </w:t>
            </w:r>
            <w:r w:rsidR="000F00CE">
              <w:t>artefacts,</w:t>
            </w:r>
            <w:r>
              <w:t xml:space="preserve"> and deliverables to follow to decrease risk of delivery system or software. See ISO-29110.</w:t>
            </w:r>
          </w:p>
        </w:tc>
      </w:tr>
      <w:tr w:rsidR="003C3E5C" w14:paraId="7927875F" w14:textId="77777777" w:rsidTr="00872BBE">
        <w:trPr>
          <w:cnfStyle w:val="000000100000" w:firstRow="0" w:lastRow="0" w:firstColumn="0" w:lastColumn="0" w:oddVBand="0" w:evenVBand="0" w:oddHBand="1" w:evenHBand="0" w:firstRowFirstColumn="0" w:firstRowLastColumn="0" w:lastRowFirstColumn="0" w:lastRowLastColumn="0"/>
        </w:trPr>
        <w:tc>
          <w:tcPr>
            <w:tcW w:w="9628" w:type="dxa"/>
          </w:tcPr>
          <w:p w14:paraId="320EB44C" w14:textId="77777777" w:rsidR="003C3E5C" w:rsidRPr="004745DE" w:rsidRDefault="003C3E5C" w:rsidP="004745DE">
            <w:pPr>
              <w:rPr>
                <w:b/>
                <w:bCs/>
              </w:rPr>
            </w:pPr>
            <w:r w:rsidRPr="004745DE">
              <w:rPr>
                <w:b/>
                <w:bCs/>
              </w:rPr>
              <w:t>ISO-15288 Processes and Lifecycle stages</w:t>
            </w:r>
          </w:p>
        </w:tc>
      </w:tr>
      <w:tr w:rsidR="003C3E5C" w14:paraId="2426F41A" w14:textId="77777777" w:rsidTr="00872BBE">
        <w:trPr>
          <w:cnfStyle w:val="000000010000" w:firstRow="0" w:lastRow="0" w:firstColumn="0" w:lastColumn="0" w:oddVBand="0" w:evenVBand="0" w:oddHBand="0" w:evenHBand="1" w:firstRowFirstColumn="0" w:firstRowLastColumn="0" w:lastRowFirstColumn="0" w:lastRowLastColumn="0"/>
        </w:trPr>
        <w:tc>
          <w:tcPr>
            <w:tcW w:w="9628" w:type="dxa"/>
          </w:tcPr>
          <w:p w14:paraId="7C813774" w14:textId="77777777" w:rsidR="003C3E5C" w:rsidRPr="004745DE" w:rsidRDefault="003C3E5C" w:rsidP="004745DE">
            <w:pPr>
              <w:rPr>
                <w:b/>
                <w:bCs/>
              </w:rPr>
            </w:pPr>
            <w:r w:rsidRPr="004745DE">
              <w:rPr>
                <w:b/>
                <w:bCs/>
              </w:rPr>
              <w:t>ISO-15289: Information Item Development during system lifecycles</w:t>
            </w:r>
          </w:p>
          <w:p w14:paraId="0439455F" w14:textId="77777777" w:rsidR="003C3E5C" w:rsidRDefault="003C3E5C" w:rsidP="005157AF">
            <w:pPr>
              <w:pStyle w:val="BodyText"/>
            </w:pPr>
            <w:r>
              <w:t>In essence describes the types of information artefacts (requirements, design, information, schemas, test definitions, change control processes, etc.) that benefit the delivery of systems.</w:t>
            </w:r>
          </w:p>
        </w:tc>
      </w:tr>
      <w:tr w:rsidR="003C3E5C" w14:paraId="78F705AA" w14:textId="77777777" w:rsidTr="00872BBE">
        <w:trPr>
          <w:cnfStyle w:val="000000100000" w:firstRow="0" w:lastRow="0" w:firstColumn="0" w:lastColumn="0" w:oddVBand="0" w:evenVBand="0" w:oddHBand="1" w:evenHBand="0" w:firstRowFirstColumn="0" w:firstRowLastColumn="0" w:lastRowFirstColumn="0" w:lastRowLastColumn="0"/>
        </w:trPr>
        <w:tc>
          <w:tcPr>
            <w:tcW w:w="9628" w:type="dxa"/>
          </w:tcPr>
          <w:p w14:paraId="056F51D4" w14:textId="77777777" w:rsidR="003C3E5C" w:rsidRPr="004745DE" w:rsidRDefault="003C3E5C" w:rsidP="004745DE">
            <w:pPr>
              <w:rPr>
                <w:b/>
                <w:bCs/>
              </w:rPr>
            </w:pPr>
            <w:r w:rsidRPr="004745DE">
              <w:rPr>
                <w:b/>
                <w:bCs/>
              </w:rPr>
              <w:t>ISO-29110: System and Software Lifecycle Profiles &amp; Guidelines for Very Small Entities</w:t>
            </w:r>
          </w:p>
          <w:p w14:paraId="1AA2F754" w14:textId="77777777" w:rsidR="003C3E5C" w:rsidRDefault="003C3E5C" w:rsidP="005157AF">
            <w:pPr>
              <w:pStyle w:val="BodyText"/>
            </w:pPr>
            <w:r>
              <w:t xml:space="preserve">In essence, describes Agile processes, artefacts and expected deliverables as an internationally agreed standard, </w:t>
            </w:r>
          </w:p>
        </w:tc>
      </w:tr>
      <w:tr w:rsidR="003C3E5C" w14:paraId="51F27642" w14:textId="77777777" w:rsidTr="00872BBE">
        <w:trPr>
          <w:cnfStyle w:val="000000010000" w:firstRow="0" w:lastRow="0" w:firstColumn="0" w:lastColumn="0" w:oddVBand="0" w:evenVBand="0" w:oddHBand="0" w:evenHBand="1" w:firstRowFirstColumn="0" w:firstRowLastColumn="0" w:lastRowFirstColumn="0" w:lastRowLastColumn="0"/>
        </w:trPr>
        <w:tc>
          <w:tcPr>
            <w:tcW w:w="9628" w:type="dxa"/>
          </w:tcPr>
          <w:p w14:paraId="37A134C8" w14:textId="77777777" w:rsidR="003C3E5C" w:rsidRPr="004745DE" w:rsidRDefault="003C3E5C" w:rsidP="004745DE">
            <w:pPr>
              <w:rPr>
                <w:b/>
                <w:bCs/>
              </w:rPr>
            </w:pPr>
            <w:r w:rsidRPr="004745DE">
              <w:rPr>
                <w:b/>
                <w:bCs/>
              </w:rPr>
              <w:t>ISO-42010: System and Software Architecture Description</w:t>
            </w:r>
          </w:p>
          <w:p w14:paraId="3E72B765" w14:textId="77777777" w:rsidR="003C3E5C" w:rsidRDefault="003C3E5C" w:rsidP="005157AF">
            <w:pPr>
              <w:pStyle w:val="BodyText"/>
            </w:pPr>
            <w:r>
              <w:t>Design documentation benefit by following internationally understood conventions of breaking down complex models into distinct views/chapters for the benefit of specific stakeholders. This convention is followed to develop SADs such as this document.</w:t>
            </w:r>
          </w:p>
        </w:tc>
      </w:tr>
      <w:tr w:rsidR="003C3E5C" w14:paraId="0A527DD0" w14:textId="77777777" w:rsidTr="00872BBE">
        <w:trPr>
          <w:cnfStyle w:val="000000100000" w:firstRow="0" w:lastRow="0" w:firstColumn="0" w:lastColumn="0" w:oddVBand="0" w:evenVBand="0" w:oddHBand="1" w:evenHBand="0" w:firstRowFirstColumn="0" w:firstRowLastColumn="0" w:lastRowFirstColumn="0" w:lastRowLastColumn="0"/>
        </w:trPr>
        <w:tc>
          <w:tcPr>
            <w:tcW w:w="9628" w:type="dxa"/>
          </w:tcPr>
          <w:p w14:paraId="5DAF9046" w14:textId="0ED7FF24" w:rsidR="003C3E5C" w:rsidRPr="004745DE" w:rsidRDefault="003C3E5C" w:rsidP="004745DE">
            <w:pPr>
              <w:rPr>
                <w:b/>
                <w:bCs/>
              </w:rPr>
            </w:pPr>
            <w:r w:rsidRPr="004745DE">
              <w:rPr>
                <w:b/>
                <w:bCs/>
              </w:rPr>
              <w:t xml:space="preserve">ISO-19505: Unified </w:t>
            </w:r>
            <w:r w:rsidR="004745DE" w:rsidRPr="004745DE">
              <w:rPr>
                <w:b/>
                <w:bCs/>
              </w:rPr>
              <w:t>Modelling</w:t>
            </w:r>
            <w:r w:rsidRPr="004745DE">
              <w:rPr>
                <w:b/>
                <w:bCs/>
              </w:rPr>
              <w:t xml:space="preserve"> Language </w:t>
            </w:r>
          </w:p>
          <w:p w14:paraId="333EC684" w14:textId="77777777" w:rsidR="003C3E5C" w:rsidRDefault="003C3E5C" w:rsidP="005157AF">
            <w:pPr>
              <w:pStyle w:val="BodyText"/>
            </w:pPr>
            <w:r w:rsidRPr="00FB35AE">
              <w:rPr>
                <w:rStyle w:val="BodyTextChar"/>
              </w:rPr>
              <w:t>Design documentation benefit from the use of diagrams, especially when widely accessible by professionals due to using international industry standards – such as the use of UML diagram conventions.</w:t>
            </w:r>
          </w:p>
        </w:tc>
      </w:tr>
      <w:tr w:rsidR="003C3E5C" w14:paraId="7AE671E6" w14:textId="77777777" w:rsidTr="00872BBE">
        <w:trPr>
          <w:cnfStyle w:val="000000010000" w:firstRow="0" w:lastRow="0" w:firstColumn="0" w:lastColumn="0" w:oddVBand="0" w:evenVBand="0" w:oddHBand="0" w:evenHBand="1" w:firstRowFirstColumn="0" w:firstRowLastColumn="0" w:lastRowFirstColumn="0" w:lastRowLastColumn="0"/>
        </w:trPr>
        <w:tc>
          <w:tcPr>
            <w:tcW w:w="9628" w:type="dxa"/>
          </w:tcPr>
          <w:p w14:paraId="19B14F75" w14:textId="77777777" w:rsidR="003C3E5C" w:rsidRPr="004745DE" w:rsidRDefault="003C3E5C" w:rsidP="004745DE">
            <w:pPr>
              <w:rPr>
                <w:b/>
                <w:bCs/>
              </w:rPr>
            </w:pPr>
            <w:r w:rsidRPr="004745DE">
              <w:rPr>
                <w:b/>
                <w:bCs/>
              </w:rPr>
              <w:t>ISO-13028: Information and Documentation Implementation guidelines for digitation of Records</w:t>
            </w:r>
          </w:p>
          <w:p w14:paraId="42420C80" w14:textId="77777777" w:rsidR="003C3E5C" w:rsidRDefault="003C3E5C" w:rsidP="005157AF">
            <w:pPr>
              <w:pStyle w:val="BodyText"/>
            </w:pPr>
            <w:r>
              <w:t>In essence guides documentation to be managed as digital assets.</w:t>
            </w:r>
          </w:p>
        </w:tc>
      </w:tr>
      <w:tr w:rsidR="003C3E5C" w14:paraId="425BA594" w14:textId="77777777" w:rsidTr="00872BBE">
        <w:trPr>
          <w:cnfStyle w:val="000000100000" w:firstRow="0" w:lastRow="0" w:firstColumn="0" w:lastColumn="0" w:oddVBand="0" w:evenVBand="0" w:oddHBand="1" w:evenHBand="0" w:firstRowFirstColumn="0" w:firstRowLastColumn="0" w:lastRowFirstColumn="0" w:lastRowLastColumn="0"/>
        </w:trPr>
        <w:tc>
          <w:tcPr>
            <w:tcW w:w="9628" w:type="dxa"/>
          </w:tcPr>
          <w:p w14:paraId="75AC77DE" w14:textId="77777777" w:rsidR="003C3E5C" w:rsidRPr="004745DE" w:rsidRDefault="003C3E5C" w:rsidP="004745DE">
            <w:pPr>
              <w:rPr>
                <w:b/>
                <w:bCs/>
              </w:rPr>
            </w:pPr>
            <w:r w:rsidRPr="004745DE">
              <w:rPr>
                <w:b/>
                <w:bCs/>
              </w:rPr>
              <w:lastRenderedPageBreak/>
              <w:t>ISO-25010: Qualities of Systems</w:t>
            </w:r>
          </w:p>
          <w:p w14:paraId="747F6E77" w14:textId="59049515" w:rsidR="003C3E5C" w:rsidRDefault="003C3E5C" w:rsidP="005157AF">
            <w:pPr>
              <w:pStyle w:val="BodyText"/>
            </w:pPr>
            <w:r>
              <w:t>While a system is expected to deliver functionality as expected by stakeholders, it is expected to be delivered to at least an ISO defined list of minimum qualities: Functionality (completeness, etc.), Usability, Accessibility, Performance, Security, Supportability, Maintainability, etc.</w:t>
            </w:r>
          </w:p>
          <w:p w14:paraId="57BDBDF2" w14:textId="77777777" w:rsidR="003C3E5C" w:rsidRPr="004745DE" w:rsidRDefault="003C3E5C" w:rsidP="004745DE">
            <w:pPr>
              <w:rPr>
                <w:b/>
                <w:bCs/>
              </w:rPr>
            </w:pPr>
            <w:r w:rsidRPr="004745DE">
              <w:rPr>
                <w:b/>
                <w:bCs/>
              </w:rPr>
              <w:t>ISO-25012: Qualities of Data</w:t>
            </w:r>
          </w:p>
          <w:p w14:paraId="252CCA5A" w14:textId="77777777" w:rsidR="003C3E5C" w:rsidRDefault="003C3E5C" w:rsidP="005157AF">
            <w:pPr>
              <w:pStyle w:val="BodyText"/>
            </w:pPr>
            <w:r>
              <w:t>While a system’s purpose is to facilitate actions, based on decisions, based on information, based on managed data, the data is expected to have an ISO defined list of qualities, including appropriateness completeness, accuracy, currency, etc.</w:t>
            </w:r>
          </w:p>
        </w:tc>
      </w:tr>
      <w:tr w:rsidR="003C3E5C" w14:paraId="0CA29AFB" w14:textId="77777777" w:rsidTr="00872BBE">
        <w:trPr>
          <w:cnfStyle w:val="000000010000" w:firstRow="0" w:lastRow="0" w:firstColumn="0" w:lastColumn="0" w:oddVBand="0" w:evenVBand="0" w:oddHBand="0" w:evenHBand="1" w:firstRowFirstColumn="0" w:firstRowLastColumn="0" w:lastRowFirstColumn="0" w:lastRowLastColumn="0"/>
        </w:trPr>
        <w:tc>
          <w:tcPr>
            <w:tcW w:w="9628" w:type="dxa"/>
          </w:tcPr>
          <w:p w14:paraId="50EBF229" w14:textId="77777777" w:rsidR="003C3E5C" w:rsidRPr="004745DE" w:rsidRDefault="003C3E5C" w:rsidP="004745DE">
            <w:pPr>
              <w:rPr>
                <w:b/>
                <w:bCs/>
              </w:rPr>
            </w:pPr>
            <w:r w:rsidRPr="004745DE">
              <w:rPr>
                <w:b/>
                <w:bCs/>
              </w:rPr>
              <w:t>ISO-25022: Qualities in Use</w:t>
            </w:r>
          </w:p>
          <w:p w14:paraId="06B5EF1B" w14:textId="77777777" w:rsidR="003C3E5C" w:rsidRDefault="003C3E5C" w:rsidP="005157AF">
            <w:pPr>
              <w:pStyle w:val="BodyText"/>
            </w:pPr>
            <w:r>
              <w:t xml:space="preserve">While a system and its data may have measurable technical qualities, a system can be measured as to its ability to meet its business purposes objectives in terms of effectiveness, efficiency, satisfaction, safety, and context coverage. </w:t>
            </w:r>
          </w:p>
        </w:tc>
      </w:tr>
    </w:tbl>
    <w:p w14:paraId="0ED79335" w14:textId="77777777" w:rsidR="00633354" w:rsidRDefault="00633354" w:rsidP="00D36861">
      <w:pPr>
        <w:pStyle w:val="BodyText"/>
        <w:rPr>
          <w:noProof/>
        </w:rPr>
      </w:pPr>
    </w:p>
    <w:p w14:paraId="118A628B" w14:textId="3E8CC5B9" w:rsidR="003C3E5C" w:rsidRDefault="004A26FC" w:rsidP="00F60D20">
      <w:pPr>
        <w:pStyle w:val="Heading2"/>
      </w:pPr>
      <w:bookmarkStart w:id="46" w:name="_Toc150603087"/>
      <w:bookmarkStart w:id="47" w:name="_Toc141967077"/>
      <w:r>
        <w:t xml:space="preserve">Guiding </w:t>
      </w:r>
      <w:r w:rsidR="003C3E5C">
        <w:t>Principles</w:t>
      </w:r>
      <w:bookmarkEnd w:id="46"/>
    </w:p>
    <w:p w14:paraId="398A1716" w14:textId="14140CB0" w:rsidR="004A26FC" w:rsidRPr="004A26FC" w:rsidRDefault="004A26FC" w:rsidP="004A26FC">
      <w:pPr>
        <w:pStyle w:val="BodyText"/>
      </w:pPr>
      <w:r>
        <w:t>Services are expected to follow agreed applicable Guiding Principles.</w:t>
      </w:r>
    </w:p>
    <w:p w14:paraId="527B84CF" w14:textId="6FD80DF0" w:rsidR="004A26FC" w:rsidRDefault="004A26FC" w:rsidP="007A7054">
      <w:pPr>
        <w:pStyle w:val="Heading3"/>
      </w:pPr>
      <w:bookmarkStart w:id="48" w:name="_Toc150603088"/>
      <w:r>
        <w:t>Public Domain Principles</w:t>
      </w:r>
      <w:bookmarkEnd w:id="48"/>
    </w:p>
    <w:p w14:paraId="4E9BB675" w14:textId="2B82EE7D" w:rsidR="004A26FC" w:rsidRPr="004A26FC" w:rsidRDefault="007A7054" w:rsidP="004A26FC">
      <w:pPr>
        <w:pStyle w:val="BodyText"/>
      </w:pPr>
      <w:r>
        <w:t>The following are Principles that are applicable to all systems delivered within New Zealand, irrespective of whether they are in or out of the Government Sector or Education Sector</w:t>
      </w:r>
      <w:r w:rsidR="009F2782">
        <w:t>.</w:t>
      </w:r>
    </w:p>
    <w:p w14:paraId="46C3411E" w14:textId="4C3CC5C2" w:rsidR="003C3E5C" w:rsidRPr="004A26FC" w:rsidRDefault="003C3E5C" w:rsidP="007A7054">
      <w:pPr>
        <w:pStyle w:val="Heading4"/>
      </w:pPr>
      <w:bookmarkStart w:id="49" w:name="_Toc150603089"/>
      <w:r>
        <w:t>Privacy Guiding Principles</w:t>
      </w:r>
      <w:bookmarkEnd w:id="47"/>
      <w:bookmarkEnd w:id="49"/>
    </w:p>
    <w:p w14:paraId="4BA5F61D" w14:textId="03567A43" w:rsidR="003C3E5C" w:rsidRDefault="003C3E5C" w:rsidP="003C3E5C">
      <w:pPr>
        <w:pStyle w:val="BodyText"/>
      </w:pPr>
      <w:r>
        <w:t xml:space="preserve">NZ Regulation requires adherence to the NZ Privacy Act 2020, which defines </w:t>
      </w:r>
      <w:r w:rsidR="00A12FFE">
        <w:t xml:space="preserve">13 </w:t>
      </w:r>
      <w:r>
        <w:t>Principles</w:t>
      </w:r>
      <w:r w:rsidR="00A12FFE">
        <w:t xml:space="preserve">, organised into 3 groups, </w:t>
      </w:r>
      <w:r>
        <w:t>listed below with a summarised explanation of their intent:</w:t>
      </w:r>
    </w:p>
    <w:p w14:paraId="71F218B8" w14:textId="77777777" w:rsidR="003C3E5C" w:rsidRDefault="003C3E5C" w:rsidP="003C3E5C">
      <w:pPr>
        <w:pStyle w:val="Caption"/>
        <w:keepNext/>
      </w:pPr>
      <w:bookmarkStart w:id="50" w:name="_Toc141966729"/>
      <w:bookmarkStart w:id="51" w:name="_Toc150607169"/>
      <w:r>
        <w:t xml:space="preserve">Table </w:t>
      </w:r>
      <w:fldSimple w:instr=" SEQ Table \* ARABIC ">
        <w:r>
          <w:rPr>
            <w:noProof/>
          </w:rPr>
          <w:t>17</w:t>
        </w:r>
      </w:fldSimple>
      <w:r>
        <w:t>: Context View - Privacy (Collection) Guiding Principles</w:t>
      </w:r>
      <w:bookmarkEnd w:id="50"/>
      <w:bookmarkEnd w:id="51"/>
    </w:p>
    <w:tbl>
      <w:tblPr>
        <w:tblStyle w:val="Table-Default-Blue"/>
        <w:tblW w:w="0" w:type="auto"/>
        <w:tblLook w:val="04A0" w:firstRow="1" w:lastRow="0" w:firstColumn="1" w:lastColumn="0" w:noHBand="0" w:noVBand="1"/>
      </w:tblPr>
      <w:tblGrid>
        <w:gridCol w:w="9524"/>
      </w:tblGrid>
      <w:tr w:rsidR="00872BBE" w14:paraId="68D6F16D" w14:textId="77777777" w:rsidTr="00A12FFE">
        <w:trPr>
          <w:cnfStyle w:val="100000000000" w:firstRow="1" w:lastRow="0" w:firstColumn="0" w:lastColumn="0" w:oddVBand="0" w:evenVBand="0" w:oddHBand="0" w:evenHBand="0" w:firstRowFirstColumn="0" w:firstRowLastColumn="0" w:lastRowFirstColumn="0" w:lastRowLastColumn="0"/>
        </w:trPr>
        <w:tc>
          <w:tcPr>
            <w:tcW w:w="9524" w:type="dxa"/>
          </w:tcPr>
          <w:p w14:paraId="1F5DB434" w14:textId="667CC314" w:rsidR="00872BBE" w:rsidRPr="00872BBE" w:rsidRDefault="00872BBE" w:rsidP="00872BBE">
            <w:r w:rsidRPr="00872BBE">
              <w:t>Collection Principles</w:t>
            </w:r>
          </w:p>
        </w:tc>
      </w:tr>
      <w:tr w:rsidR="003C3E5C" w14:paraId="33EF6F75" w14:textId="77777777" w:rsidTr="00A12FFE">
        <w:trPr>
          <w:cnfStyle w:val="000000100000" w:firstRow="0" w:lastRow="0" w:firstColumn="0" w:lastColumn="0" w:oddVBand="0" w:evenVBand="0" w:oddHBand="1" w:evenHBand="0" w:firstRowFirstColumn="0" w:firstRowLastColumn="0" w:lastRowFirstColumn="0" w:lastRowLastColumn="0"/>
        </w:trPr>
        <w:tc>
          <w:tcPr>
            <w:tcW w:w="9524" w:type="dxa"/>
          </w:tcPr>
          <w:p w14:paraId="6FAB414E" w14:textId="77777777" w:rsidR="003C3E5C" w:rsidRPr="004745DE" w:rsidRDefault="003C3E5C" w:rsidP="004745DE">
            <w:pPr>
              <w:rPr>
                <w:b/>
                <w:bCs/>
              </w:rPr>
            </w:pPr>
            <w:r w:rsidRPr="004745DE">
              <w:rPr>
                <w:b/>
                <w:bCs/>
              </w:rPr>
              <w:t>IPP1: Purpose for Collection</w:t>
            </w:r>
          </w:p>
          <w:p w14:paraId="17F52DEC" w14:textId="77777777" w:rsidR="003C3E5C" w:rsidRDefault="003C3E5C" w:rsidP="005157AF">
            <w:pPr>
              <w:pStyle w:val="BodyText"/>
            </w:pPr>
            <w:r>
              <w:t>Essentially, purpose but be lawful, and associated to the agencies purpose, and necessary.</w:t>
            </w:r>
          </w:p>
        </w:tc>
      </w:tr>
      <w:tr w:rsidR="003C3E5C" w14:paraId="5E346CD9" w14:textId="77777777" w:rsidTr="00A12FFE">
        <w:trPr>
          <w:cnfStyle w:val="000000010000" w:firstRow="0" w:lastRow="0" w:firstColumn="0" w:lastColumn="0" w:oddVBand="0" w:evenVBand="0" w:oddHBand="0" w:evenHBand="1" w:firstRowFirstColumn="0" w:firstRowLastColumn="0" w:lastRowFirstColumn="0" w:lastRowLastColumn="0"/>
        </w:trPr>
        <w:tc>
          <w:tcPr>
            <w:tcW w:w="9524" w:type="dxa"/>
          </w:tcPr>
          <w:p w14:paraId="0393A23D" w14:textId="77777777" w:rsidR="003C3E5C" w:rsidRPr="004745DE" w:rsidRDefault="003C3E5C" w:rsidP="004745DE">
            <w:pPr>
              <w:rPr>
                <w:b/>
                <w:bCs/>
              </w:rPr>
            </w:pPr>
            <w:r w:rsidRPr="004745DE">
              <w:rPr>
                <w:b/>
                <w:bCs/>
              </w:rPr>
              <w:t>IPP2: Source of Personal Information – collection from the individual</w:t>
            </w:r>
          </w:p>
          <w:p w14:paraId="51C3C39E" w14:textId="77777777" w:rsidR="003C3E5C" w:rsidRDefault="003C3E5C" w:rsidP="005157AF">
            <w:pPr>
              <w:pStyle w:val="BodyText"/>
            </w:pPr>
            <w:r>
              <w:t>Preference collecting from the person themselves, unless impractical and can collect from an authorized delegate.</w:t>
            </w:r>
          </w:p>
        </w:tc>
      </w:tr>
      <w:tr w:rsidR="003C3E5C" w14:paraId="223AD255" w14:textId="77777777" w:rsidTr="00A12FFE">
        <w:trPr>
          <w:cnfStyle w:val="000000100000" w:firstRow="0" w:lastRow="0" w:firstColumn="0" w:lastColumn="0" w:oddVBand="0" w:evenVBand="0" w:oddHBand="1" w:evenHBand="0" w:firstRowFirstColumn="0" w:firstRowLastColumn="0" w:lastRowFirstColumn="0" w:lastRowLastColumn="0"/>
        </w:trPr>
        <w:tc>
          <w:tcPr>
            <w:tcW w:w="9524" w:type="dxa"/>
          </w:tcPr>
          <w:p w14:paraId="1C40A29E" w14:textId="77777777" w:rsidR="003C3E5C" w:rsidRPr="004745DE" w:rsidRDefault="003C3E5C" w:rsidP="004745DE">
            <w:pPr>
              <w:rPr>
                <w:b/>
                <w:bCs/>
              </w:rPr>
            </w:pPr>
            <w:r w:rsidRPr="004745DE">
              <w:rPr>
                <w:b/>
                <w:bCs/>
              </w:rPr>
              <w:t>IPP3: What to tell the individual about collection</w:t>
            </w:r>
          </w:p>
          <w:p w14:paraId="76AB3C72" w14:textId="77777777" w:rsidR="003C3E5C" w:rsidRDefault="003C3E5C" w:rsidP="005157AF">
            <w:pPr>
              <w:pStyle w:val="BodyText"/>
            </w:pPr>
            <w:r>
              <w:t>Essentially, inform the user that information is being collected, by whom, for what purpose, accessed by whom, regulatory context and ramifications if not provided.</w:t>
            </w:r>
          </w:p>
        </w:tc>
      </w:tr>
      <w:tr w:rsidR="003C3E5C" w14:paraId="2C479437" w14:textId="77777777" w:rsidTr="00A12FFE">
        <w:trPr>
          <w:cnfStyle w:val="000000010000" w:firstRow="0" w:lastRow="0" w:firstColumn="0" w:lastColumn="0" w:oddVBand="0" w:evenVBand="0" w:oddHBand="0" w:evenHBand="1" w:firstRowFirstColumn="0" w:firstRowLastColumn="0" w:lastRowFirstColumn="0" w:lastRowLastColumn="0"/>
        </w:trPr>
        <w:tc>
          <w:tcPr>
            <w:tcW w:w="9524" w:type="dxa"/>
          </w:tcPr>
          <w:p w14:paraId="45A3D687" w14:textId="77777777" w:rsidR="003C3E5C" w:rsidRPr="004745DE" w:rsidRDefault="003C3E5C" w:rsidP="004745DE">
            <w:pPr>
              <w:rPr>
                <w:b/>
                <w:bCs/>
              </w:rPr>
            </w:pPr>
            <w:r w:rsidRPr="004745DE">
              <w:rPr>
                <w:b/>
                <w:bCs/>
              </w:rPr>
              <w:t>IPP4: Manner of collection</w:t>
            </w:r>
          </w:p>
          <w:p w14:paraId="3969D61B" w14:textId="77777777" w:rsidR="003C3E5C" w:rsidRDefault="003C3E5C" w:rsidP="005157AF">
            <w:pPr>
              <w:pStyle w:val="BodyText"/>
            </w:pPr>
            <w:r>
              <w:lastRenderedPageBreak/>
              <w:t xml:space="preserve">Essentially, Collection must be lawful, </w:t>
            </w:r>
            <w:proofErr w:type="gramStart"/>
            <w:r>
              <w:t>fair</w:t>
            </w:r>
            <w:proofErr w:type="gramEnd"/>
            <w:r>
              <w:t xml:space="preserve"> and reasonable in scope and impact</w:t>
            </w:r>
          </w:p>
        </w:tc>
      </w:tr>
    </w:tbl>
    <w:p w14:paraId="2AE7D3A8" w14:textId="77777777" w:rsidR="00A12FFE" w:rsidRDefault="00A12FFE" w:rsidP="00A12FFE">
      <w:pPr>
        <w:pStyle w:val="Caption"/>
        <w:keepNext/>
      </w:pPr>
      <w:bookmarkStart w:id="52" w:name="_Toc141966730"/>
      <w:bookmarkStart w:id="53" w:name="_Toc150607170"/>
      <w:r>
        <w:lastRenderedPageBreak/>
        <w:t xml:space="preserve">Table </w:t>
      </w:r>
      <w:fldSimple w:instr=" SEQ Table \* ARABIC ">
        <w:r>
          <w:rPr>
            <w:noProof/>
          </w:rPr>
          <w:t>18</w:t>
        </w:r>
      </w:fldSimple>
      <w:r>
        <w:t>: Context View - Privacy (Storage) Guiding Principles</w:t>
      </w:r>
      <w:bookmarkEnd w:id="52"/>
      <w:bookmarkEnd w:id="53"/>
    </w:p>
    <w:tbl>
      <w:tblPr>
        <w:tblStyle w:val="Table-Default-Blue"/>
        <w:tblW w:w="0" w:type="auto"/>
        <w:tblLook w:val="04A0" w:firstRow="1" w:lastRow="0" w:firstColumn="1" w:lastColumn="0" w:noHBand="0" w:noVBand="1"/>
      </w:tblPr>
      <w:tblGrid>
        <w:gridCol w:w="9524"/>
      </w:tblGrid>
      <w:tr w:rsidR="00A12FFE" w14:paraId="5FFC5864" w14:textId="77777777" w:rsidTr="00A12FFE">
        <w:trPr>
          <w:cnfStyle w:val="100000000000" w:firstRow="1" w:lastRow="0" w:firstColumn="0" w:lastColumn="0" w:oddVBand="0" w:evenVBand="0" w:oddHBand="0" w:evenHBand="0" w:firstRowFirstColumn="0" w:firstRowLastColumn="0" w:lastRowFirstColumn="0" w:lastRowLastColumn="0"/>
        </w:trPr>
        <w:tc>
          <w:tcPr>
            <w:tcW w:w="9628" w:type="dxa"/>
          </w:tcPr>
          <w:p w14:paraId="2F6F682D" w14:textId="645C3FD0" w:rsidR="00A12FFE" w:rsidRPr="00A12FFE" w:rsidRDefault="00A12FFE" w:rsidP="00A12FFE">
            <w:r w:rsidRPr="00A12FFE">
              <w:t>Storage Principles</w:t>
            </w:r>
          </w:p>
        </w:tc>
      </w:tr>
      <w:tr w:rsidR="00A12FFE" w14:paraId="64CB4DA3" w14:textId="77777777" w:rsidTr="00A12FFE">
        <w:trPr>
          <w:cnfStyle w:val="000000100000" w:firstRow="0" w:lastRow="0" w:firstColumn="0" w:lastColumn="0" w:oddVBand="0" w:evenVBand="0" w:oddHBand="1" w:evenHBand="0" w:firstRowFirstColumn="0" w:firstRowLastColumn="0" w:lastRowFirstColumn="0" w:lastRowLastColumn="0"/>
        </w:trPr>
        <w:tc>
          <w:tcPr>
            <w:tcW w:w="9628" w:type="dxa"/>
          </w:tcPr>
          <w:p w14:paraId="1AAF96CC" w14:textId="77777777" w:rsidR="00A12FFE" w:rsidRDefault="00A12FFE" w:rsidP="005157AF">
            <w:pPr>
              <w:pStyle w:val="MoETerm"/>
            </w:pPr>
            <w:r>
              <w:t>IPP5: Storage and Security of Personal Information</w:t>
            </w:r>
          </w:p>
          <w:p w14:paraId="5D38BD84" w14:textId="77777777" w:rsidR="00A12FFE" w:rsidRDefault="00A12FFE" w:rsidP="005157AF">
            <w:pPr>
              <w:pStyle w:val="BodyText"/>
            </w:pPr>
            <w:r>
              <w:t xml:space="preserve">Essentially, Safeguards must be in place to prevent loss, </w:t>
            </w:r>
            <w:proofErr w:type="gramStart"/>
            <w:r>
              <w:t>misuse</w:t>
            </w:r>
            <w:proofErr w:type="gramEnd"/>
            <w:r>
              <w:t xml:space="preserve"> and disclosure of PI.</w:t>
            </w:r>
          </w:p>
        </w:tc>
      </w:tr>
      <w:tr w:rsidR="00A12FFE" w14:paraId="47393145" w14:textId="77777777" w:rsidTr="00A12FFE">
        <w:trPr>
          <w:cnfStyle w:val="000000010000" w:firstRow="0" w:lastRow="0" w:firstColumn="0" w:lastColumn="0" w:oddVBand="0" w:evenVBand="0" w:oddHBand="0" w:evenHBand="1" w:firstRowFirstColumn="0" w:firstRowLastColumn="0" w:lastRowFirstColumn="0" w:lastRowLastColumn="0"/>
        </w:trPr>
        <w:tc>
          <w:tcPr>
            <w:tcW w:w="9628" w:type="dxa"/>
          </w:tcPr>
          <w:p w14:paraId="666E5A80" w14:textId="77777777" w:rsidR="00A12FFE" w:rsidRDefault="00A12FFE" w:rsidP="005157AF">
            <w:pPr>
              <w:pStyle w:val="MoETerm"/>
            </w:pPr>
            <w:r>
              <w:t xml:space="preserve">IPP6: Providing People Access to their </w:t>
            </w:r>
            <w:proofErr w:type="gramStart"/>
            <w:r>
              <w:t>Information</w:t>
            </w:r>
            <w:proofErr w:type="gramEnd"/>
          </w:p>
          <w:p w14:paraId="3292DD1B" w14:textId="77777777" w:rsidR="00A12FFE" w:rsidRDefault="00A12FFE" w:rsidP="005157AF">
            <w:pPr>
              <w:pStyle w:val="BodyText"/>
            </w:pPr>
            <w:r>
              <w:t xml:space="preserve">Essentially, </w:t>
            </w:r>
            <w:proofErr w:type="gramStart"/>
            <w:r>
              <w:t>Provide</w:t>
            </w:r>
            <w:proofErr w:type="gramEnd"/>
            <w:r>
              <w:t xml:space="preserve"> people the means to request access to their own Personal Information.</w:t>
            </w:r>
          </w:p>
        </w:tc>
      </w:tr>
    </w:tbl>
    <w:p w14:paraId="18A53563" w14:textId="77777777" w:rsidR="00A12FFE" w:rsidRDefault="00A12FFE" w:rsidP="00A12FFE">
      <w:pPr>
        <w:pStyle w:val="Caption"/>
        <w:keepNext/>
      </w:pPr>
      <w:bookmarkStart w:id="54" w:name="_Toc141966731"/>
      <w:bookmarkStart w:id="55" w:name="_Toc150607171"/>
      <w:r>
        <w:t xml:space="preserve">Table </w:t>
      </w:r>
      <w:fldSimple w:instr=" SEQ Table \* ARABIC ">
        <w:r>
          <w:rPr>
            <w:noProof/>
          </w:rPr>
          <w:t>19</w:t>
        </w:r>
      </w:fldSimple>
      <w:r>
        <w:t>: Context View - Privacy (Use &amp; Sharing) Guiding Principles</w:t>
      </w:r>
      <w:bookmarkEnd w:id="54"/>
      <w:bookmarkEnd w:id="55"/>
    </w:p>
    <w:tbl>
      <w:tblPr>
        <w:tblStyle w:val="Table-Default-Blue"/>
        <w:tblW w:w="0" w:type="auto"/>
        <w:tblLook w:val="04A0" w:firstRow="1" w:lastRow="0" w:firstColumn="1" w:lastColumn="0" w:noHBand="0" w:noVBand="1"/>
      </w:tblPr>
      <w:tblGrid>
        <w:gridCol w:w="9524"/>
      </w:tblGrid>
      <w:tr w:rsidR="00A12FFE" w14:paraId="1B7EF5A9" w14:textId="77777777" w:rsidTr="00A12FFE">
        <w:trPr>
          <w:cnfStyle w:val="100000000000" w:firstRow="1" w:lastRow="0" w:firstColumn="0" w:lastColumn="0" w:oddVBand="0" w:evenVBand="0" w:oddHBand="0" w:evenHBand="0" w:firstRowFirstColumn="0" w:firstRowLastColumn="0" w:lastRowFirstColumn="0" w:lastRowLastColumn="0"/>
        </w:trPr>
        <w:tc>
          <w:tcPr>
            <w:tcW w:w="9628" w:type="dxa"/>
          </w:tcPr>
          <w:p w14:paraId="28E2AFCC" w14:textId="21051623" w:rsidR="00A12FFE" w:rsidRPr="00A12FFE" w:rsidRDefault="00A12FFE" w:rsidP="00A12FFE">
            <w:r w:rsidRPr="00A12FFE">
              <w:t>Use and Sharing Principles</w:t>
            </w:r>
          </w:p>
        </w:tc>
      </w:tr>
      <w:tr w:rsidR="00A12FFE" w14:paraId="0C5D326A" w14:textId="77777777" w:rsidTr="00A12FFE">
        <w:trPr>
          <w:cnfStyle w:val="000000100000" w:firstRow="0" w:lastRow="0" w:firstColumn="0" w:lastColumn="0" w:oddVBand="0" w:evenVBand="0" w:oddHBand="1" w:evenHBand="0" w:firstRowFirstColumn="0" w:firstRowLastColumn="0" w:lastRowFirstColumn="0" w:lastRowLastColumn="0"/>
        </w:trPr>
        <w:tc>
          <w:tcPr>
            <w:tcW w:w="9628" w:type="dxa"/>
          </w:tcPr>
          <w:p w14:paraId="14FDCBF1" w14:textId="77777777" w:rsidR="00A12FFE" w:rsidRPr="00A12FFE" w:rsidRDefault="00A12FFE" w:rsidP="00A12FFE">
            <w:pPr>
              <w:rPr>
                <w:b/>
                <w:bCs/>
              </w:rPr>
            </w:pPr>
            <w:r w:rsidRPr="00A12FFE">
              <w:rPr>
                <w:b/>
                <w:bCs/>
              </w:rPr>
              <w:t>IPP7: Correction of Personal Information</w:t>
            </w:r>
          </w:p>
          <w:p w14:paraId="6785A022" w14:textId="77777777" w:rsidR="00A12FFE" w:rsidRDefault="00A12FFE" w:rsidP="005157AF">
            <w:pPr>
              <w:pStyle w:val="BodyText"/>
            </w:pPr>
            <w:r>
              <w:t>Essentially, provide people the means to request corrections to their Personal Information.</w:t>
            </w:r>
          </w:p>
        </w:tc>
      </w:tr>
      <w:tr w:rsidR="00A12FFE" w14:paraId="1EC695D3" w14:textId="77777777" w:rsidTr="00A12FFE">
        <w:trPr>
          <w:cnfStyle w:val="000000010000" w:firstRow="0" w:lastRow="0" w:firstColumn="0" w:lastColumn="0" w:oddVBand="0" w:evenVBand="0" w:oddHBand="0" w:evenHBand="1" w:firstRowFirstColumn="0" w:firstRowLastColumn="0" w:lastRowFirstColumn="0" w:lastRowLastColumn="0"/>
        </w:trPr>
        <w:tc>
          <w:tcPr>
            <w:tcW w:w="9628" w:type="dxa"/>
          </w:tcPr>
          <w:p w14:paraId="6E63BBDC" w14:textId="77777777" w:rsidR="00A12FFE" w:rsidRPr="00A12FFE" w:rsidRDefault="00A12FFE" w:rsidP="00A12FFE">
            <w:pPr>
              <w:rPr>
                <w:b/>
                <w:bCs/>
              </w:rPr>
            </w:pPr>
            <w:r w:rsidRPr="00A12FFE">
              <w:rPr>
                <w:b/>
                <w:bCs/>
              </w:rPr>
              <w:t xml:space="preserve">IPP8: Ensure accuracy before using </w:t>
            </w:r>
            <w:proofErr w:type="gramStart"/>
            <w:r w:rsidRPr="00A12FFE">
              <w:rPr>
                <w:b/>
                <w:bCs/>
              </w:rPr>
              <w:t>information</w:t>
            </w:r>
            <w:proofErr w:type="gramEnd"/>
          </w:p>
          <w:p w14:paraId="032ADF56" w14:textId="77777777" w:rsidR="00A12FFE" w:rsidRDefault="00A12FFE" w:rsidP="005157AF">
            <w:pPr>
              <w:pStyle w:val="BodyText"/>
            </w:pPr>
            <w:r>
              <w:t>Essentially, before disclosure, Organisations must ensure personal information is accurate, current, complete, relevant, and not misleading.</w:t>
            </w:r>
          </w:p>
        </w:tc>
      </w:tr>
      <w:tr w:rsidR="00A12FFE" w14:paraId="42C029F2" w14:textId="77777777" w:rsidTr="00A12FFE">
        <w:trPr>
          <w:cnfStyle w:val="000000100000" w:firstRow="0" w:lastRow="0" w:firstColumn="0" w:lastColumn="0" w:oddVBand="0" w:evenVBand="0" w:oddHBand="1" w:evenHBand="0" w:firstRowFirstColumn="0" w:firstRowLastColumn="0" w:lastRowFirstColumn="0" w:lastRowLastColumn="0"/>
        </w:trPr>
        <w:tc>
          <w:tcPr>
            <w:tcW w:w="9628" w:type="dxa"/>
          </w:tcPr>
          <w:p w14:paraId="436E803E" w14:textId="77777777" w:rsidR="00A12FFE" w:rsidRPr="00A12FFE" w:rsidRDefault="00A12FFE" w:rsidP="00A12FFE">
            <w:pPr>
              <w:rPr>
                <w:b/>
                <w:bCs/>
              </w:rPr>
            </w:pPr>
            <w:r w:rsidRPr="00A12FFE">
              <w:rPr>
                <w:b/>
                <w:bCs/>
              </w:rPr>
              <w:t>IPP9: limits of Retention on personal information</w:t>
            </w:r>
          </w:p>
          <w:p w14:paraId="013AAB09" w14:textId="77777777" w:rsidR="00A12FFE" w:rsidRDefault="00A12FFE" w:rsidP="005157AF">
            <w:pPr>
              <w:pStyle w:val="BodyText"/>
            </w:pPr>
            <w:r>
              <w:t>Essentially, organisations should not keep personal information for longer that it is lawfully usable for intended purposes.</w:t>
            </w:r>
          </w:p>
        </w:tc>
      </w:tr>
      <w:tr w:rsidR="00A12FFE" w14:paraId="7B1895AD" w14:textId="77777777" w:rsidTr="00A12FFE">
        <w:trPr>
          <w:cnfStyle w:val="000000010000" w:firstRow="0" w:lastRow="0" w:firstColumn="0" w:lastColumn="0" w:oddVBand="0" w:evenVBand="0" w:oddHBand="0" w:evenHBand="1" w:firstRowFirstColumn="0" w:firstRowLastColumn="0" w:lastRowFirstColumn="0" w:lastRowLastColumn="0"/>
        </w:trPr>
        <w:tc>
          <w:tcPr>
            <w:tcW w:w="9628" w:type="dxa"/>
          </w:tcPr>
          <w:p w14:paraId="61161329" w14:textId="77777777" w:rsidR="00A12FFE" w:rsidRPr="00A12FFE" w:rsidRDefault="00A12FFE" w:rsidP="00A12FFE">
            <w:pPr>
              <w:rPr>
                <w:b/>
                <w:bCs/>
              </w:rPr>
            </w:pPr>
            <w:r w:rsidRPr="00A12FFE">
              <w:rPr>
                <w:b/>
                <w:bCs/>
              </w:rPr>
              <w:t>IPP10: Use of Personal Information</w:t>
            </w:r>
          </w:p>
          <w:p w14:paraId="26EA06EE" w14:textId="77777777" w:rsidR="00A12FFE" w:rsidRDefault="00A12FFE" w:rsidP="005157AF">
            <w:pPr>
              <w:pStyle w:val="BodyText"/>
            </w:pPr>
            <w:r>
              <w:t>Essentially, with few exceptions, collected information must be used for what it was collected.</w:t>
            </w:r>
          </w:p>
        </w:tc>
      </w:tr>
      <w:tr w:rsidR="00A12FFE" w14:paraId="2E8C31B9" w14:textId="77777777" w:rsidTr="00A12FFE">
        <w:trPr>
          <w:cnfStyle w:val="000000100000" w:firstRow="0" w:lastRow="0" w:firstColumn="0" w:lastColumn="0" w:oddVBand="0" w:evenVBand="0" w:oddHBand="1" w:evenHBand="0" w:firstRowFirstColumn="0" w:firstRowLastColumn="0" w:lastRowFirstColumn="0" w:lastRowLastColumn="0"/>
        </w:trPr>
        <w:tc>
          <w:tcPr>
            <w:tcW w:w="9628" w:type="dxa"/>
          </w:tcPr>
          <w:p w14:paraId="7932F70B" w14:textId="77777777" w:rsidR="00A12FFE" w:rsidRPr="00A12FFE" w:rsidRDefault="00A12FFE" w:rsidP="00A12FFE">
            <w:pPr>
              <w:rPr>
                <w:b/>
                <w:bCs/>
              </w:rPr>
            </w:pPr>
            <w:r w:rsidRPr="00A12FFE">
              <w:rPr>
                <w:b/>
                <w:bCs/>
              </w:rPr>
              <w:t>IPP11: Disclosure of Personal Information</w:t>
            </w:r>
          </w:p>
          <w:p w14:paraId="333C6219" w14:textId="77777777" w:rsidR="00A12FFE" w:rsidRDefault="00A12FFE" w:rsidP="005157AF">
            <w:pPr>
              <w:pStyle w:val="BodyText"/>
            </w:pPr>
            <w:r>
              <w:t>Essentially, personal information can only be disclosed for the lawful purpose it was originally collected.</w:t>
            </w:r>
          </w:p>
        </w:tc>
      </w:tr>
      <w:tr w:rsidR="00A12FFE" w14:paraId="1A7196F8" w14:textId="77777777" w:rsidTr="00A12FFE">
        <w:trPr>
          <w:cnfStyle w:val="000000010000" w:firstRow="0" w:lastRow="0" w:firstColumn="0" w:lastColumn="0" w:oddVBand="0" w:evenVBand="0" w:oddHBand="0" w:evenHBand="1" w:firstRowFirstColumn="0" w:firstRowLastColumn="0" w:lastRowFirstColumn="0" w:lastRowLastColumn="0"/>
        </w:trPr>
        <w:tc>
          <w:tcPr>
            <w:tcW w:w="9628" w:type="dxa"/>
          </w:tcPr>
          <w:p w14:paraId="535C5B79" w14:textId="77777777" w:rsidR="00A12FFE" w:rsidRPr="00A12FFE" w:rsidRDefault="00A12FFE" w:rsidP="00A12FFE">
            <w:pPr>
              <w:rPr>
                <w:b/>
                <w:bCs/>
              </w:rPr>
            </w:pPr>
            <w:r w:rsidRPr="00A12FFE">
              <w:rPr>
                <w:b/>
                <w:bCs/>
              </w:rPr>
              <w:t>IPP12: Disclosure outside New Zealand</w:t>
            </w:r>
          </w:p>
          <w:p w14:paraId="192E25EC" w14:textId="77777777" w:rsidR="00A12FFE" w:rsidRDefault="00A12FFE" w:rsidP="005157AF">
            <w:pPr>
              <w:pStyle w:val="BodyText"/>
            </w:pPr>
            <w:r>
              <w:t>Essentially, disclosure of information to organisations outside of NZ may only occur if they will protect the information, are subject to laws comparable to NZ’s Privacy Act, are subject to NZ’s Privacy Act due to doing business in NZ.</w:t>
            </w:r>
          </w:p>
        </w:tc>
      </w:tr>
      <w:tr w:rsidR="00A12FFE" w14:paraId="6C903AFC" w14:textId="77777777" w:rsidTr="00A12FFE">
        <w:trPr>
          <w:cnfStyle w:val="000000100000" w:firstRow="0" w:lastRow="0" w:firstColumn="0" w:lastColumn="0" w:oddVBand="0" w:evenVBand="0" w:oddHBand="1" w:evenHBand="0" w:firstRowFirstColumn="0" w:firstRowLastColumn="0" w:lastRowFirstColumn="0" w:lastRowLastColumn="0"/>
        </w:trPr>
        <w:tc>
          <w:tcPr>
            <w:tcW w:w="9628" w:type="dxa"/>
          </w:tcPr>
          <w:p w14:paraId="12B95F78" w14:textId="77777777" w:rsidR="00A12FFE" w:rsidRPr="00162E74" w:rsidRDefault="00A12FFE" w:rsidP="005157AF">
            <w:pPr>
              <w:pStyle w:val="BodyText"/>
              <w:rPr>
                <w:rFonts w:eastAsiaTheme="majorEastAsia" w:cstheme="majorBidi"/>
                <w:i/>
                <w:color w:val="582655"/>
                <w:lang w:val="en-US"/>
              </w:rPr>
            </w:pPr>
            <w:r w:rsidRPr="00A12FFE">
              <w:rPr>
                <w:b/>
                <w:bCs/>
              </w:rPr>
              <w:t>IPP13: Unique Identifiers</w:t>
            </w:r>
            <w:r w:rsidRPr="00A12FFE">
              <w:rPr>
                <w:b/>
                <w:bCs/>
              </w:rPr>
              <w:br/>
            </w:r>
            <w:r>
              <w:t>Essentially, sets restrictions on assigning unique identifiers to individuals across systems.</w:t>
            </w:r>
          </w:p>
        </w:tc>
      </w:tr>
    </w:tbl>
    <w:p w14:paraId="2EF060D0" w14:textId="77777777" w:rsidR="009F2782" w:rsidRDefault="009F2782" w:rsidP="003C3E5C">
      <w:pPr>
        <w:pStyle w:val="BodyText"/>
      </w:pPr>
    </w:p>
    <w:p w14:paraId="3FB340E3" w14:textId="4A0AD17A" w:rsidR="009F2782" w:rsidRDefault="009F2782" w:rsidP="009F2782">
      <w:pPr>
        <w:pStyle w:val="Heading2"/>
      </w:pPr>
      <w:r>
        <w:lastRenderedPageBreak/>
        <w:t>Government Sector Principles</w:t>
      </w:r>
    </w:p>
    <w:p w14:paraId="13E6CB25" w14:textId="66DCED95" w:rsidR="009F2782" w:rsidRPr="009F2782" w:rsidRDefault="000B152C" w:rsidP="009F2782">
      <w:pPr>
        <w:pStyle w:val="BodyText"/>
      </w:pPr>
      <w:r>
        <w:t>G</w:t>
      </w:r>
      <w:r w:rsidR="009F2782">
        <w:t xml:space="preserve">overnment </w:t>
      </w:r>
      <w:r>
        <w:t xml:space="preserve">Agencies are </w:t>
      </w:r>
      <w:r w:rsidR="009F2782">
        <w:t>bound</w:t>
      </w:r>
      <w:r>
        <w:rPr>
          <w:rStyle w:val="FootnoteReference"/>
        </w:rPr>
        <w:footnoteReference w:id="24"/>
      </w:r>
      <w:r w:rsidR="009F2782">
        <w:t xml:space="preserve"> to follow the following principles.</w:t>
      </w:r>
    </w:p>
    <w:p w14:paraId="2F1ACA6A" w14:textId="57AABCBB" w:rsidR="009F2782" w:rsidRDefault="009F2782" w:rsidP="009F2782">
      <w:pPr>
        <w:pStyle w:val="Heading3"/>
      </w:pPr>
      <w:r w:rsidRPr="009F2782">
        <w:t>New Zealand Data and Information Management Principles</w:t>
      </w:r>
    </w:p>
    <w:p w14:paraId="2ADD1B6F" w14:textId="21F25814" w:rsidR="009F2782" w:rsidRDefault="009F2782" w:rsidP="009F2782">
      <w:pPr>
        <w:pStyle w:val="Caption"/>
        <w:keepNext/>
      </w:pPr>
      <w:bookmarkStart w:id="56" w:name="_Toc141966723"/>
      <w:bookmarkStart w:id="57" w:name="_Toc150607172"/>
      <w:r>
        <w:t xml:space="preserve">Table </w:t>
      </w:r>
      <w:fldSimple w:instr=" SEQ Table \* ARABIC ">
        <w:r>
          <w:rPr>
            <w:noProof/>
          </w:rPr>
          <w:t>11</w:t>
        </w:r>
      </w:fldSimple>
      <w:r>
        <w:t>: New Zealand Data and Information Management Principles</w:t>
      </w:r>
      <w:bookmarkEnd w:id="56"/>
      <w:bookmarkEnd w:id="57"/>
    </w:p>
    <w:tbl>
      <w:tblPr>
        <w:tblStyle w:val="Table-Default-Blue"/>
        <w:tblW w:w="0" w:type="auto"/>
        <w:tblLook w:val="04A0" w:firstRow="1" w:lastRow="0" w:firstColumn="1" w:lastColumn="0" w:noHBand="0" w:noVBand="1"/>
      </w:tblPr>
      <w:tblGrid>
        <w:gridCol w:w="9524"/>
      </w:tblGrid>
      <w:tr w:rsidR="009F2782" w14:paraId="259CE54D" w14:textId="77777777" w:rsidTr="009F2782">
        <w:trPr>
          <w:cnfStyle w:val="100000000000" w:firstRow="1" w:lastRow="0" w:firstColumn="0" w:lastColumn="0" w:oddVBand="0" w:evenVBand="0" w:oddHBand="0" w:evenHBand="0" w:firstRowFirstColumn="0" w:firstRowLastColumn="0" w:lastRowFirstColumn="0" w:lastRowLastColumn="0"/>
        </w:trPr>
        <w:tc>
          <w:tcPr>
            <w:tcW w:w="9628" w:type="dxa"/>
          </w:tcPr>
          <w:p w14:paraId="1DCEE7BC" w14:textId="72845028" w:rsidR="009F2782" w:rsidRPr="009F2782" w:rsidRDefault="009F2782" w:rsidP="009F2782">
            <w:r w:rsidRPr="009F2782">
              <w:t>New Zealand Data and Information Management Principles</w:t>
            </w:r>
          </w:p>
        </w:tc>
      </w:tr>
      <w:tr w:rsidR="009F2782" w14:paraId="5AE907E6" w14:textId="77777777" w:rsidTr="009F2782">
        <w:trPr>
          <w:cnfStyle w:val="000000100000" w:firstRow="0" w:lastRow="0" w:firstColumn="0" w:lastColumn="0" w:oddVBand="0" w:evenVBand="0" w:oddHBand="1" w:evenHBand="0" w:firstRowFirstColumn="0" w:firstRowLastColumn="0" w:lastRowFirstColumn="0" w:lastRowLastColumn="0"/>
        </w:trPr>
        <w:tc>
          <w:tcPr>
            <w:tcW w:w="9628" w:type="dxa"/>
          </w:tcPr>
          <w:p w14:paraId="7F7231AF" w14:textId="77777777" w:rsidR="009F2782" w:rsidRPr="009F2782" w:rsidRDefault="009F2782" w:rsidP="009F2782">
            <w:r w:rsidRPr="009F2782">
              <w:rPr>
                <w:b/>
                <w:bCs/>
              </w:rPr>
              <w:t>GDIMP1: Open</w:t>
            </w:r>
            <w:r w:rsidRPr="009F2782">
              <w:rPr>
                <w:b/>
                <w:bCs/>
              </w:rPr>
              <w:br/>
            </w:r>
            <w:r w:rsidRPr="009F2782">
              <w:t>Note: Open does not mean it includes Personal Information (PI).</w:t>
            </w:r>
          </w:p>
        </w:tc>
      </w:tr>
      <w:tr w:rsidR="009F2782" w14:paraId="286ABE39" w14:textId="77777777" w:rsidTr="009F2782">
        <w:trPr>
          <w:cnfStyle w:val="000000010000" w:firstRow="0" w:lastRow="0" w:firstColumn="0" w:lastColumn="0" w:oddVBand="0" w:evenVBand="0" w:oddHBand="0" w:evenHBand="1" w:firstRowFirstColumn="0" w:firstRowLastColumn="0" w:lastRowFirstColumn="0" w:lastRowLastColumn="0"/>
        </w:trPr>
        <w:tc>
          <w:tcPr>
            <w:tcW w:w="9628" w:type="dxa"/>
          </w:tcPr>
          <w:p w14:paraId="38E0F02D" w14:textId="77777777" w:rsidR="009F2782" w:rsidRPr="009F2782" w:rsidRDefault="009F2782" w:rsidP="009F2782">
            <w:pPr>
              <w:rPr>
                <w:b/>
                <w:bCs/>
              </w:rPr>
            </w:pPr>
            <w:r w:rsidRPr="009F2782">
              <w:rPr>
                <w:b/>
                <w:bCs/>
              </w:rPr>
              <w:t>GDIMP2: Protected</w:t>
            </w:r>
          </w:p>
        </w:tc>
      </w:tr>
      <w:tr w:rsidR="009F2782" w14:paraId="68B2271A" w14:textId="77777777" w:rsidTr="009F2782">
        <w:trPr>
          <w:cnfStyle w:val="000000100000" w:firstRow="0" w:lastRow="0" w:firstColumn="0" w:lastColumn="0" w:oddVBand="0" w:evenVBand="0" w:oddHBand="1" w:evenHBand="0" w:firstRowFirstColumn="0" w:firstRowLastColumn="0" w:lastRowFirstColumn="0" w:lastRowLastColumn="0"/>
        </w:trPr>
        <w:tc>
          <w:tcPr>
            <w:tcW w:w="9628" w:type="dxa"/>
          </w:tcPr>
          <w:p w14:paraId="22105C50" w14:textId="77777777" w:rsidR="009F2782" w:rsidRPr="009F2782" w:rsidRDefault="009F2782" w:rsidP="009F2782">
            <w:pPr>
              <w:rPr>
                <w:b/>
                <w:bCs/>
              </w:rPr>
            </w:pPr>
            <w:r w:rsidRPr="009F2782">
              <w:rPr>
                <w:b/>
                <w:bCs/>
              </w:rPr>
              <w:t>GDIMP3: Readily Available</w:t>
            </w:r>
          </w:p>
        </w:tc>
      </w:tr>
      <w:tr w:rsidR="009F2782" w14:paraId="427D29CF" w14:textId="77777777" w:rsidTr="009F2782">
        <w:trPr>
          <w:cnfStyle w:val="000000010000" w:firstRow="0" w:lastRow="0" w:firstColumn="0" w:lastColumn="0" w:oddVBand="0" w:evenVBand="0" w:oddHBand="0" w:evenHBand="1" w:firstRowFirstColumn="0" w:firstRowLastColumn="0" w:lastRowFirstColumn="0" w:lastRowLastColumn="0"/>
        </w:trPr>
        <w:tc>
          <w:tcPr>
            <w:tcW w:w="9628" w:type="dxa"/>
          </w:tcPr>
          <w:p w14:paraId="1592F993" w14:textId="77777777" w:rsidR="009F2782" w:rsidRPr="009F2782" w:rsidRDefault="009F2782" w:rsidP="009F2782">
            <w:pPr>
              <w:rPr>
                <w:b/>
                <w:bCs/>
              </w:rPr>
            </w:pPr>
            <w:r w:rsidRPr="009F2782">
              <w:rPr>
                <w:b/>
                <w:bCs/>
              </w:rPr>
              <w:t>GDIMP4: Trusted and Authoritative</w:t>
            </w:r>
          </w:p>
        </w:tc>
      </w:tr>
      <w:tr w:rsidR="009F2782" w14:paraId="300FC064" w14:textId="77777777" w:rsidTr="009F2782">
        <w:trPr>
          <w:cnfStyle w:val="000000100000" w:firstRow="0" w:lastRow="0" w:firstColumn="0" w:lastColumn="0" w:oddVBand="0" w:evenVBand="0" w:oddHBand="1" w:evenHBand="0" w:firstRowFirstColumn="0" w:firstRowLastColumn="0" w:lastRowFirstColumn="0" w:lastRowLastColumn="0"/>
        </w:trPr>
        <w:tc>
          <w:tcPr>
            <w:tcW w:w="9628" w:type="dxa"/>
          </w:tcPr>
          <w:p w14:paraId="56B9C6E2" w14:textId="77777777" w:rsidR="009F2782" w:rsidRPr="009F2782" w:rsidRDefault="009F2782" w:rsidP="009F2782">
            <w:pPr>
              <w:rPr>
                <w:b/>
                <w:bCs/>
              </w:rPr>
            </w:pPr>
            <w:r w:rsidRPr="009F2782">
              <w:rPr>
                <w:b/>
                <w:bCs/>
              </w:rPr>
              <w:t>GDIMP5: Well Managed</w:t>
            </w:r>
          </w:p>
        </w:tc>
      </w:tr>
      <w:tr w:rsidR="009F2782" w14:paraId="3287C780" w14:textId="77777777" w:rsidTr="009F2782">
        <w:trPr>
          <w:cnfStyle w:val="000000010000" w:firstRow="0" w:lastRow="0" w:firstColumn="0" w:lastColumn="0" w:oddVBand="0" w:evenVBand="0" w:oddHBand="0" w:evenHBand="1" w:firstRowFirstColumn="0" w:firstRowLastColumn="0" w:lastRowFirstColumn="0" w:lastRowLastColumn="0"/>
        </w:trPr>
        <w:tc>
          <w:tcPr>
            <w:tcW w:w="9628" w:type="dxa"/>
          </w:tcPr>
          <w:p w14:paraId="67549292" w14:textId="77777777" w:rsidR="009F2782" w:rsidRPr="009F2782" w:rsidRDefault="009F2782" w:rsidP="009F2782">
            <w:pPr>
              <w:rPr>
                <w:b/>
                <w:bCs/>
              </w:rPr>
            </w:pPr>
            <w:r w:rsidRPr="009F2782">
              <w:rPr>
                <w:b/>
                <w:bCs/>
              </w:rPr>
              <w:t>GDIMP7: Reusable</w:t>
            </w:r>
          </w:p>
        </w:tc>
      </w:tr>
    </w:tbl>
    <w:p w14:paraId="66EEE526" w14:textId="29261151" w:rsidR="009F2782" w:rsidRDefault="009F2782" w:rsidP="009F2782">
      <w:pPr>
        <w:pStyle w:val="BodyText"/>
      </w:pPr>
    </w:p>
    <w:p w14:paraId="0930A000" w14:textId="123BF1C0" w:rsidR="00FC21DF" w:rsidRDefault="000B152C" w:rsidP="000B152C">
      <w:pPr>
        <w:pStyle w:val="Heading3"/>
      </w:pPr>
      <w:r>
        <w:t xml:space="preserve">Archives New Zealand </w:t>
      </w:r>
      <w:r>
        <w:br/>
      </w:r>
      <w:r w:rsidR="00FC21DF">
        <w:t xml:space="preserve">Information and Records Management Standards </w:t>
      </w:r>
    </w:p>
    <w:p w14:paraId="0BA2AFEA" w14:textId="77777777" w:rsidR="008134E7" w:rsidRDefault="008134E7" w:rsidP="008134E7">
      <w:pPr>
        <w:pStyle w:val="BodyText"/>
      </w:pPr>
      <w:r>
        <w:t>The Records Act 2005 obligates every public office to create and maintain full and accurate records of its affairs in an accessible form until their disposal is required by an Act</w:t>
      </w:r>
      <w:r>
        <w:rPr>
          <w:rStyle w:val="FootnoteReference"/>
        </w:rPr>
        <w:footnoteReference w:id="25"/>
      </w:r>
      <w:r>
        <w:t>.</w:t>
      </w:r>
    </w:p>
    <w:p w14:paraId="3473241F" w14:textId="5A811051" w:rsidR="00FC21DF" w:rsidRDefault="00FC21DF" w:rsidP="009F2782">
      <w:pPr>
        <w:pStyle w:val="BodyText"/>
      </w:pPr>
      <w:r>
        <w:t xml:space="preserve">Archives New Zealand, empowered </w:t>
      </w:r>
      <w:r w:rsidR="008134E7">
        <w:t xml:space="preserve">via delegation </w:t>
      </w:r>
      <w:r>
        <w:t>under the Records Act 2005</w:t>
      </w:r>
      <w:r w:rsidR="008134E7">
        <w:t>,</w:t>
      </w:r>
      <w:r>
        <w:t xml:space="preserve"> has </w:t>
      </w:r>
      <w:r w:rsidR="008134E7">
        <w:t xml:space="preserve">mandated that government agencies </w:t>
      </w:r>
      <w:r>
        <w:t>the following principles</w:t>
      </w:r>
      <w:r w:rsidR="008134E7">
        <w:rPr>
          <w:rStyle w:val="FootnoteReference"/>
        </w:rPr>
        <w:footnoteReference w:id="26"/>
      </w:r>
      <w:r>
        <w:t>.</w:t>
      </w:r>
    </w:p>
    <w:tbl>
      <w:tblPr>
        <w:tblStyle w:val="Table-Default-Blue"/>
        <w:tblW w:w="0" w:type="auto"/>
        <w:tblLook w:val="04A0" w:firstRow="1" w:lastRow="0" w:firstColumn="1" w:lastColumn="0" w:noHBand="0" w:noVBand="1"/>
      </w:tblPr>
      <w:tblGrid>
        <w:gridCol w:w="9524"/>
      </w:tblGrid>
      <w:tr w:rsidR="00FC21DF" w:rsidRPr="00872BBE" w14:paraId="197A24CC" w14:textId="77777777" w:rsidTr="005157AF">
        <w:trPr>
          <w:cnfStyle w:val="100000000000" w:firstRow="1" w:lastRow="0" w:firstColumn="0" w:lastColumn="0" w:oddVBand="0" w:evenVBand="0" w:oddHBand="0" w:evenHBand="0" w:firstRowFirstColumn="0" w:firstRowLastColumn="0" w:lastRowFirstColumn="0" w:lastRowLastColumn="0"/>
        </w:trPr>
        <w:tc>
          <w:tcPr>
            <w:tcW w:w="9524" w:type="dxa"/>
          </w:tcPr>
          <w:p w14:paraId="706979FF" w14:textId="22D50CC1" w:rsidR="00FC21DF" w:rsidRPr="00872BBE" w:rsidRDefault="008134E7" w:rsidP="005157AF">
            <w:r>
              <w:t xml:space="preserve">Standards </w:t>
            </w:r>
          </w:p>
        </w:tc>
      </w:tr>
      <w:tr w:rsidR="00FC21DF" w14:paraId="364605A2" w14:textId="77777777" w:rsidTr="005157AF">
        <w:trPr>
          <w:cnfStyle w:val="000000100000" w:firstRow="0" w:lastRow="0" w:firstColumn="0" w:lastColumn="0" w:oddVBand="0" w:evenVBand="0" w:oddHBand="1" w:evenHBand="0" w:firstRowFirstColumn="0" w:firstRowLastColumn="0" w:lastRowFirstColumn="0" w:lastRowLastColumn="0"/>
        </w:trPr>
        <w:tc>
          <w:tcPr>
            <w:tcW w:w="9524" w:type="dxa"/>
          </w:tcPr>
          <w:p w14:paraId="7DE27501" w14:textId="333D99EE" w:rsidR="00FC21DF" w:rsidRPr="004745DE" w:rsidRDefault="00FC21DF" w:rsidP="005157AF">
            <w:pPr>
              <w:rPr>
                <w:b/>
                <w:bCs/>
              </w:rPr>
            </w:pPr>
            <w:r>
              <w:rPr>
                <w:b/>
                <w:bCs/>
              </w:rPr>
              <w:t>AP</w:t>
            </w:r>
            <w:r w:rsidRPr="004745DE">
              <w:rPr>
                <w:b/>
                <w:bCs/>
              </w:rPr>
              <w:t xml:space="preserve">1: </w:t>
            </w:r>
            <w:r>
              <w:rPr>
                <w:b/>
                <w:bCs/>
              </w:rPr>
              <w:t xml:space="preserve">Organisations are responsible for managing information </w:t>
            </w:r>
            <w:proofErr w:type="gramStart"/>
            <w:r>
              <w:rPr>
                <w:b/>
                <w:bCs/>
              </w:rPr>
              <w:t>records</w:t>
            </w:r>
            <w:proofErr w:type="gramEnd"/>
          </w:p>
          <w:p w14:paraId="73AFB1D4" w14:textId="3A4D4043" w:rsidR="00FC21DF" w:rsidRDefault="00FC21DF" w:rsidP="005157AF">
            <w:pPr>
              <w:pStyle w:val="BodyText"/>
            </w:pPr>
            <w:r>
              <w:t>Th</w:t>
            </w:r>
            <w:r w:rsidR="008134E7">
              <w:t>is</w:t>
            </w:r>
            <w:r>
              <w:t xml:space="preserve"> </w:t>
            </w:r>
            <w:proofErr w:type="gramStart"/>
            <w:r>
              <w:t>principle</w:t>
            </w:r>
            <w:proofErr w:type="gramEnd"/>
            <w:r>
              <w:t xml:space="preserve"> outlines that (1.2) agency senior management are responsible for (1.1) their agencies developing strategies and policies, (1.3) overseen by an Executive Sponsor managing (1.4) trained staff, and (1.8) monitoring of (1.5) business owners being responsible for their (1.6) staff and contractors, and (1.7) communicating responsibilities in contractual offers and instruments.</w:t>
            </w:r>
          </w:p>
        </w:tc>
      </w:tr>
      <w:tr w:rsidR="00FC21DF" w14:paraId="083E31CF" w14:textId="77777777" w:rsidTr="005157AF">
        <w:trPr>
          <w:cnfStyle w:val="000000010000" w:firstRow="0" w:lastRow="0" w:firstColumn="0" w:lastColumn="0" w:oddVBand="0" w:evenVBand="0" w:oddHBand="0" w:evenHBand="1" w:firstRowFirstColumn="0" w:firstRowLastColumn="0" w:lastRowFirstColumn="0" w:lastRowLastColumn="0"/>
        </w:trPr>
        <w:tc>
          <w:tcPr>
            <w:tcW w:w="9524" w:type="dxa"/>
          </w:tcPr>
          <w:p w14:paraId="1FE0A59D" w14:textId="1CC7B428" w:rsidR="00FC21DF" w:rsidRDefault="00FC21DF" w:rsidP="005157AF">
            <w:pPr>
              <w:rPr>
                <w:b/>
                <w:bCs/>
              </w:rPr>
            </w:pPr>
            <w:r>
              <w:rPr>
                <w:b/>
                <w:bCs/>
              </w:rPr>
              <w:t>AP2: Information and records management supports business</w:t>
            </w:r>
            <w:r>
              <w:rPr>
                <w:b/>
                <w:bCs/>
              </w:rPr>
              <w:br/>
            </w:r>
            <w:r w:rsidR="008134E7">
              <w:t xml:space="preserve">This principle outlines that </w:t>
            </w:r>
            <w:r w:rsidRPr="000B152C">
              <w:t xml:space="preserve">(2.1) </w:t>
            </w:r>
            <w:r w:rsidR="008134E7">
              <w:t>i</w:t>
            </w:r>
            <w:r w:rsidRPr="000B152C">
              <w:t xml:space="preserve">nformation required for business must be identified, (2.2.) calling out high risk/high value areas, so that they can be (2.3) met by system </w:t>
            </w:r>
            <w:r w:rsidRPr="000B152C">
              <w:lastRenderedPageBreak/>
              <w:t>designs, to (2.4) support monitoring across all operating environments,</w:t>
            </w:r>
            <w:r w:rsidR="000B152C" w:rsidRPr="000B152C">
              <w:t xml:space="preserve"> (2.6) address the needs of transitioning across systems over (2.5) the full length of its value.</w:t>
            </w:r>
          </w:p>
        </w:tc>
      </w:tr>
      <w:tr w:rsidR="000B152C" w14:paraId="7D386BA8" w14:textId="77777777" w:rsidTr="005157AF">
        <w:trPr>
          <w:cnfStyle w:val="000000100000" w:firstRow="0" w:lastRow="0" w:firstColumn="0" w:lastColumn="0" w:oddVBand="0" w:evenVBand="0" w:oddHBand="1" w:evenHBand="0" w:firstRowFirstColumn="0" w:firstRowLastColumn="0" w:lastRowFirstColumn="0" w:lastRowLastColumn="0"/>
        </w:trPr>
        <w:tc>
          <w:tcPr>
            <w:tcW w:w="9524" w:type="dxa"/>
          </w:tcPr>
          <w:p w14:paraId="16978F39" w14:textId="77777777" w:rsidR="000B152C" w:rsidRDefault="000B152C" w:rsidP="005157AF">
            <w:pPr>
              <w:rPr>
                <w:b/>
                <w:bCs/>
              </w:rPr>
            </w:pPr>
            <w:r>
              <w:rPr>
                <w:b/>
                <w:bCs/>
              </w:rPr>
              <w:lastRenderedPageBreak/>
              <w:t xml:space="preserve">AP3: Information and records are managed </w:t>
            </w:r>
            <w:proofErr w:type="gramStart"/>
            <w:r>
              <w:rPr>
                <w:b/>
                <w:bCs/>
              </w:rPr>
              <w:t>well</w:t>
            </w:r>
            <w:proofErr w:type="gramEnd"/>
          </w:p>
          <w:p w14:paraId="1DB67F25" w14:textId="30BBC4B9" w:rsidR="000B152C" w:rsidRPr="000B152C" w:rsidRDefault="008134E7" w:rsidP="005157AF">
            <w:r>
              <w:t xml:space="preserve">This principle outlines that </w:t>
            </w:r>
            <w:r w:rsidR="000B152C">
              <w:t xml:space="preserve">(3.2) </w:t>
            </w:r>
            <w:r>
              <w:t>a</w:t>
            </w:r>
            <w:r w:rsidR="000B152C">
              <w:t xml:space="preserve">ccurate, </w:t>
            </w:r>
            <w:r>
              <w:t>c</w:t>
            </w:r>
            <w:r w:rsidR="000B152C">
              <w:t xml:space="preserve">orrect Records must be (3.1) routinely developed as BAU, (3.3) such that they are discoverable, identifiable, retrievable, accessible, viewable and usable as long as they have value, while (3.4) / (3.5) being protected from unauthorised and/or unlawful access, dissemination, alteration or destruction, and (3.6) kept as long as needed for business, legal or accountability reasons, then </w:t>
            </w:r>
            <w:r w:rsidRPr="008134E7">
              <w:rPr>
                <w:i/>
                <w:iCs/>
              </w:rPr>
              <w:t>transferred to Archives New Zealand</w:t>
            </w:r>
            <w:r>
              <w:t xml:space="preserve"> or alternate approved repository, or </w:t>
            </w:r>
            <w:r w:rsidR="000B152C">
              <w:t xml:space="preserve">(3.7) disposed of only </w:t>
            </w:r>
            <w:r w:rsidR="000B152C" w:rsidRPr="000B152C">
              <w:rPr>
                <w:i/>
                <w:iCs/>
              </w:rPr>
              <w:t>when authorised to do so</w:t>
            </w:r>
            <w:r>
              <w:rPr>
                <w:i/>
                <w:iCs/>
              </w:rPr>
              <w:t xml:space="preserve">, </w:t>
            </w:r>
            <w:r w:rsidRPr="008134E7">
              <w:t xml:space="preserve">and </w:t>
            </w:r>
            <w:r w:rsidRPr="008134E7">
              <w:rPr>
                <w:i/>
                <w:iCs/>
              </w:rPr>
              <w:t>the</w:t>
            </w:r>
            <w:r>
              <w:rPr>
                <w:i/>
                <w:iCs/>
              </w:rPr>
              <w:t xml:space="preserve"> disposal process is recorded for later auditing.</w:t>
            </w:r>
          </w:p>
        </w:tc>
      </w:tr>
    </w:tbl>
    <w:p w14:paraId="6AD6B569" w14:textId="0D418D66" w:rsidR="00FC21DF" w:rsidRPr="009F2782" w:rsidRDefault="00FC21DF" w:rsidP="009F2782">
      <w:pPr>
        <w:pStyle w:val="BodyText"/>
      </w:pPr>
    </w:p>
    <w:p w14:paraId="072E3618" w14:textId="762D3766" w:rsidR="009F2782" w:rsidRDefault="009F2782" w:rsidP="009F2782">
      <w:pPr>
        <w:pStyle w:val="Heading2"/>
      </w:pPr>
      <w:r>
        <w:t>Enterprise Principles</w:t>
      </w:r>
    </w:p>
    <w:p w14:paraId="0669C2BF" w14:textId="5FFE443E" w:rsidR="009F2782" w:rsidRPr="009F2782" w:rsidRDefault="009F2782" w:rsidP="009F2782">
      <w:pPr>
        <w:pStyle w:val="BodyText"/>
      </w:pPr>
      <w:r>
        <w:t>Guiding Principles have been developed by this organisation. These are documented elsewhere</w:t>
      </w:r>
      <w:r>
        <w:rPr>
          <w:rStyle w:val="FootnoteReference"/>
        </w:rPr>
        <w:footnoteReference w:id="27"/>
      </w:r>
      <w:r>
        <w:t xml:space="preserve"> and are expected to be adhered to unless exempted by the appropriate governance mechanisms</w:t>
      </w:r>
      <w:r>
        <w:rPr>
          <w:rStyle w:val="FootnoteReference"/>
        </w:rPr>
        <w:footnoteReference w:id="28"/>
      </w:r>
      <w:r>
        <w:t>.</w:t>
      </w:r>
    </w:p>
    <w:p w14:paraId="5637339A" w14:textId="3A75BDF4" w:rsidR="00FF1DE5" w:rsidRDefault="002D7149" w:rsidP="00F7266E">
      <w:pPr>
        <w:pStyle w:val="Heading1"/>
      </w:pPr>
      <w:bookmarkStart w:id="58" w:name="_Toc150603090"/>
      <w:bookmarkStart w:id="59" w:name="_Toc145049430"/>
      <w:r>
        <w:lastRenderedPageBreak/>
        <w:t>Recommendations</w:t>
      </w:r>
      <w:bookmarkEnd w:id="58"/>
    </w:p>
    <w:p w14:paraId="52050D69" w14:textId="2B6539CC" w:rsidR="00F7266E" w:rsidRDefault="00F7266E" w:rsidP="00F7266E">
      <w:pPr>
        <w:pStyle w:val="BodyText"/>
      </w:pPr>
      <w:proofErr w:type="gramStart"/>
      <w:r>
        <w:t>Taking into account</w:t>
      </w:r>
      <w:proofErr w:type="gramEnd"/>
      <w:r>
        <w:t xml:space="preserve"> the above constraints, the following is a list of recommendations to </w:t>
      </w:r>
      <w:r w:rsidR="00546EF1">
        <w:t xml:space="preserve">consider when </w:t>
      </w:r>
      <w:r>
        <w:t xml:space="preserve">developing </w:t>
      </w:r>
      <w:r w:rsidR="00030FD7">
        <w:t xml:space="preserve">functional, quality and transitional </w:t>
      </w:r>
      <w:r w:rsidR="00546EF1">
        <w:t xml:space="preserve">contractual </w:t>
      </w:r>
      <w:r w:rsidR="00030FD7">
        <w:t>requirements for a</w:t>
      </w:r>
      <w:r w:rsidR="00546EF1">
        <w:t>n</w:t>
      </w:r>
      <w:r w:rsidR="00030FD7">
        <w:t xml:space="preserve"> education sector system.</w:t>
      </w:r>
    </w:p>
    <w:p w14:paraId="478C8255" w14:textId="454EF445" w:rsidR="00407C6B" w:rsidRDefault="00407C6B" w:rsidP="00407C6B">
      <w:pPr>
        <w:pStyle w:val="Heading2"/>
      </w:pPr>
      <w:r>
        <w:t>Discovery and Definition Considerations</w:t>
      </w:r>
    </w:p>
    <w:p w14:paraId="40273BF1" w14:textId="79C17F55" w:rsidR="00407C6B" w:rsidRDefault="00407C6B" w:rsidP="00407C6B">
      <w:pPr>
        <w:pStyle w:val="BodyText"/>
        <w:numPr>
          <w:ilvl w:val="0"/>
          <w:numId w:val="35"/>
        </w:numPr>
      </w:pPr>
      <w:r>
        <w:t xml:space="preserve">Follow BABOK guidance for the development of requirements. </w:t>
      </w:r>
      <w:r>
        <w:br/>
        <w:t>Namely, develop:</w:t>
      </w:r>
    </w:p>
    <w:p w14:paraId="41CE6C16" w14:textId="348B9D46" w:rsidR="00407C6B" w:rsidRDefault="00407C6B" w:rsidP="00407C6B">
      <w:pPr>
        <w:pStyle w:val="BodyText"/>
        <w:numPr>
          <w:ilvl w:val="1"/>
          <w:numId w:val="35"/>
        </w:numPr>
      </w:pPr>
      <w:r>
        <w:t>Business requirements, met by</w:t>
      </w:r>
    </w:p>
    <w:p w14:paraId="1E02F288" w14:textId="6DC0EDBA" w:rsidR="00407C6B" w:rsidRDefault="00407C6B" w:rsidP="00407C6B">
      <w:pPr>
        <w:pStyle w:val="BodyText"/>
        <w:numPr>
          <w:ilvl w:val="1"/>
          <w:numId w:val="35"/>
        </w:numPr>
      </w:pPr>
      <w:r>
        <w:t>User Requirements, which in turn influence the querying for and development of:</w:t>
      </w:r>
    </w:p>
    <w:p w14:paraId="77E25B07" w14:textId="41D83200" w:rsidR="00407C6B" w:rsidRDefault="00407C6B" w:rsidP="00407C6B">
      <w:pPr>
        <w:pStyle w:val="BodyText"/>
        <w:numPr>
          <w:ilvl w:val="1"/>
          <w:numId w:val="35"/>
        </w:numPr>
      </w:pPr>
      <w:r>
        <w:t>System Requirements, developed as:</w:t>
      </w:r>
    </w:p>
    <w:p w14:paraId="771519D5" w14:textId="6B0F6679" w:rsidR="00407C6B" w:rsidRDefault="00407C6B" w:rsidP="00407C6B">
      <w:pPr>
        <w:pStyle w:val="BodyText"/>
        <w:numPr>
          <w:ilvl w:val="2"/>
          <w:numId w:val="35"/>
        </w:numPr>
      </w:pPr>
      <w:r>
        <w:t>System Functional Requirements</w:t>
      </w:r>
    </w:p>
    <w:p w14:paraId="6243E4BA" w14:textId="549D13DB" w:rsidR="00407C6B" w:rsidRDefault="00407C6B" w:rsidP="00407C6B">
      <w:pPr>
        <w:pStyle w:val="BodyText"/>
        <w:numPr>
          <w:ilvl w:val="2"/>
          <w:numId w:val="35"/>
        </w:numPr>
      </w:pPr>
      <w:r>
        <w:t>System Quality Requirements (according to ISO-25010)</w:t>
      </w:r>
    </w:p>
    <w:p w14:paraId="63C5A41B" w14:textId="73944F18" w:rsidR="00407C6B" w:rsidRDefault="00407C6B" w:rsidP="00407C6B">
      <w:pPr>
        <w:pStyle w:val="BodyText"/>
        <w:numPr>
          <w:ilvl w:val="2"/>
          <w:numId w:val="35"/>
        </w:numPr>
      </w:pPr>
      <w:r>
        <w:t>Information Quality Requirements (according to ISO-25012)</w:t>
      </w:r>
    </w:p>
    <w:p w14:paraId="2D3E21D3" w14:textId="77777777" w:rsidR="00407C6B" w:rsidRDefault="00407C6B" w:rsidP="00407C6B">
      <w:pPr>
        <w:pStyle w:val="BodyText"/>
        <w:numPr>
          <w:ilvl w:val="1"/>
          <w:numId w:val="35"/>
        </w:numPr>
      </w:pPr>
      <w:r>
        <w:t>Delivery requirements, developed as:</w:t>
      </w:r>
    </w:p>
    <w:p w14:paraId="26BFF773" w14:textId="7FB9C568" w:rsidR="00407C6B" w:rsidRDefault="00407C6B" w:rsidP="00407C6B">
      <w:pPr>
        <w:pStyle w:val="BodyText"/>
        <w:numPr>
          <w:ilvl w:val="2"/>
          <w:numId w:val="35"/>
        </w:numPr>
      </w:pPr>
      <w:r>
        <w:t xml:space="preserve">Transitional Requirements </w:t>
      </w:r>
    </w:p>
    <w:p w14:paraId="14D713F4" w14:textId="666F8693" w:rsidR="000F00CE" w:rsidRPr="00F7266E" w:rsidRDefault="000F00CE" w:rsidP="000F00CE">
      <w:pPr>
        <w:pStyle w:val="BodyText"/>
        <w:numPr>
          <w:ilvl w:val="0"/>
          <w:numId w:val="35"/>
        </w:numPr>
      </w:pPr>
      <w:r>
        <w:t xml:space="preserve">Most government systems are information systems. Therefore, consider referencing and incorporating outcomes and guidance defined within </w:t>
      </w:r>
      <w:r w:rsidRPr="000F00CE">
        <w:t>ISO-13028</w:t>
      </w:r>
      <w:r>
        <w:rPr>
          <w:b/>
          <w:bCs/>
        </w:rPr>
        <w:t>.</w:t>
      </w:r>
    </w:p>
    <w:p w14:paraId="17372928" w14:textId="0A357FCD" w:rsidR="00761F3E" w:rsidRDefault="00407C6B" w:rsidP="00F7266E">
      <w:pPr>
        <w:pStyle w:val="Heading2"/>
      </w:pPr>
      <w:bookmarkStart w:id="60" w:name="_Toc150603091"/>
      <w:r>
        <w:t>Documentation</w:t>
      </w:r>
      <w:r w:rsidR="00761F3E">
        <w:t xml:space="preserve"> Considerations</w:t>
      </w:r>
    </w:p>
    <w:p w14:paraId="0DB6F547" w14:textId="50546D3A" w:rsidR="00761F3E" w:rsidRDefault="00761F3E" w:rsidP="00761F3E">
      <w:pPr>
        <w:pStyle w:val="BodyText"/>
        <w:numPr>
          <w:ilvl w:val="0"/>
          <w:numId w:val="35"/>
        </w:numPr>
      </w:pPr>
      <w:r>
        <w:t>Develop Solution Architecture Description (SAD) documentation according to ISO-42010 guidelines. Namely, as a series of curated Views developed from the perspective of different stakeholder and user groups: Sponsors, Business Service Users, Business Service Support, System Support, System Operations, System Monitoring, System Maintenance, System Development, System Quality Assurance, Solution Accreditation, System Deployment.</w:t>
      </w:r>
    </w:p>
    <w:p w14:paraId="5B611C2D" w14:textId="55AE5F3A" w:rsidR="00761F3E" w:rsidRDefault="00761F3E" w:rsidP="00761F3E">
      <w:pPr>
        <w:pStyle w:val="BodyText"/>
        <w:numPr>
          <w:ilvl w:val="0"/>
          <w:numId w:val="35"/>
        </w:numPr>
      </w:pPr>
      <w:r>
        <w:t>Primarily us</w:t>
      </w:r>
      <w:r w:rsidR="00407C6B">
        <w:t>e</w:t>
      </w:r>
      <w:r>
        <w:t xml:space="preserve"> ISO based UML diagrams intended for a technical audience. </w:t>
      </w:r>
      <w:r>
        <w:rPr>
          <w:rStyle w:val="FootnoteReference"/>
        </w:rPr>
        <w:footnoteReference w:id="29"/>
      </w:r>
    </w:p>
    <w:p w14:paraId="082E4DF3" w14:textId="77777777" w:rsidR="00407C6B" w:rsidRDefault="00407C6B" w:rsidP="00761F3E">
      <w:pPr>
        <w:pStyle w:val="BodyText"/>
      </w:pPr>
    </w:p>
    <w:p w14:paraId="259828C6" w14:textId="68FC635F" w:rsidR="00407C6B" w:rsidRDefault="00407C6B" w:rsidP="00407C6B">
      <w:pPr>
        <w:pStyle w:val="Heading2"/>
      </w:pPr>
      <w:r>
        <w:lastRenderedPageBreak/>
        <w:t>Delivery Process Considerations</w:t>
      </w:r>
    </w:p>
    <w:p w14:paraId="7F72F154" w14:textId="23E35DB1" w:rsidR="00407C6B" w:rsidRPr="00407C6B" w:rsidRDefault="00407C6B" w:rsidP="00407C6B">
      <w:pPr>
        <w:pStyle w:val="ListParagraph"/>
        <w:numPr>
          <w:ilvl w:val="0"/>
          <w:numId w:val="35"/>
        </w:numPr>
      </w:pPr>
      <w:r w:rsidRPr="00407C6B">
        <w:t xml:space="preserve">Follow </w:t>
      </w:r>
      <w:r w:rsidR="000F00CE" w:rsidRPr="000F00CE">
        <w:rPr>
          <w:i/>
          <w:iCs/>
        </w:rPr>
        <w:t>ISO-29110: System and Software Lifecycle Profiles &amp; Guidelines for Very Small Entities</w:t>
      </w:r>
      <w:r w:rsidRPr="00407C6B">
        <w:t xml:space="preserve"> guidance, which defines an Agile process to delivering software</w:t>
      </w:r>
      <w:r>
        <w:t>-</w:t>
      </w:r>
      <w:r w:rsidRPr="00407C6B">
        <w:t>based systems</w:t>
      </w:r>
      <w:r>
        <w:t xml:space="preserve">, </w:t>
      </w:r>
      <w:r w:rsidRPr="000F00CE">
        <w:rPr>
          <w:u w:val="single"/>
        </w:rPr>
        <w:t xml:space="preserve">while integrating with other international ISO </w:t>
      </w:r>
      <w:r w:rsidR="000F00CE" w:rsidRPr="000F00CE">
        <w:rPr>
          <w:u w:val="single"/>
        </w:rPr>
        <w:t>frameworks</w:t>
      </w:r>
      <w:r>
        <w:t>.</w:t>
      </w:r>
    </w:p>
    <w:p w14:paraId="04B86879" w14:textId="14B9C4C5" w:rsidR="00761F3E" w:rsidRPr="000F00CE" w:rsidRDefault="00761F3E" w:rsidP="000F00CE"/>
    <w:p w14:paraId="26812D93" w14:textId="7441146E" w:rsidR="00917ABA" w:rsidRDefault="000F00CE" w:rsidP="00F7266E">
      <w:pPr>
        <w:pStyle w:val="Heading2"/>
      </w:pPr>
      <w:r>
        <w:t>Service</w:t>
      </w:r>
      <w:r w:rsidR="00030FD7">
        <w:t xml:space="preserve"> </w:t>
      </w:r>
      <w:r w:rsidR="00917ABA">
        <w:t>Infrastructure Considerations</w:t>
      </w:r>
      <w:bookmarkEnd w:id="60"/>
    </w:p>
    <w:p w14:paraId="7814C949" w14:textId="4E91F378" w:rsidR="002D7149" w:rsidRDefault="002D7149" w:rsidP="004A2BCA">
      <w:pPr>
        <w:pStyle w:val="BodyText"/>
        <w:numPr>
          <w:ilvl w:val="0"/>
          <w:numId w:val="42"/>
        </w:numPr>
      </w:pPr>
      <w:r>
        <w:t>Persist data on infrastructure maintained by organisations who have obtained ISO-27001 Level 2+</w:t>
      </w:r>
      <w:r w:rsidR="00A0465B">
        <w:rPr>
          <w:rStyle w:val="FootnoteReference"/>
        </w:rPr>
        <w:footnoteReference w:id="30"/>
      </w:r>
      <w:r>
        <w:t xml:space="preserve"> compliance.</w:t>
      </w:r>
    </w:p>
    <w:p w14:paraId="4534C924" w14:textId="0184831F" w:rsidR="002D7149" w:rsidRDefault="002D7149" w:rsidP="004A2BCA">
      <w:pPr>
        <w:pStyle w:val="BodyText"/>
        <w:numPr>
          <w:ilvl w:val="0"/>
          <w:numId w:val="42"/>
        </w:numPr>
      </w:pPr>
      <w:r>
        <w:t xml:space="preserve">Persist data in an encrypted manner where reasonably possible. </w:t>
      </w:r>
    </w:p>
    <w:p w14:paraId="3FA65381" w14:textId="1D1637C0" w:rsidR="00917ABA" w:rsidRDefault="002D7149" w:rsidP="004A2BCA">
      <w:pPr>
        <w:pStyle w:val="BodyText"/>
        <w:numPr>
          <w:ilvl w:val="0"/>
          <w:numId w:val="42"/>
        </w:numPr>
      </w:pPr>
      <w:r>
        <w:t xml:space="preserve">Persist data on or developed by </w:t>
      </w:r>
      <w:r w:rsidR="006654C3">
        <w:t>Māori</w:t>
      </w:r>
      <w:r>
        <w:t xml:space="preserve"> citizen in New Zealand when practical and not diminishing security considerations or significantly impacting usability (</w:t>
      </w:r>
      <w:r w:rsidR="009009E9">
        <w:t>e.g.</w:t>
      </w:r>
      <w:r>
        <w:t xml:space="preserve">: latency). </w:t>
      </w:r>
      <w:r w:rsidR="00917ABA">
        <w:t xml:space="preserve"> </w:t>
      </w:r>
    </w:p>
    <w:p w14:paraId="3BE19E7F" w14:textId="0DEA2AA0" w:rsidR="002D7149" w:rsidRDefault="00917ABA" w:rsidP="004A2BCA">
      <w:pPr>
        <w:pStyle w:val="BodyText"/>
        <w:numPr>
          <w:ilvl w:val="0"/>
          <w:numId w:val="42"/>
        </w:numPr>
      </w:pPr>
      <w:r>
        <w:t>Noting that if Azure or AWS services are used when these services become available in New Zealand, they may become susceptible to data requests by the US if NZ becomes a CLOUD Act partner in the future.</w:t>
      </w:r>
    </w:p>
    <w:p w14:paraId="255FD78B" w14:textId="77777777" w:rsidR="00A0465B" w:rsidRDefault="008954BC" w:rsidP="004A2BCA">
      <w:pPr>
        <w:pStyle w:val="BodyText"/>
        <w:numPr>
          <w:ilvl w:val="0"/>
          <w:numId w:val="42"/>
        </w:numPr>
      </w:pPr>
      <w:r>
        <w:t xml:space="preserve">Either by external WAF or system-based controls, limit traffic from </w:t>
      </w:r>
      <w:r w:rsidR="004A2BCA">
        <w:t xml:space="preserve">specific countries </w:t>
      </w:r>
      <w:r w:rsidR="00A0465B">
        <w:t xml:space="preserve">(“geo-block”) </w:t>
      </w:r>
      <w:r w:rsidR="004A2BCA">
        <w:t xml:space="preserve">when </w:t>
      </w:r>
      <w:r w:rsidR="00A0465B">
        <w:t>the type of transaction makes it applicable</w:t>
      </w:r>
      <w:r w:rsidR="004A2BCA">
        <w:t xml:space="preserve">. </w:t>
      </w:r>
    </w:p>
    <w:p w14:paraId="6B7202B5" w14:textId="4CD6268E" w:rsidR="008954BC" w:rsidRDefault="004A2BCA" w:rsidP="00A0465B">
      <w:pPr>
        <w:pStyle w:val="Note"/>
        <w:ind w:left="720"/>
      </w:pPr>
      <w:r>
        <w:t xml:space="preserve">Noting </w:t>
      </w:r>
      <w:r w:rsidR="00A0465B">
        <w:t xml:space="preserve">-- </w:t>
      </w:r>
      <w:r>
        <w:t xml:space="preserve">and accepting </w:t>
      </w:r>
      <w:r w:rsidR="00A0465B">
        <w:t xml:space="preserve">-- </w:t>
      </w:r>
      <w:r>
        <w:t xml:space="preserve">that this approach is easily </w:t>
      </w:r>
      <w:r w:rsidR="00A0465B">
        <w:t>circumventable with the use of Virtual Private Networks (VPNs)</w:t>
      </w:r>
      <w:r>
        <w:t xml:space="preserve">, it remains a recommendation of NZISM. </w:t>
      </w:r>
    </w:p>
    <w:p w14:paraId="55379618" w14:textId="3CC178DB" w:rsidR="00A0465B" w:rsidRDefault="00761F3E" w:rsidP="00030FD7">
      <w:pPr>
        <w:pStyle w:val="Heading2"/>
      </w:pPr>
      <w:bookmarkStart w:id="61" w:name="_Toc150603092"/>
      <w:r>
        <w:t xml:space="preserve">Service </w:t>
      </w:r>
      <w:r w:rsidR="00A0465B">
        <w:t>Discovery Considerations</w:t>
      </w:r>
    </w:p>
    <w:p w14:paraId="75244F58" w14:textId="19B964B5" w:rsidR="00A0465B" w:rsidRDefault="00A0465B" w:rsidP="00A12FFE">
      <w:pPr>
        <w:pStyle w:val="BodyText"/>
        <w:numPr>
          <w:ilvl w:val="0"/>
          <w:numId w:val="42"/>
        </w:numPr>
      </w:pPr>
      <w:r>
        <w:t xml:space="preserve">Ensure the system is made discoverable by end users by being associated to a government DNS </w:t>
      </w:r>
      <w:r w:rsidR="00A12FFE">
        <w:t>top-level domain (TLD)</w:t>
      </w:r>
      <w:r>
        <w:t xml:space="preserve"> (i.e., </w:t>
      </w:r>
      <w:proofErr w:type="gramStart"/>
      <w:r>
        <w:t>“.govt.nz</w:t>
      </w:r>
      <w:proofErr w:type="gramEnd"/>
      <w:r>
        <w:t>”), and/or associated to a government agency’s DNS subdomain (i.e. “education.govt.nz”).</w:t>
      </w:r>
    </w:p>
    <w:p w14:paraId="78592115" w14:textId="668FF42F" w:rsidR="000C17AA" w:rsidRDefault="000C17AA" w:rsidP="000C17AA">
      <w:pPr>
        <w:pStyle w:val="Heading2"/>
      </w:pPr>
      <w:r>
        <w:t>Service Design Considerations</w:t>
      </w:r>
    </w:p>
    <w:p w14:paraId="320832C5" w14:textId="53D2AE1B" w:rsidR="000C17AA" w:rsidRDefault="000C17AA" w:rsidP="000C17AA">
      <w:pPr>
        <w:pStyle w:val="BodyText"/>
        <w:numPr>
          <w:ilvl w:val="0"/>
          <w:numId w:val="42"/>
        </w:numPr>
      </w:pPr>
      <w:r>
        <w:t xml:space="preserve">Consider only using logical deletion of data, not physical, thereby being able to offer functionality to undo “Delete” operations, lowering support costs. </w:t>
      </w:r>
    </w:p>
    <w:p w14:paraId="3B279C18" w14:textId="77777777" w:rsidR="000C17AA" w:rsidRDefault="000C17AA" w:rsidP="000C17AA">
      <w:pPr>
        <w:pStyle w:val="BodyText"/>
        <w:numPr>
          <w:ilvl w:val="0"/>
          <w:numId w:val="42"/>
        </w:numPr>
      </w:pPr>
      <w:r>
        <w:t xml:space="preserve">Consider leveraging cloud Services to decrease development, testing and deployment effort. These become available once hosted in a cloud provider. </w:t>
      </w:r>
    </w:p>
    <w:p w14:paraId="546E2F47" w14:textId="27547097" w:rsidR="000C17AA" w:rsidRDefault="000C17AA" w:rsidP="000C17AA">
      <w:pPr>
        <w:pStyle w:val="Note"/>
        <w:ind w:left="720"/>
      </w:pPr>
      <w:r>
        <w:t xml:space="preserve">I.e., don’t continue to develop using an IaaS or even a CaaS based approach if you are developing for the cloud. Prefer instead a PaaS based approach to </w:t>
      </w:r>
      <w:r>
        <w:lastRenderedPageBreak/>
        <w:t xml:space="preserve">decrease the development, testing, </w:t>
      </w:r>
      <w:r w:rsidR="00546EF1">
        <w:t>maintenance,</w:t>
      </w:r>
      <w:r>
        <w:t xml:space="preserve"> and security areas that you are responsible for.</w:t>
      </w:r>
    </w:p>
    <w:p w14:paraId="78E16285" w14:textId="3B722886" w:rsidR="000C17AA" w:rsidRDefault="000C17AA" w:rsidP="000C17AA">
      <w:pPr>
        <w:pStyle w:val="Heading2"/>
      </w:pPr>
      <w:r>
        <w:t>Service Rendering Considerations</w:t>
      </w:r>
    </w:p>
    <w:p w14:paraId="25896909" w14:textId="02C94141" w:rsidR="000C17AA" w:rsidRDefault="000C17AA" w:rsidP="000C17AA">
      <w:pPr>
        <w:pStyle w:val="BodyText"/>
        <w:numPr>
          <w:ilvl w:val="0"/>
          <w:numId w:val="42"/>
        </w:numPr>
      </w:pPr>
      <w:r>
        <w:t>Consider offering supporting sites to address the following concerns:</w:t>
      </w:r>
    </w:p>
    <w:p w14:paraId="4529D012" w14:textId="5B486A92" w:rsidR="000C17AA" w:rsidRDefault="000C17AA" w:rsidP="000C17AA">
      <w:pPr>
        <w:pStyle w:val="BodyText"/>
        <w:numPr>
          <w:ilvl w:val="1"/>
          <w:numId w:val="42"/>
        </w:numPr>
      </w:pPr>
      <w:r>
        <w:t>Subsite in the organisation’s public website (improving discoverability)</w:t>
      </w:r>
    </w:p>
    <w:p w14:paraId="3B3A0FB9" w14:textId="56190C94" w:rsidR="000C17AA" w:rsidRDefault="000C17AA" w:rsidP="000C17AA">
      <w:pPr>
        <w:pStyle w:val="BodyText"/>
        <w:numPr>
          <w:ilvl w:val="1"/>
          <w:numId w:val="42"/>
        </w:numPr>
      </w:pPr>
      <w:r>
        <w:t>Summary Information (</w:t>
      </w:r>
      <w:r w:rsidR="00546EF1">
        <w:t>i.e.</w:t>
      </w:r>
      <w:r>
        <w:t>, a dedicated separate brochure site)</w:t>
      </w:r>
    </w:p>
    <w:p w14:paraId="7DD91A00" w14:textId="5006D5D1" w:rsidR="000C17AA" w:rsidRDefault="000C17AA" w:rsidP="000C17AA">
      <w:pPr>
        <w:pStyle w:val="BodyText"/>
        <w:numPr>
          <w:ilvl w:val="1"/>
          <w:numId w:val="42"/>
        </w:numPr>
      </w:pPr>
      <w:r>
        <w:t>Self-Help (</w:t>
      </w:r>
      <w:r w:rsidR="00546EF1">
        <w:t>i.e.</w:t>
      </w:r>
      <w:r>
        <w:t>, documentation)</w:t>
      </w:r>
    </w:p>
    <w:p w14:paraId="430E20B4" w14:textId="6EE81039" w:rsidR="000C17AA" w:rsidRPr="00A0465B" w:rsidRDefault="000C17AA" w:rsidP="000C17AA">
      <w:pPr>
        <w:pStyle w:val="BodyText"/>
        <w:numPr>
          <w:ilvl w:val="1"/>
          <w:numId w:val="42"/>
        </w:numPr>
      </w:pPr>
      <w:r>
        <w:t>Support (</w:t>
      </w:r>
      <w:r w:rsidR="00546EF1">
        <w:t>i.e.</w:t>
      </w:r>
      <w:r>
        <w:t>, ticketed assistance)</w:t>
      </w:r>
    </w:p>
    <w:p w14:paraId="0C07DDE0" w14:textId="16FDAF65" w:rsidR="00917ABA" w:rsidRDefault="00761F3E" w:rsidP="00030FD7">
      <w:pPr>
        <w:pStyle w:val="Heading2"/>
      </w:pPr>
      <w:r>
        <w:t xml:space="preserve">Service </w:t>
      </w:r>
      <w:r w:rsidR="00917ABA">
        <w:t>Disclosure Considerations</w:t>
      </w:r>
      <w:bookmarkEnd w:id="61"/>
    </w:p>
    <w:p w14:paraId="24D79412" w14:textId="77777777" w:rsidR="00917ABA" w:rsidRDefault="00917ABA" w:rsidP="004A2BCA">
      <w:pPr>
        <w:pStyle w:val="BodyText"/>
        <w:numPr>
          <w:ilvl w:val="0"/>
          <w:numId w:val="43"/>
        </w:numPr>
      </w:pPr>
      <w:r>
        <w:t>Ensure the service provides a self-help channel to correct or ask correction of personal information. After all, a person is expected to know themselves best.</w:t>
      </w:r>
    </w:p>
    <w:p w14:paraId="7D584B21" w14:textId="77777777" w:rsidR="00917ABA" w:rsidRDefault="00917ABA" w:rsidP="004A2BCA">
      <w:pPr>
        <w:pStyle w:val="BodyText"/>
        <w:numPr>
          <w:ilvl w:val="0"/>
          <w:numId w:val="43"/>
        </w:numPr>
      </w:pPr>
      <w:r>
        <w:t>Ensure the service provides a tracking statement.</w:t>
      </w:r>
    </w:p>
    <w:p w14:paraId="3F4733F7" w14:textId="77777777" w:rsidR="00917ABA" w:rsidRDefault="00917ABA" w:rsidP="004A2BCA">
      <w:pPr>
        <w:pStyle w:val="BodyText"/>
        <w:numPr>
          <w:ilvl w:val="0"/>
          <w:numId w:val="43"/>
        </w:numPr>
      </w:pPr>
      <w:r>
        <w:t xml:space="preserve">Ensure the service provides a data use statement explaining: </w:t>
      </w:r>
    </w:p>
    <w:p w14:paraId="29A151B0" w14:textId="77777777" w:rsidR="00917ABA" w:rsidRDefault="00917ABA" w:rsidP="004A2BCA">
      <w:pPr>
        <w:pStyle w:val="BodyText"/>
        <w:numPr>
          <w:ilvl w:val="1"/>
          <w:numId w:val="43"/>
        </w:numPr>
      </w:pPr>
      <w:r>
        <w:t xml:space="preserve">what personal information is collected, </w:t>
      </w:r>
    </w:p>
    <w:p w14:paraId="2CC7A74D" w14:textId="77777777" w:rsidR="00917ABA" w:rsidRDefault="00917ABA" w:rsidP="004A2BCA">
      <w:pPr>
        <w:pStyle w:val="BodyText"/>
        <w:numPr>
          <w:ilvl w:val="1"/>
          <w:numId w:val="43"/>
        </w:numPr>
      </w:pPr>
      <w:r>
        <w:t xml:space="preserve">for what purpose, </w:t>
      </w:r>
    </w:p>
    <w:p w14:paraId="026A1110" w14:textId="77777777" w:rsidR="00917ABA" w:rsidRDefault="00917ABA" w:rsidP="004A2BCA">
      <w:pPr>
        <w:pStyle w:val="BodyText"/>
        <w:numPr>
          <w:ilvl w:val="1"/>
          <w:numId w:val="43"/>
        </w:numPr>
      </w:pPr>
      <w:r>
        <w:t xml:space="preserve">how it may be corrected, </w:t>
      </w:r>
    </w:p>
    <w:p w14:paraId="3A1D4F5B" w14:textId="77777777" w:rsidR="00917ABA" w:rsidRDefault="00917ABA" w:rsidP="004A2BCA">
      <w:pPr>
        <w:pStyle w:val="BodyText"/>
        <w:numPr>
          <w:ilvl w:val="1"/>
          <w:numId w:val="43"/>
        </w:numPr>
      </w:pPr>
      <w:r>
        <w:t xml:space="preserve">with whom it is shared, and </w:t>
      </w:r>
    </w:p>
    <w:p w14:paraId="117A26E9" w14:textId="77777777" w:rsidR="00917ABA" w:rsidRDefault="00917ABA" w:rsidP="004A2BCA">
      <w:pPr>
        <w:pStyle w:val="BodyText"/>
        <w:numPr>
          <w:ilvl w:val="1"/>
          <w:numId w:val="43"/>
        </w:numPr>
      </w:pPr>
      <w:r>
        <w:t xml:space="preserve">how to request it be removed. </w:t>
      </w:r>
    </w:p>
    <w:p w14:paraId="48EA9A99" w14:textId="5928B22A" w:rsidR="00917ABA" w:rsidRDefault="00761F3E" w:rsidP="00030FD7">
      <w:pPr>
        <w:pStyle w:val="Heading2"/>
      </w:pPr>
      <w:bookmarkStart w:id="62" w:name="_Toc150603093"/>
      <w:r>
        <w:t xml:space="preserve">Service </w:t>
      </w:r>
      <w:r w:rsidR="00917ABA">
        <w:t xml:space="preserve">Data </w:t>
      </w:r>
      <w:r w:rsidR="008954BC">
        <w:t xml:space="preserve">at </w:t>
      </w:r>
      <w:r w:rsidR="008954BC" w:rsidRPr="00030FD7">
        <w:t>Rest</w:t>
      </w:r>
      <w:r w:rsidR="00917ABA">
        <w:t xml:space="preserve"> Considerations</w:t>
      </w:r>
      <w:bookmarkEnd w:id="62"/>
    </w:p>
    <w:p w14:paraId="59D9E650" w14:textId="7CE61E2B" w:rsidR="008954BC" w:rsidRDefault="00030FD7" w:rsidP="00030FD7">
      <w:pPr>
        <w:pStyle w:val="Heading3"/>
      </w:pPr>
      <w:bookmarkStart w:id="63" w:name="_Toc150603094"/>
      <w:r>
        <w:t>System Data</w:t>
      </w:r>
      <w:bookmarkEnd w:id="63"/>
    </w:p>
    <w:p w14:paraId="5E928BF4" w14:textId="3B5F80B8" w:rsidR="008954BC" w:rsidRDefault="008954BC" w:rsidP="004A2BCA">
      <w:pPr>
        <w:pStyle w:val="BodyText"/>
        <w:numPr>
          <w:ilvl w:val="1"/>
          <w:numId w:val="35"/>
        </w:numPr>
      </w:pPr>
      <w:r>
        <w:t xml:space="preserve">Ensure backups of service databases (transactional, reporting, PI – if doing it very well) are encrypted as well. </w:t>
      </w:r>
    </w:p>
    <w:p w14:paraId="37100760" w14:textId="385BF487" w:rsidR="008954BC" w:rsidRDefault="008954BC" w:rsidP="004A2BCA">
      <w:pPr>
        <w:pStyle w:val="BodyText"/>
        <w:numPr>
          <w:ilvl w:val="1"/>
          <w:numId w:val="35"/>
        </w:numPr>
      </w:pPr>
      <w:r>
        <w:t xml:space="preserve">Ensure physical access to encrypted data stores is not </w:t>
      </w:r>
      <w:r w:rsidR="006654C3">
        <w:t>permitted (</w:t>
      </w:r>
      <w:r>
        <w:t>e.g., by being remote, in an ISO-27001 Level 2+ compliant data facility).</w:t>
      </w:r>
    </w:p>
    <w:p w14:paraId="7CF7D1C0" w14:textId="77777777" w:rsidR="008954BC" w:rsidRDefault="008954BC" w:rsidP="004A2BCA">
      <w:pPr>
        <w:pStyle w:val="BodyText"/>
        <w:numPr>
          <w:ilvl w:val="1"/>
          <w:numId w:val="35"/>
        </w:numPr>
      </w:pPr>
      <w:r>
        <w:t>Ensure remote access to encrypted data stores is limited to service accounts for automation, and excludes stakeholders, including users, stakeholders, user SMSs, quality assurers, system supporters, operators, maintainers, etc.</w:t>
      </w:r>
    </w:p>
    <w:p w14:paraId="4A36B7D3" w14:textId="3AC0A913" w:rsidR="008954BC" w:rsidRDefault="008954BC" w:rsidP="004A2BCA">
      <w:pPr>
        <w:pStyle w:val="BodyText"/>
        <w:numPr>
          <w:ilvl w:val="1"/>
          <w:numId w:val="35"/>
        </w:numPr>
      </w:pPr>
      <w:r>
        <w:t>Provide non-production environments with the functionality required by stakeholders, user SMEs, quality assurers, supporters, operators</w:t>
      </w:r>
      <w:r w:rsidR="006654C3">
        <w:t>,</w:t>
      </w:r>
      <w:r>
        <w:t xml:space="preserve"> maintainers, to perform their expected tasks.</w:t>
      </w:r>
    </w:p>
    <w:p w14:paraId="7F8F5599" w14:textId="0079F36F" w:rsidR="008954BC" w:rsidRDefault="008954BC" w:rsidP="004A2BCA">
      <w:pPr>
        <w:pStyle w:val="BodyText"/>
        <w:numPr>
          <w:ilvl w:val="1"/>
          <w:numId w:val="35"/>
        </w:numPr>
      </w:pPr>
      <w:r>
        <w:lastRenderedPageBreak/>
        <w:t xml:space="preserve">For usability and system stability, </w:t>
      </w:r>
      <w:r w:rsidR="006654C3">
        <w:t>auditability,</w:t>
      </w:r>
      <w:r>
        <w:t xml:space="preserve"> and maintainability reasons, it is recommended to never </w:t>
      </w:r>
      <w:r w:rsidRPr="00D43256">
        <w:rPr>
          <w:i/>
          <w:iCs/>
        </w:rPr>
        <w:t>physically</w:t>
      </w:r>
      <w:r>
        <w:t xml:space="preserve"> delete records of any kind, but only </w:t>
      </w:r>
      <w:r w:rsidRPr="00D43256">
        <w:rPr>
          <w:i/>
          <w:iCs/>
        </w:rPr>
        <w:t>logically</w:t>
      </w:r>
      <w:r>
        <w:t xml:space="preserve"> change their state (Current, Replaced, Merged, Removed, Restored, Deleted)</w:t>
      </w:r>
      <w:r>
        <w:rPr>
          <w:rStyle w:val="FootnoteReference"/>
        </w:rPr>
        <w:footnoteReference w:id="31"/>
      </w:r>
      <w:r>
        <w:t>.  Higher quality systems will provide Versioning as well.</w:t>
      </w:r>
    </w:p>
    <w:p w14:paraId="617C9575" w14:textId="61281042" w:rsidR="00030FD7" w:rsidRDefault="00030FD7" w:rsidP="008954BC">
      <w:pPr>
        <w:pStyle w:val="BodyText"/>
        <w:numPr>
          <w:ilvl w:val="1"/>
          <w:numId w:val="35"/>
        </w:numPr>
      </w:pPr>
      <w:r>
        <w:t xml:space="preserve">For correctness quality reasons, noting that the data is stored, </w:t>
      </w:r>
      <w:r w:rsidR="000F00CE">
        <w:t>processed,</w:t>
      </w:r>
      <w:r>
        <w:t xml:space="preserve"> and viewed in one or more time zones, ensure that data models are developed using universal formats.  The use of UUIDs</w:t>
      </w:r>
      <w:r>
        <w:rPr>
          <w:rStyle w:val="FootnoteReference"/>
        </w:rPr>
        <w:footnoteReference w:id="32"/>
      </w:r>
      <w:r>
        <w:t xml:space="preserve"> for data store identifiers instead of integers is recommended as is the use of </w:t>
      </w:r>
      <w:proofErr w:type="spellStart"/>
      <w:r>
        <w:t>UTC+offset</w:t>
      </w:r>
      <w:proofErr w:type="spellEnd"/>
      <w:r>
        <w:t xml:space="preserve"> based formats for dates and times).</w:t>
      </w:r>
    </w:p>
    <w:p w14:paraId="5C69A975" w14:textId="0D947FD6" w:rsidR="008954BC" w:rsidRDefault="008954BC" w:rsidP="00030FD7">
      <w:pPr>
        <w:pStyle w:val="Heading3"/>
      </w:pPr>
      <w:bookmarkStart w:id="64" w:name="_Toc150603095"/>
      <w:r>
        <w:t>Personal</w:t>
      </w:r>
      <w:r w:rsidR="00030FD7">
        <w:t xml:space="preserve"> Data</w:t>
      </w:r>
      <w:bookmarkEnd w:id="64"/>
    </w:p>
    <w:p w14:paraId="63B192B1" w14:textId="2F90ADD6" w:rsidR="002D7149" w:rsidRDefault="002D7149" w:rsidP="004A2BCA">
      <w:pPr>
        <w:pStyle w:val="BodyText"/>
        <w:numPr>
          <w:ilvl w:val="0"/>
          <w:numId w:val="44"/>
        </w:numPr>
      </w:pPr>
      <w:r>
        <w:t>Consider persisting Personal Identifier information in a table separate from the system User table. Merging the two only for presentation purposes.</w:t>
      </w:r>
    </w:p>
    <w:p w14:paraId="5C196AFD" w14:textId="5E124E08" w:rsidR="002D7149" w:rsidRDefault="002D7149" w:rsidP="004A2BCA">
      <w:pPr>
        <w:pStyle w:val="BodyText"/>
        <w:numPr>
          <w:ilvl w:val="0"/>
          <w:numId w:val="44"/>
        </w:numPr>
      </w:pPr>
      <w:r>
        <w:t xml:space="preserve">Consider persisting Personal </w:t>
      </w:r>
      <w:r w:rsidR="00D43256">
        <w:t>Identifier</w:t>
      </w:r>
      <w:r>
        <w:t xml:space="preserve"> </w:t>
      </w:r>
      <w:r w:rsidR="00D43256">
        <w:t xml:space="preserve">(PI) </w:t>
      </w:r>
      <w:r>
        <w:t>information in a separate datastore than operational datastore than the transactional database of a system.</w:t>
      </w:r>
    </w:p>
    <w:p w14:paraId="2D7AC9B5" w14:textId="77777777" w:rsidR="004A2BCA" w:rsidRDefault="002D7149" w:rsidP="004A2BCA">
      <w:pPr>
        <w:pStyle w:val="BodyText"/>
        <w:numPr>
          <w:ilvl w:val="0"/>
          <w:numId w:val="44"/>
        </w:numPr>
      </w:pPr>
      <w:r>
        <w:t xml:space="preserve">Whereas </w:t>
      </w:r>
      <w:r w:rsidR="00D43256">
        <w:t xml:space="preserve">the </w:t>
      </w:r>
      <w:r>
        <w:t xml:space="preserve">Privacy Act and GDRP state that personal information is to be deleted from </w:t>
      </w:r>
      <w:r w:rsidR="00750602">
        <w:t xml:space="preserve">the </w:t>
      </w:r>
      <w:r w:rsidR="00D43256">
        <w:t>service</w:t>
      </w:r>
      <w:r w:rsidR="00750602">
        <w:t xml:space="preserve"> when no longer required or upon request, it makes exceptions if the data is still required legally. </w:t>
      </w:r>
    </w:p>
    <w:p w14:paraId="03EA0F54" w14:textId="77777777" w:rsidR="004A2BCA" w:rsidRDefault="00750602" w:rsidP="004A2BCA">
      <w:pPr>
        <w:pStyle w:val="BodyText"/>
        <w:numPr>
          <w:ilvl w:val="1"/>
          <w:numId w:val="43"/>
        </w:numPr>
      </w:pPr>
      <w:r>
        <w:t xml:space="preserve">The requirements of </w:t>
      </w:r>
      <w:r w:rsidR="00F7266E">
        <w:t xml:space="preserve">the </w:t>
      </w:r>
      <w:r>
        <w:t xml:space="preserve">regulation developed by the National Archives </w:t>
      </w:r>
      <w:r w:rsidR="00F7266E">
        <w:t>are</w:t>
      </w:r>
      <w:r>
        <w:t xml:space="preserve"> a legal requirement.</w:t>
      </w:r>
    </w:p>
    <w:p w14:paraId="472726C6" w14:textId="54B37706" w:rsidR="00750602" w:rsidRDefault="00750602" w:rsidP="004A2BCA">
      <w:pPr>
        <w:pStyle w:val="BodyText"/>
        <w:numPr>
          <w:ilvl w:val="1"/>
          <w:numId w:val="43"/>
        </w:numPr>
      </w:pPr>
      <w:r>
        <w:t xml:space="preserve">The process of making </w:t>
      </w:r>
      <w:r w:rsidRPr="004A2BCA">
        <w:t>personal</w:t>
      </w:r>
      <w:r>
        <w:t xml:space="preserve"> information </w:t>
      </w:r>
      <w:r w:rsidR="00F7266E" w:rsidRPr="004A2BCA">
        <w:t>im</w:t>
      </w:r>
      <w:r>
        <w:t xml:space="preserve">personal is achievable </w:t>
      </w:r>
      <w:r w:rsidR="00F7266E">
        <w:t xml:space="preserve">via the </w:t>
      </w:r>
      <w:r>
        <w:t xml:space="preserve">disassociation </w:t>
      </w:r>
      <w:r w:rsidR="00F7266E">
        <w:t xml:space="preserve">of system data </w:t>
      </w:r>
      <w:r>
        <w:t xml:space="preserve">from </w:t>
      </w:r>
      <w:r w:rsidRPr="004A2BCA">
        <w:rPr>
          <w:i/>
          <w:iCs/>
        </w:rPr>
        <w:t>personal</w:t>
      </w:r>
      <w:r>
        <w:t xml:space="preserve"> information.  Specifically, deleting the Personal Identifying Information (PII) Attributes of the Person the Personal Information (PI) is associated </w:t>
      </w:r>
      <w:r w:rsidR="00F7266E">
        <w:t xml:space="preserve">to </w:t>
      </w:r>
      <w:r>
        <w:t>-- making the records Anonymous -- is sufficient in most cases</w:t>
      </w:r>
      <w:r>
        <w:rPr>
          <w:rStyle w:val="FootnoteReference"/>
        </w:rPr>
        <w:footnoteReference w:id="33"/>
      </w:r>
      <w:r>
        <w:t>.</w:t>
      </w:r>
    </w:p>
    <w:p w14:paraId="2207E205" w14:textId="1C65E32D" w:rsidR="008954BC" w:rsidRDefault="00407C6B" w:rsidP="00761F3E">
      <w:pPr>
        <w:pStyle w:val="Heading2"/>
      </w:pPr>
      <w:bookmarkStart w:id="65" w:name="_Toc150603096"/>
      <w:r>
        <w:t xml:space="preserve">Service </w:t>
      </w:r>
      <w:r w:rsidR="008954BC">
        <w:t>Data in Transit Considerations</w:t>
      </w:r>
      <w:bookmarkEnd w:id="65"/>
    </w:p>
    <w:p w14:paraId="4AA4CFE2" w14:textId="691810B0" w:rsidR="00407C6B" w:rsidRDefault="00407C6B" w:rsidP="00407C6B">
      <w:pPr>
        <w:pStyle w:val="Heading3"/>
      </w:pPr>
      <w:r>
        <w:t>Channel &amp; Message Considerations</w:t>
      </w:r>
    </w:p>
    <w:p w14:paraId="4181ED15" w14:textId="0B0E9CDF" w:rsidR="00761F3E" w:rsidRDefault="00D43256" w:rsidP="00761F3E">
      <w:pPr>
        <w:pStyle w:val="BodyText"/>
        <w:numPr>
          <w:ilvl w:val="0"/>
          <w:numId w:val="45"/>
        </w:numPr>
      </w:pPr>
      <w:r>
        <w:t>Redirect unsecured HTTP traffic from external service consumers towards HTTPS equivalent endpoints.</w:t>
      </w:r>
      <w:r>
        <w:rPr>
          <w:rStyle w:val="FootnoteReference"/>
        </w:rPr>
        <w:footnoteReference w:id="34"/>
      </w:r>
      <w:r w:rsidR="00761F3E">
        <w:rPr>
          <w:rStyle w:val="FootnoteReference"/>
        </w:rPr>
        <w:footnoteReference w:id="35"/>
      </w:r>
      <w:r>
        <w:t xml:space="preserve"> </w:t>
      </w:r>
    </w:p>
    <w:p w14:paraId="17F3A026" w14:textId="77777777" w:rsidR="00D43256" w:rsidRDefault="00D43256" w:rsidP="004A2BCA">
      <w:pPr>
        <w:pStyle w:val="BodyText"/>
        <w:numPr>
          <w:ilvl w:val="0"/>
          <w:numId w:val="45"/>
        </w:numPr>
      </w:pPr>
      <w:r>
        <w:lastRenderedPageBreak/>
        <w:t>Ensure Session Tracking Cookies are marked secure so that they are only transmitted from the server to the service client if the request was made over HTTPS.</w:t>
      </w:r>
    </w:p>
    <w:p w14:paraId="0318FDE6" w14:textId="5518823B" w:rsidR="00D43256" w:rsidRDefault="00D43256" w:rsidP="004A2BCA">
      <w:pPr>
        <w:pStyle w:val="BodyText"/>
        <w:numPr>
          <w:ilvl w:val="0"/>
          <w:numId w:val="45"/>
        </w:numPr>
      </w:pPr>
      <w:r>
        <w:t>Ensure Session Tracking Cookies are marked HTTP-Only so that they cannot be retrieved, viewed and/or manipulated via [</w:t>
      </w:r>
      <w:r w:rsidR="00F710A1">
        <w:t>JavaScript</w:t>
      </w:r>
      <w:r>
        <w:t>] code executing on the service clients.</w:t>
      </w:r>
    </w:p>
    <w:p w14:paraId="089FE7D5" w14:textId="77777777" w:rsidR="00407C6B" w:rsidRDefault="004A2BCA" w:rsidP="00407C6B">
      <w:pPr>
        <w:pStyle w:val="BodyText"/>
        <w:numPr>
          <w:ilvl w:val="0"/>
          <w:numId w:val="45"/>
        </w:numPr>
      </w:pPr>
      <w:r>
        <w:t xml:space="preserve">Use Encrypted channels between Components where technically and reasonably possible, falling back to encrypted messages when technically and reasonably possible.  In other words, consider using secure flags on </w:t>
      </w:r>
      <w:r w:rsidR="00A12FFE">
        <w:t>SQL</w:t>
      </w:r>
      <w:r>
        <w:t xml:space="preserve"> Server connection strings, etc. </w:t>
      </w:r>
    </w:p>
    <w:p w14:paraId="4A07AD88" w14:textId="7FA56EFD" w:rsidR="00407C6B" w:rsidRDefault="00407C6B" w:rsidP="00407C6B">
      <w:pPr>
        <w:pStyle w:val="BodyText"/>
        <w:numPr>
          <w:ilvl w:val="0"/>
          <w:numId w:val="45"/>
        </w:numPr>
      </w:pPr>
      <w:r>
        <w:t>Do not transmit to service consumers (browsers or otherwise), System Identifiers</w:t>
      </w:r>
      <w:r>
        <w:rPr>
          <w:rStyle w:val="FootnoteReference"/>
        </w:rPr>
        <w:footnoteReference w:id="36"/>
      </w:r>
      <w:r>
        <w:t xml:space="preserve"> that could be used to correlate data between systems.</w:t>
      </w:r>
    </w:p>
    <w:p w14:paraId="239903FD" w14:textId="77777777" w:rsidR="00407C6B" w:rsidRPr="00A12FFE" w:rsidRDefault="00407C6B" w:rsidP="00407C6B">
      <w:pPr>
        <w:pStyle w:val="Note"/>
        <w:ind w:left="720"/>
      </w:pPr>
      <w:r>
        <w:t>Note: this mirrors regulation in the Education and Training Act around the use of the NSI as a correlation identifier.</w:t>
      </w:r>
    </w:p>
    <w:p w14:paraId="6C0F1BD6" w14:textId="77777777" w:rsidR="00407C6B" w:rsidRDefault="00407C6B" w:rsidP="00407C6B">
      <w:pPr>
        <w:pStyle w:val="BodyText"/>
      </w:pPr>
    </w:p>
    <w:p w14:paraId="778FBE94" w14:textId="06FB39EB" w:rsidR="008954BC" w:rsidRDefault="00407C6B" w:rsidP="00407C6B">
      <w:pPr>
        <w:pStyle w:val="Heading2"/>
      </w:pPr>
      <w:bookmarkStart w:id="66" w:name="_Toc150603097"/>
      <w:r>
        <w:t xml:space="preserve">Service </w:t>
      </w:r>
      <w:r w:rsidR="008954BC">
        <w:t>Accessibility and Usability Considerations</w:t>
      </w:r>
      <w:bookmarkEnd w:id="66"/>
    </w:p>
    <w:p w14:paraId="210895B7" w14:textId="68C20D93" w:rsidR="00917ABA" w:rsidRDefault="00917ABA" w:rsidP="004A2BCA">
      <w:pPr>
        <w:pStyle w:val="BodyText"/>
        <w:numPr>
          <w:ilvl w:val="0"/>
          <w:numId w:val="46"/>
        </w:numPr>
      </w:pPr>
      <w:r>
        <w:t>Ensure the service is accessible to this country’s visually impaired users by its HTML interface implementing ARIA tags and other requirements of WCAG AA+.</w:t>
      </w:r>
    </w:p>
    <w:p w14:paraId="6FA60FF3" w14:textId="3B5452DA" w:rsidR="00917ABA" w:rsidRDefault="00917ABA" w:rsidP="004A2BCA">
      <w:pPr>
        <w:pStyle w:val="BodyText"/>
        <w:numPr>
          <w:ilvl w:val="0"/>
          <w:numId w:val="46"/>
        </w:numPr>
      </w:pPr>
      <w:r>
        <w:t xml:space="preserve">Ensure that the system </w:t>
      </w:r>
      <w:r w:rsidR="004A2BCA">
        <w:t>can persist</w:t>
      </w:r>
      <w:r>
        <w:t xml:space="preserve"> a User [System] Profile for the User, where User Preferences can be persisted.</w:t>
      </w:r>
    </w:p>
    <w:p w14:paraId="2CFB5A6D" w14:textId="616D6035" w:rsidR="004A2BCA" w:rsidRDefault="004A2BCA" w:rsidP="004A2BCA">
      <w:pPr>
        <w:pStyle w:val="BodyText"/>
        <w:numPr>
          <w:ilvl w:val="0"/>
          <w:numId w:val="46"/>
        </w:numPr>
      </w:pPr>
      <w:r>
        <w:t>Ensure an Authenticated User can persist their preferred presentation layer Culture-Language.</w:t>
      </w:r>
    </w:p>
    <w:p w14:paraId="4881BE28" w14:textId="7321ED7F" w:rsidR="00917ABA" w:rsidRDefault="00917ABA" w:rsidP="004A2BCA">
      <w:pPr>
        <w:pStyle w:val="BodyText"/>
        <w:numPr>
          <w:ilvl w:val="0"/>
          <w:numId w:val="46"/>
        </w:numPr>
      </w:pPr>
      <w:r>
        <w:t>Ensure the system permits unauthenticated users select and persist a Session User’s Culture-Language preference (</w:t>
      </w:r>
      <w:r w:rsidR="004A2BCA">
        <w:t>i.e.</w:t>
      </w:r>
      <w:r>
        <w:t xml:space="preserve">, via a Session or Persistent cookie that </w:t>
      </w:r>
      <w:r w:rsidR="004A2BCA">
        <w:t xml:space="preserve">is </w:t>
      </w:r>
      <w:r>
        <w:t>updat</w:t>
      </w:r>
      <w:r w:rsidR="004A2BCA">
        <w:t>able</w:t>
      </w:r>
      <w:r>
        <w:t xml:space="preserve"> </w:t>
      </w:r>
      <w:r w:rsidR="004A2BCA">
        <w:t>from</w:t>
      </w:r>
      <w:r>
        <w:t xml:space="preserve"> an Authenticated User’s </w:t>
      </w:r>
      <w:r w:rsidR="004A2BCA">
        <w:t xml:space="preserve">Profile Culture-Language </w:t>
      </w:r>
      <w:r>
        <w:t>Preference).</w:t>
      </w:r>
    </w:p>
    <w:p w14:paraId="7E2A5264" w14:textId="145F8BB8" w:rsidR="00F710A1" w:rsidRDefault="00F710A1" w:rsidP="004A2BCA">
      <w:pPr>
        <w:pStyle w:val="BodyText"/>
        <w:numPr>
          <w:ilvl w:val="0"/>
          <w:numId w:val="46"/>
        </w:numPr>
      </w:pPr>
      <w:r>
        <w:t>It is recommended that the presentation layer run in a service client (</w:t>
      </w:r>
      <w:r w:rsidR="004A2BCA">
        <w:t>i.e.,</w:t>
      </w:r>
      <w:r>
        <w:t xml:space="preserve"> </w:t>
      </w:r>
      <w:r w:rsidR="004A2BCA">
        <w:t>Single Page Application</w:t>
      </w:r>
      <w:r w:rsidR="00A12FFE">
        <w:t xml:space="preserve"> </w:t>
      </w:r>
      <w:r w:rsidR="004A2BCA">
        <w:t>(SPA)</w:t>
      </w:r>
      <w:r>
        <w:t xml:space="preserve"> in </w:t>
      </w:r>
      <w:r w:rsidR="004A2BCA">
        <w:t xml:space="preserve">a </w:t>
      </w:r>
      <w:r>
        <w:t>browser) to cleanly separate it from the service interface layer (</w:t>
      </w:r>
      <w:r w:rsidR="00A12FFE">
        <w:t>i.e.,</w:t>
      </w:r>
      <w:r>
        <w:t xml:space="preserve"> API endpoints) to facilitate user interface work listed next.</w:t>
      </w:r>
    </w:p>
    <w:p w14:paraId="6C376A4B" w14:textId="5DCB5E8A" w:rsidR="004A2BCA" w:rsidRDefault="00917ABA" w:rsidP="004A2BCA">
      <w:pPr>
        <w:pStyle w:val="BodyText"/>
        <w:numPr>
          <w:ilvl w:val="0"/>
          <w:numId w:val="46"/>
        </w:numPr>
      </w:pPr>
      <w:r>
        <w:t xml:space="preserve">In some specific cases, separate interfaces, copy and media </w:t>
      </w:r>
      <w:r w:rsidR="008954BC">
        <w:t xml:space="preserve">may be required to be </w:t>
      </w:r>
      <w:r>
        <w:t>presented to different users</w:t>
      </w:r>
      <w:r w:rsidR="008954BC">
        <w:t xml:space="preserve"> (</w:t>
      </w:r>
      <w:r w:rsidR="004A2BCA">
        <w:t>e.g.,</w:t>
      </w:r>
      <w:r w:rsidR="008954BC">
        <w:t xml:space="preserve"> mi-NZ interfaces may be completely different than </w:t>
      </w:r>
      <w:proofErr w:type="spellStart"/>
      <w:r w:rsidR="008954BC">
        <w:t>en</w:t>
      </w:r>
      <w:proofErr w:type="spellEnd"/>
      <w:r w:rsidR="008954BC">
        <w:t>-NZ interfaces)</w:t>
      </w:r>
      <w:r>
        <w:t>.</w:t>
      </w:r>
      <w:r w:rsidR="004A2BCA">
        <w:t xml:space="preserve"> </w:t>
      </w:r>
    </w:p>
    <w:p w14:paraId="1BCC74A0" w14:textId="4BEC1E6B" w:rsidR="00917ABA" w:rsidRDefault="004A2BCA" w:rsidP="004A2BCA">
      <w:pPr>
        <w:pStyle w:val="Note"/>
        <w:ind w:left="851"/>
      </w:pPr>
      <w:r>
        <w:lastRenderedPageBreak/>
        <w:t xml:space="preserve">for example, teachers who may require a more complex adult oriented interface, and </w:t>
      </w:r>
      <w:r w:rsidR="00A0465B">
        <w:t>pre-schoolers</w:t>
      </w:r>
      <w:r>
        <w:t xml:space="preserve"> who would benefit from a simpler, more engaging, interface).</w:t>
      </w:r>
    </w:p>
    <w:p w14:paraId="11BDF1FC" w14:textId="77777777" w:rsidR="009009E9" w:rsidRDefault="009009E9" w:rsidP="009009E9">
      <w:pPr>
        <w:pStyle w:val="BodyText"/>
        <w:numPr>
          <w:ilvl w:val="0"/>
          <w:numId w:val="46"/>
        </w:numPr>
      </w:pPr>
      <w:r>
        <w:t>Ensure system is translatable to this country’s national languages (</w:t>
      </w:r>
      <w:proofErr w:type="spellStart"/>
      <w:r>
        <w:t>en</w:t>
      </w:r>
      <w:proofErr w:type="spellEnd"/>
      <w:r>
        <w:t xml:space="preserve">-NZ, mi-NZ). </w:t>
      </w:r>
    </w:p>
    <w:p w14:paraId="6934EC76" w14:textId="22D2D0E3" w:rsidR="004A2BCA" w:rsidRDefault="009F2782" w:rsidP="009F2782">
      <w:pPr>
        <w:pStyle w:val="BodyText"/>
        <w:numPr>
          <w:ilvl w:val="0"/>
          <w:numId w:val="46"/>
        </w:numPr>
      </w:pPr>
      <w:r>
        <w:t xml:space="preserve">Ensure the system’s header and footer adhere to the organisation’s standards, which </w:t>
      </w:r>
      <w:r w:rsidRPr="009F2782">
        <w:rPr>
          <w:i/>
          <w:iCs/>
        </w:rPr>
        <w:t>should</w:t>
      </w:r>
      <w:r>
        <w:t xml:space="preserve"> meet NZ Web Usability Standards as well as well as NZ Accessibility Standards.</w:t>
      </w:r>
    </w:p>
    <w:p w14:paraId="03631EC4" w14:textId="67100D1A" w:rsidR="009F2782" w:rsidRDefault="00054265" w:rsidP="009F2782">
      <w:pPr>
        <w:pStyle w:val="BodyText"/>
        <w:numPr>
          <w:ilvl w:val="0"/>
          <w:numId w:val="46"/>
        </w:numPr>
      </w:pPr>
      <w:r>
        <w:t>Irrespective</w:t>
      </w:r>
      <w:r w:rsidR="009F2782">
        <w:t xml:space="preserve"> of the last point, ensure the system’s header and footer and disclosures meet the latest </w:t>
      </w:r>
      <w:r w:rsidR="009F2782" w:rsidRPr="009F2782">
        <w:rPr>
          <w:i/>
          <w:iCs/>
        </w:rPr>
        <w:t>NZ Web Usability Standards</w:t>
      </w:r>
      <w:r w:rsidR="00943BB5">
        <w:rPr>
          <w:rStyle w:val="FootnoteReference"/>
          <w:i/>
          <w:iCs/>
        </w:rPr>
        <w:footnoteReference w:id="37"/>
      </w:r>
      <w:r w:rsidR="009F2782">
        <w:t xml:space="preserve"> (which covers logo usage, links to disclosures, etc.) and </w:t>
      </w:r>
      <w:r w:rsidR="009F2782" w:rsidRPr="009F2782">
        <w:rPr>
          <w:i/>
          <w:iCs/>
        </w:rPr>
        <w:t>NZ Accessibility Standards</w:t>
      </w:r>
      <w:r w:rsidR="009F2782">
        <w:t>.</w:t>
      </w:r>
    </w:p>
    <w:p w14:paraId="73A3F186" w14:textId="77777777" w:rsidR="009009E9" w:rsidRDefault="009009E9" w:rsidP="009009E9">
      <w:pPr>
        <w:pStyle w:val="BodyText"/>
        <w:numPr>
          <w:ilvl w:val="1"/>
          <w:numId w:val="46"/>
        </w:numPr>
      </w:pPr>
      <w:r>
        <w:t xml:space="preserve">The website’s home page must </w:t>
      </w:r>
      <w:proofErr w:type="gramStart"/>
      <w:r>
        <w:t>include</w:t>
      </w:r>
      <w:proofErr w:type="gramEnd"/>
      <w:r>
        <w:t xml:space="preserve"> </w:t>
      </w:r>
    </w:p>
    <w:p w14:paraId="7297C64A" w14:textId="59322435" w:rsidR="009009E9" w:rsidRDefault="009009E9" w:rsidP="009009E9">
      <w:pPr>
        <w:pStyle w:val="BodyText"/>
        <w:numPr>
          <w:ilvl w:val="2"/>
          <w:numId w:val="46"/>
        </w:numPr>
      </w:pPr>
      <w:r>
        <w:t>the name and logo of the NZ Government organisation primarily responsible for the website.</w:t>
      </w:r>
    </w:p>
    <w:p w14:paraId="2C9BB643" w14:textId="7BA838B2" w:rsidR="009009E9" w:rsidRDefault="009009E9" w:rsidP="009009E9">
      <w:pPr>
        <w:pStyle w:val="BodyText"/>
        <w:numPr>
          <w:ilvl w:val="2"/>
          <w:numId w:val="46"/>
        </w:numPr>
      </w:pPr>
      <w:r>
        <w:t xml:space="preserve">a link to </w:t>
      </w:r>
      <w:hyperlink w:history="1">
        <w:r w:rsidRPr="002F24FA">
          <w:rPr>
            <w:rStyle w:val="Hyperlink"/>
          </w:rPr>
          <w:t>https://www.g ovt.nz</w:t>
        </w:r>
      </w:hyperlink>
      <w:r>
        <w:t xml:space="preserve"> must be provided, preferably </w:t>
      </w:r>
      <w:r w:rsidR="00546EF1">
        <w:t>with</w:t>
      </w:r>
      <w:r>
        <w:t xml:space="preserve"> a suitable and approved current all-of-government logo.</w:t>
      </w:r>
    </w:p>
    <w:p w14:paraId="1E7DAE72" w14:textId="5DEEC0AC" w:rsidR="009009E9" w:rsidRDefault="009009E9" w:rsidP="009009E9">
      <w:pPr>
        <w:pStyle w:val="BodyText"/>
        <w:numPr>
          <w:ilvl w:val="2"/>
          <w:numId w:val="46"/>
        </w:numPr>
      </w:pPr>
      <w:r>
        <w:t xml:space="preserve">a “Contact Information” link for contacting the organisation </w:t>
      </w:r>
      <w:r w:rsidR="00546EF1">
        <w:t>responsible</w:t>
      </w:r>
      <w:r>
        <w:t xml:space="preserve"> for the site, and/or obtaining help related to the site, via at least one of a regularly monitored email, postal address, and call </w:t>
      </w:r>
      <w:r w:rsidR="00546EF1">
        <w:t>centre</w:t>
      </w:r>
      <w:r>
        <w:t xml:space="preserve"> phone number, and link to the </w:t>
      </w:r>
      <w:r w:rsidRPr="009009E9">
        <w:rPr>
          <w:rFonts w:ascii="Helvetica" w:hAnsi="Helvetica" w:cs="Helvetica"/>
          <w:color w:val="000000"/>
          <w:sz w:val="27"/>
          <w:szCs w:val="27"/>
          <w:shd w:val="clear" w:color="auto" w:fill="FFFFFF"/>
        </w:rPr>
        <w:t> </w:t>
      </w:r>
      <w:hyperlink r:id="rId13" w:history="1">
        <w:r w:rsidRPr="009009E9">
          <w:rPr>
            <w:rStyle w:val="Hyperlink"/>
          </w:rPr>
          <w:t>New Zealand Relay Service (NZ Relay)(external link)</w:t>
        </w:r>
      </w:hyperlink>
      <w:r>
        <w:t>.</w:t>
      </w:r>
    </w:p>
    <w:p w14:paraId="3B490ED8" w14:textId="0874ABB0" w:rsidR="009009E9" w:rsidRDefault="009009E9" w:rsidP="009009E9">
      <w:pPr>
        <w:pStyle w:val="BodyText"/>
        <w:numPr>
          <w:ilvl w:val="2"/>
          <w:numId w:val="46"/>
        </w:numPr>
      </w:pPr>
      <w:r>
        <w:t xml:space="preserve">A link to a General Copyright statement, that </w:t>
      </w:r>
      <w:r w:rsidR="00AA3618">
        <w:t>indicates it applies to the website, and its contents are protected, listing licensing terms if any.</w:t>
      </w:r>
    </w:p>
    <w:p w14:paraId="38193CAD" w14:textId="5814BEBF" w:rsidR="009009E9" w:rsidRDefault="00AA3618" w:rsidP="00AA3618">
      <w:pPr>
        <w:pStyle w:val="BodyText"/>
        <w:ind w:left="1134"/>
      </w:pPr>
      <w:r>
        <w:t xml:space="preserve">The website must indicate the source and copyright status of material either within the General Copyright statement or beside each item of </w:t>
      </w:r>
      <w:r w:rsidR="00546EF1">
        <w:t>third-party</w:t>
      </w:r>
      <w:r>
        <w:t xml:space="preserve"> copyright material, making mention that material covered by the Flags, Emblems and Names Protection Action 1981 are exempt.</w:t>
      </w:r>
    </w:p>
    <w:p w14:paraId="27E62C6B" w14:textId="545D84AE" w:rsidR="00AA3618" w:rsidRDefault="00AA3618" w:rsidP="009009E9">
      <w:pPr>
        <w:pStyle w:val="BodyText"/>
        <w:numPr>
          <w:ilvl w:val="2"/>
          <w:numId w:val="46"/>
        </w:numPr>
      </w:pPr>
      <w:r>
        <w:t xml:space="preserve">A link to a General Privacy Statement, which clearly identifies that it applies to the website, the scope, attributes, collection circumstances, uses and sharing, of personal information collected. </w:t>
      </w:r>
      <w:r>
        <w:br/>
        <w:t>The statement should cover the use cookies, and their purpose.</w:t>
      </w:r>
      <w:r>
        <w:br/>
        <w:t>The statement should provide users information on their right to correct or update information collected, and how to.</w:t>
      </w:r>
    </w:p>
    <w:p w14:paraId="22B7F3DC" w14:textId="03475571" w:rsidR="00943BB5" w:rsidRDefault="00943BB5" w:rsidP="009009E9">
      <w:pPr>
        <w:pStyle w:val="BodyText"/>
        <w:numPr>
          <w:ilvl w:val="2"/>
          <w:numId w:val="46"/>
        </w:numPr>
      </w:pPr>
      <w:r>
        <w:t>All links to media must be accompanied by the files format and size.</w:t>
      </w:r>
    </w:p>
    <w:p w14:paraId="0DC699B0" w14:textId="045A88A6" w:rsidR="00AA3618" w:rsidRDefault="00AA3618" w:rsidP="00AA3618">
      <w:pPr>
        <w:pStyle w:val="BodyText"/>
        <w:numPr>
          <w:ilvl w:val="1"/>
          <w:numId w:val="46"/>
        </w:numPr>
      </w:pPr>
      <w:r>
        <w:lastRenderedPageBreak/>
        <w:t xml:space="preserve">The main content of each web page -- excluding thematic headers and footers, </w:t>
      </w:r>
      <w:proofErr w:type="gramStart"/>
      <w:r>
        <w:t>navigation</w:t>
      </w:r>
      <w:proofErr w:type="gramEnd"/>
      <w:r>
        <w:t xml:space="preserve"> and search components -- MUST be printable in its entirety on standard A4 paper</w:t>
      </w:r>
      <w:r w:rsidR="00943BB5">
        <w:t>, in black text on white background.</w:t>
      </w:r>
    </w:p>
    <w:p w14:paraId="131CB66A" w14:textId="32FF78B6" w:rsidR="00AA3618" w:rsidRDefault="00AA3618" w:rsidP="00AA3618">
      <w:pPr>
        <w:pStyle w:val="BodyText"/>
        <w:numPr>
          <w:ilvl w:val="1"/>
          <w:numId w:val="46"/>
        </w:numPr>
      </w:pPr>
      <w:r>
        <w:t>The website should apply the New Zealand Government Open Access and Licensing (NZGOAL) framework when considering the licensing terms that apply to copyright material on the website.</w:t>
      </w:r>
    </w:p>
    <w:p w14:paraId="3C440897" w14:textId="626BA99C" w:rsidR="00054265" w:rsidRDefault="00054265" w:rsidP="00054265">
      <w:pPr>
        <w:pStyle w:val="Heading2"/>
      </w:pPr>
      <w:r>
        <w:t>Service Auditability Considerations</w:t>
      </w:r>
    </w:p>
    <w:p w14:paraId="31789ABB" w14:textId="51DD2FDD" w:rsidR="00054265" w:rsidRDefault="00054265" w:rsidP="00054265">
      <w:pPr>
        <w:pStyle w:val="BodyText"/>
        <w:numPr>
          <w:ilvl w:val="0"/>
          <w:numId w:val="46"/>
        </w:numPr>
      </w:pPr>
      <w:r>
        <w:t>Audit all Operations, whether they change data state or not, whether anonymous or authenticated.</w:t>
      </w:r>
    </w:p>
    <w:p w14:paraId="427AF932" w14:textId="77777777" w:rsidR="00054265" w:rsidRDefault="00054265" w:rsidP="00054265">
      <w:pPr>
        <w:pStyle w:val="Heading2"/>
      </w:pPr>
      <w:r>
        <w:t>Service Data Considerations</w:t>
      </w:r>
    </w:p>
    <w:p w14:paraId="02B6CC68" w14:textId="118D18BD" w:rsidR="00054265" w:rsidRDefault="00054265" w:rsidP="00054265">
      <w:pPr>
        <w:pStyle w:val="BodyText"/>
        <w:numPr>
          <w:ilvl w:val="0"/>
          <w:numId w:val="46"/>
        </w:numPr>
      </w:pPr>
      <w:r>
        <w:t>Make as much as possible of the system’s information is Open for public unauthenticated public access.</w:t>
      </w:r>
    </w:p>
    <w:p w14:paraId="39CC7212" w14:textId="26444F08" w:rsidR="00054265" w:rsidRDefault="00054265" w:rsidP="00054265">
      <w:pPr>
        <w:pStyle w:val="BodyText"/>
        <w:numPr>
          <w:ilvl w:val="0"/>
          <w:numId w:val="46"/>
        </w:numPr>
      </w:pPr>
      <w:r>
        <w:t>Do not permit change of data (comments, records, etc.) by unauthenticated users.</w:t>
      </w:r>
    </w:p>
    <w:p w14:paraId="7340F089" w14:textId="13E289A8" w:rsidR="00054265" w:rsidRDefault="00054265" w:rsidP="00054265">
      <w:pPr>
        <w:pStyle w:val="BodyText"/>
        <w:numPr>
          <w:ilvl w:val="0"/>
          <w:numId w:val="46"/>
        </w:numPr>
      </w:pPr>
      <w:r>
        <w:t>Make as much as possible the system’s Data available for consumption without limit to authenticated users.</w:t>
      </w:r>
    </w:p>
    <w:p w14:paraId="74C7AD72" w14:textId="6BC4C465" w:rsidR="00054265" w:rsidRDefault="00054265" w:rsidP="00054265">
      <w:pPr>
        <w:pStyle w:val="BodyText"/>
        <w:numPr>
          <w:ilvl w:val="0"/>
          <w:numId w:val="46"/>
        </w:numPr>
      </w:pPr>
      <w:r>
        <w:t>Ensure Media used is granted permission or is copyleft</w:t>
      </w:r>
      <w:r w:rsidR="009009E9">
        <w:t xml:space="preserve"> (e.g.: Creative Commons</w:t>
      </w:r>
      <w:r w:rsidR="009009E9">
        <w:rPr>
          <w:rStyle w:val="FootnoteReference"/>
        </w:rPr>
        <w:footnoteReference w:id="38"/>
      </w:r>
      <w:r w:rsidR="009009E9">
        <w:t>)</w:t>
      </w:r>
      <w:r>
        <w:t xml:space="preserve">. </w:t>
      </w:r>
    </w:p>
    <w:p w14:paraId="001FCF6E" w14:textId="03B18B54" w:rsidR="00054265" w:rsidRDefault="00054265" w:rsidP="00054265">
      <w:pPr>
        <w:pStyle w:val="BodyText"/>
        <w:numPr>
          <w:ilvl w:val="0"/>
          <w:numId w:val="46"/>
        </w:numPr>
      </w:pPr>
      <w:r>
        <w:t>Ensure Māori media is granted documented permission up front, and/or the system has in place a process to accept Applications for Consent/Terms &amp; Conditions Acceptance/Consent Approval</w:t>
      </w:r>
      <w:r>
        <w:rPr>
          <w:rStyle w:val="FootnoteReference"/>
        </w:rPr>
        <w:footnoteReference w:id="39"/>
      </w:r>
      <w:r>
        <w:t>.</w:t>
      </w:r>
    </w:p>
    <w:p w14:paraId="2D8213D1" w14:textId="77777777" w:rsidR="00054265" w:rsidRPr="004A2BCA" w:rsidRDefault="00054265" w:rsidP="00054265">
      <w:pPr>
        <w:pStyle w:val="BodyText"/>
      </w:pPr>
    </w:p>
    <w:p w14:paraId="0CEDF4A5" w14:textId="5E5B1FA0" w:rsidR="005255FC" w:rsidRDefault="005255FC" w:rsidP="005255FC">
      <w:pPr>
        <w:pStyle w:val="Appendices"/>
      </w:pPr>
      <w:bookmarkStart w:id="67" w:name="_Toc150603098"/>
      <w:r>
        <w:lastRenderedPageBreak/>
        <w:t>Appendices</w:t>
      </w:r>
      <w:bookmarkEnd w:id="59"/>
      <w:bookmarkEnd w:id="67"/>
    </w:p>
    <w:p w14:paraId="2F89881E" w14:textId="63B5AEE2" w:rsidR="000D0A25" w:rsidRDefault="005255FC" w:rsidP="005C7C13">
      <w:pPr>
        <w:pStyle w:val="Appendix"/>
      </w:pPr>
      <w:bookmarkStart w:id="68" w:name="_Toc145049431"/>
      <w:bookmarkStart w:id="69" w:name="_Toc150603099"/>
      <w:r w:rsidRPr="005C7C13">
        <w:t xml:space="preserve">Appendix A - </w:t>
      </w:r>
      <w:r w:rsidR="008C39DC" w:rsidRPr="005C7C13">
        <w:t>Document</w:t>
      </w:r>
      <w:r w:rsidR="00DA59D0" w:rsidRPr="005C7C13">
        <w:t xml:space="preserve"> Information</w:t>
      </w:r>
      <w:bookmarkEnd w:id="68"/>
      <w:bookmarkEnd w:id="69"/>
    </w:p>
    <w:p w14:paraId="4C02F06A" w14:textId="5CE80EFF" w:rsidR="00872BBE" w:rsidRDefault="00872BBE" w:rsidP="00872BBE">
      <w:pPr>
        <w:pStyle w:val="Heading3"/>
      </w:pPr>
      <w:bookmarkStart w:id="70" w:name="_Toc150603100"/>
      <w:r>
        <w:t>Versions</w:t>
      </w:r>
      <w:bookmarkEnd w:id="70"/>
    </w:p>
    <w:p w14:paraId="4D9442A6" w14:textId="4F73FAA5" w:rsidR="00872BBE" w:rsidRDefault="00872BBE" w:rsidP="00872BBE">
      <w:pPr>
        <w:pStyle w:val="BodyText"/>
        <w:numPr>
          <w:ilvl w:val="1"/>
          <w:numId w:val="36"/>
        </w:numPr>
      </w:pPr>
      <w:r>
        <w:t>Initial Draft</w:t>
      </w:r>
    </w:p>
    <w:p w14:paraId="7F99EF08" w14:textId="2A1F0D2F" w:rsidR="00872BBE" w:rsidRPr="00872BBE" w:rsidRDefault="00872BBE" w:rsidP="00872BBE">
      <w:pPr>
        <w:pStyle w:val="BodyText"/>
        <w:numPr>
          <w:ilvl w:val="1"/>
          <w:numId w:val="36"/>
        </w:numPr>
      </w:pPr>
      <w:r>
        <w:t>Restructuring</w:t>
      </w:r>
      <w:r>
        <w:br/>
      </w:r>
    </w:p>
    <w:p w14:paraId="43AB590F" w14:textId="681DED0E" w:rsidR="008C39DC" w:rsidRDefault="008C39DC" w:rsidP="005255FC">
      <w:pPr>
        <w:pStyle w:val="Heading3"/>
      </w:pPr>
      <w:bookmarkStart w:id="71" w:name="_Toc150603101"/>
      <w:r>
        <w:t>Images</w:t>
      </w:r>
      <w:bookmarkEnd w:id="71"/>
    </w:p>
    <w:p w14:paraId="74D8E4C7" w14:textId="09D5F556" w:rsidR="0005426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50607162" w:history="1">
        <w:r w:rsidR="00054265" w:rsidRPr="007E2A34">
          <w:rPr>
            <w:rStyle w:val="Hyperlink"/>
            <w:noProof/>
          </w:rPr>
          <w:t>Figure 1: Applicable Legal Contexts</w:t>
        </w:r>
        <w:r w:rsidR="00054265">
          <w:rPr>
            <w:noProof/>
            <w:webHidden/>
          </w:rPr>
          <w:tab/>
        </w:r>
        <w:r w:rsidR="00054265">
          <w:rPr>
            <w:noProof/>
            <w:webHidden/>
          </w:rPr>
          <w:fldChar w:fldCharType="begin"/>
        </w:r>
        <w:r w:rsidR="00054265">
          <w:rPr>
            <w:noProof/>
            <w:webHidden/>
          </w:rPr>
          <w:instrText xml:space="preserve"> PAGEREF _Toc150607162 \h </w:instrText>
        </w:r>
        <w:r w:rsidR="00054265">
          <w:rPr>
            <w:noProof/>
            <w:webHidden/>
          </w:rPr>
        </w:r>
        <w:r w:rsidR="00054265">
          <w:rPr>
            <w:noProof/>
            <w:webHidden/>
          </w:rPr>
          <w:fldChar w:fldCharType="separate"/>
        </w:r>
        <w:r w:rsidR="00054265">
          <w:rPr>
            <w:noProof/>
            <w:webHidden/>
          </w:rPr>
          <w:t>5</w:t>
        </w:r>
        <w:r w:rsidR="00054265">
          <w:rPr>
            <w:noProof/>
            <w:webHidden/>
          </w:rPr>
          <w:fldChar w:fldCharType="end"/>
        </w:r>
      </w:hyperlink>
    </w:p>
    <w:p w14:paraId="2DD82614" w14:textId="3FCDA346" w:rsidR="008C39DC" w:rsidRDefault="008C39DC" w:rsidP="008C39DC">
      <w:r>
        <w:fldChar w:fldCharType="end"/>
      </w:r>
    </w:p>
    <w:p w14:paraId="5ED594EB" w14:textId="18C9D77A" w:rsidR="008C39DC" w:rsidRPr="001E2299" w:rsidRDefault="008C39DC" w:rsidP="001E2299">
      <w:pPr>
        <w:pStyle w:val="Heading3"/>
      </w:pPr>
      <w:bookmarkStart w:id="72" w:name="_Toc150603102"/>
      <w:r w:rsidRPr="001E2299">
        <w:t>Tables</w:t>
      </w:r>
      <w:bookmarkEnd w:id="72"/>
    </w:p>
    <w:p w14:paraId="6D33C7A1" w14:textId="46A126D0" w:rsidR="0005426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50607166" w:history="1">
        <w:r w:rsidR="00054265" w:rsidRPr="00DC30A7">
          <w:rPr>
            <w:rStyle w:val="Hyperlink"/>
            <w:noProof/>
          </w:rPr>
          <w:t>Table 2: AoG Digital Standards</w:t>
        </w:r>
        <w:r w:rsidR="00054265">
          <w:rPr>
            <w:noProof/>
            <w:webHidden/>
          </w:rPr>
          <w:tab/>
        </w:r>
        <w:r w:rsidR="00054265">
          <w:rPr>
            <w:noProof/>
            <w:webHidden/>
          </w:rPr>
          <w:fldChar w:fldCharType="begin"/>
        </w:r>
        <w:r w:rsidR="00054265">
          <w:rPr>
            <w:noProof/>
            <w:webHidden/>
          </w:rPr>
          <w:instrText xml:space="preserve"> PAGEREF _Toc150607166 \h </w:instrText>
        </w:r>
        <w:r w:rsidR="00054265">
          <w:rPr>
            <w:noProof/>
            <w:webHidden/>
          </w:rPr>
        </w:r>
        <w:r w:rsidR="00054265">
          <w:rPr>
            <w:noProof/>
            <w:webHidden/>
          </w:rPr>
          <w:fldChar w:fldCharType="separate"/>
        </w:r>
        <w:r w:rsidR="00054265">
          <w:rPr>
            <w:noProof/>
            <w:webHidden/>
          </w:rPr>
          <w:t>7</w:t>
        </w:r>
        <w:r w:rsidR="00054265">
          <w:rPr>
            <w:noProof/>
            <w:webHidden/>
          </w:rPr>
          <w:fldChar w:fldCharType="end"/>
        </w:r>
      </w:hyperlink>
    </w:p>
    <w:p w14:paraId="767E5EBA" w14:textId="07ADC6E2" w:rsidR="0005426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0607167" w:history="1">
        <w:r w:rsidR="00054265" w:rsidRPr="00DC30A7">
          <w:rPr>
            <w:rStyle w:val="Hyperlink"/>
            <w:noProof/>
          </w:rPr>
          <w:t>Table 3: International Agreements</w:t>
        </w:r>
        <w:r w:rsidR="00054265">
          <w:rPr>
            <w:noProof/>
            <w:webHidden/>
          </w:rPr>
          <w:tab/>
        </w:r>
        <w:r w:rsidR="00054265">
          <w:rPr>
            <w:noProof/>
            <w:webHidden/>
          </w:rPr>
          <w:fldChar w:fldCharType="begin"/>
        </w:r>
        <w:r w:rsidR="00054265">
          <w:rPr>
            <w:noProof/>
            <w:webHidden/>
          </w:rPr>
          <w:instrText xml:space="preserve"> PAGEREF _Toc150607167 \h </w:instrText>
        </w:r>
        <w:r w:rsidR="00054265">
          <w:rPr>
            <w:noProof/>
            <w:webHidden/>
          </w:rPr>
        </w:r>
        <w:r w:rsidR="00054265">
          <w:rPr>
            <w:noProof/>
            <w:webHidden/>
          </w:rPr>
          <w:fldChar w:fldCharType="separate"/>
        </w:r>
        <w:r w:rsidR="00054265">
          <w:rPr>
            <w:noProof/>
            <w:webHidden/>
          </w:rPr>
          <w:t>8</w:t>
        </w:r>
        <w:r w:rsidR="00054265">
          <w:rPr>
            <w:noProof/>
            <w:webHidden/>
          </w:rPr>
          <w:fldChar w:fldCharType="end"/>
        </w:r>
      </w:hyperlink>
    </w:p>
    <w:p w14:paraId="6904ED7E" w14:textId="68284EA9" w:rsidR="0005426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0607168" w:history="1">
        <w:r w:rsidR="00054265" w:rsidRPr="00DC30A7">
          <w:rPr>
            <w:rStyle w:val="Hyperlink"/>
            <w:noProof/>
          </w:rPr>
          <w:t>Table 4: Context View - ICT Standards</w:t>
        </w:r>
        <w:r w:rsidR="00054265">
          <w:rPr>
            <w:noProof/>
            <w:webHidden/>
          </w:rPr>
          <w:tab/>
        </w:r>
        <w:r w:rsidR="00054265">
          <w:rPr>
            <w:noProof/>
            <w:webHidden/>
          </w:rPr>
          <w:fldChar w:fldCharType="begin"/>
        </w:r>
        <w:r w:rsidR="00054265">
          <w:rPr>
            <w:noProof/>
            <w:webHidden/>
          </w:rPr>
          <w:instrText xml:space="preserve"> PAGEREF _Toc150607168 \h </w:instrText>
        </w:r>
        <w:r w:rsidR="00054265">
          <w:rPr>
            <w:noProof/>
            <w:webHidden/>
          </w:rPr>
        </w:r>
        <w:r w:rsidR="00054265">
          <w:rPr>
            <w:noProof/>
            <w:webHidden/>
          </w:rPr>
          <w:fldChar w:fldCharType="separate"/>
        </w:r>
        <w:r w:rsidR="00054265">
          <w:rPr>
            <w:noProof/>
            <w:webHidden/>
          </w:rPr>
          <w:t>10</w:t>
        </w:r>
        <w:r w:rsidR="00054265">
          <w:rPr>
            <w:noProof/>
            <w:webHidden/>
          </w:rPr>
          <w:fldChar w:fldCharType="end"/>
        </w:r>
      </w:hyperlink>
    </w:p>
    <w:p w14:paraId="7D17F893" w14:textId="4CB16EC2" w:rsidR="0005426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0607169" w:history="1">
        <w:r w:rsidR="00054265" w:rsidRPr="00DC30A7">
          <w:rPr>
            <w:rStyle w:val="Hyperlink"/>
            <w:noProof/>
          </w:rPr>
          <w:t>Table 17: Context View - Privacy (Collection) Guiding Principles</w:t>
        </w:r>
        <w:r w:rsidR="00054265">
          <w:rPr>
            <w:noProof/>
            <w:webHidden/>
          </w:rPr>
          <w:tab/>
        </w:r>
        <w:r w:rsidR="00054265">
          <w:rPr>
            <w:noProof/>
            <w:webHidden/>
          </w:rPr>
          <w:fldChar w:fldCharType="begin"/>
        </w:r>
        <w:r w:rsidR="00054265">
          <w:rPr>
            <w:noProof/>
            <w:webHidden/>
          </w:rPr>
          <w:instrText xml:space="preserve"> PAGEREF _Toc150607169 \h </w:instrText>
        </w:r>
        <w:r w:rsidR="00054265">
          <w:rPr>
            <w:noProof/>
            <w:webHidden/>
          </w:rPr>
        </w:r>
        <w:r w:rsidR="00054265">
          <w:rPr>
            <w:noProof/>
            <w:webHidden/>
          </w:rPr>
          <w:fldChar w:fldCharType="separate"/>
        </w:r>
        <w:r w:rsidR="00054265">
          <w:rPr>
            <w:noProof/>
            <w:webHidden/>
          </w:rPr>
          <w:t>11</w:t>
        </w:r>
        <w:r w:rsidR="00054265">
          <w:rPr>
            <w:noProof/>
            <w:webHidden/>
          </w:rPr>
          <w:fldChar w:fldCharType="end"/>
        </w:r>
      </w:hyperlink>
    </w:p>
    <w:p w14:paraId="1BA81EA2" w14:textId="4B969837" w:rsidR="0005426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0607170" w:history="1">
        <w:r w:rsidR="00054265" w:rsidRPr="00DC30A7">
          <w:rPr>
            <w:rStyle w:val="Hyperlink"/>
            <w:noProof/>
          </w:rPr>
          <w:t>Table 18: Context View - Privacy (Storage) Guiding Principles</w:t>
        </w:r>
        <w:r w:rsidR="00054265">
          <w:rPr>
            <w:noProof/>
            <w:webHidden/>
          </w:rPr>
          <w:tab/>
        </w:r>
        <w:r w:rsidR="00054265">
          <w:rPr>
            <w:noProof/>
            <w:webHidden/>
          </w:rPr>
          <w:fldChar w:fldCharType="begin"/>
        </w:r>
        <w:r w:rsidR="00054265">
          <w:rPr>
            <w:noProof/>
            <w:webHidden/>
          </w:rPr>
          <w:instrText xml:space="preserve"> PAGEREF _Toc150607170 \h </w:instrText>
        </w:r>
        <w:r w:rsidR="00054265">
          <w:rPr>
            <w:noProof/>
            <w:webHidden/>
          </w:rPr>
        </w:r>
        <w:r w:rsidR="00054265">
          <w:rPr>
            <w:noProof/>
            <w:webHidden/>
          </w:rPr>
          <w:fldChar w:fldCharType="separate"/>
        </w:r>
        <w:r w:rsidR="00054265">
          <w:rPr>
            <w:noProof/>
            <w:webHidden/>
          </w:rPr>
          <w:t>11</w:t>
        </w:r>
        <w:r w:rsidR="00054265">
          <w:rPr>
            <w:noProof/>
            <w:webHidden/>
          </w:rPr>
          <w:fldChar w:fldCharType="end"/>
        </w:r>
      </w:hyperlink>
    </w:p>
    <w:p w14:paraId="1BABF0D0" w14:textId="1DBF5588" w:rsidR="0005426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0607171" w:history="1">
        <w:r w:rsidR="00054265" w:rsidRPr="00DC30A7">
          <w:rPr>
            <w:rStyle w:val="Hyperlink"/>
            <w:noProof/>
          </w:rPr>
          <w:t>Table 19: Context View - Privacy (Use &amp; Sharing) Guiding Principles</w:t>
        </w:r>
        <w:r w:rsidR="00054265">
          <w:rPr>
            <w:noProof/>
            <w:webHidden/>
          </w:rPr>
          <w:tab/>
        </w:r>
        <w:r w:rsidR="00054265">
          <w:rPr>
            <w:noProof/>
            <w:webHidden/>
          </w:rPr>
          <w:fldChar w:fldCharType="begin"/>
        </w:r>
        <w:r w:rsidR="00054265">
          <w:rPr>
            <w:noProof/>
            <w:webHidden/>
          </w:rPr>
          <w:instrText xml:space="preserve"> PAGEREF _Toc150607171 \h </w:instrText>
        </w:r>
        <w:r w:rsidR="00054265">
          <w:rPr>
            <w:noProof/>
            <w:webHidden/>
          </w:rPr>
        </w:r>
        <w:r w:rsidR="00054265">
          <w:rPr>
            <w:noProof/>
            <w:webHidden/>
          </w:rPr>
          <w:fldChar w:fldCharType="separate"/>
        </w:r>
        <w:r w:rsidR="00054265">
          <w:rPr>
            <w:noProof/>
            <w:webHidden/>
          </w:rPr>
          <w:t>12</w:t>
        </w:r>
        <w:r w:rsidR="00054265">
          <w:rPr>
            <w:noProof/>
            <w:webHidden/>
          </w:rPr>
          <w:fldChar w:fldCharType="end"/>
        </w:r>
      </w:hyperlink>
    </w:p>
    <w:p w14:paraId="2E422BBD" w14:textId="65C6E55D" w:rsidR="0005426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50607172" w:history="1">
        <w:r w:rsidR="00054265" w:rsidRPr="00DC30A7">
          <w:rPr>
            <w:rStyle w:val="Hyperlink"/>
            <w:noProof/>
          </w:rPr>
          <w:t>Table 11: New Zealand Data and Information Management Principles</w:t>
        </w:r>
        <w:r w:rsidR="00054265">
          <w:rPr>
            <w:noProof/>
            <w:webHidden/>
          </w:rPr>
          <w:tab/>
        </w:r>
        <w:r w:rsidR="00054265">
          <w:rPr>
            <w:noProof/>
            <w:webHidden/>
          </w:rPr>
          <w:fldChar w:fldCharType="begin"/>
        </w:r>
        <w:r w:rsidR="00054265">
          <w:rPr>
            <w:noProof/>
            <w:webHidden/>
          </w:rPr>
          <w:instrText xml:space="preserve"> PAGEREF _Toc150607172 \h </w:instrText>
        </w:r>
        <w:r w:rsidR="00054265">
          <w:rPr>
            <w:noProof/>
            <w:webHidden/>
          </w:rPr>
        </w:r>
        <w:r w:rsidR="00054265">
          <w:rPr>
            <w:noProof/>
            <w:webHidden/>
          </w:rPr>
          <w:fldChar w:fldCharType="separate"/>
        </w:r>
        <w:r w:rsidR="00054265">
          <w:rPr>
            <w:noProof/>
            <w:webHidden/>
          </w:rPr>
          <w:t>12</w:t>
        </w:r>
        <w:r w:rsidR="00054265">
          <w:rPr>
            <w:noProof/>
            <w:webHidden/>
          </w:rPr>
          <w:fldChar w:fldCharType="end"/>
        </w:r>
      </w:hyperlink>
    </w:p>
    <w:p w14:paraId="125C1C6B" w14:textId="3B94B2C6" w:rsidR="008C39DC" w:rsidRDefault="008C39DC" w:rsidP="008C39DC">
      <w:r>
        <w:fldChar w:fldCharType="end"/>
      </w:r>
    </w:p>
    <w:p w14:paraId="20825760" w14:textId="69F12EA0" w:rsidR="000F10AE" w:rsidRDefault="000F10AE" w:rsidP="00660C49">
      <w:pPr>
        <w:pStyle w:val="Heading3"/>
      </w:pPr>
      <w:bookmarkStart w:id="73" w:name="_Toc150603103"/>
      <w:r>
        <w:t>References</w:t>
      </w:r>
      <w:bookmarkEnd w:id="73"/>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74" w:name="_Toc150603104"/>
      <w:r>
        <w:t>Review Distribution</w:t>
      </w:r>
      <w:bookmarkEnd w:id="7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75" w:name="_Hlk145229633"/>
            <w:r>
              <w:t>Identity</w:t>
            </w:r>
          </w:p>
        </w:tc>
        <w:tc>
          <w:tcPr>
            <w:tcW w:w="4846" w:type="dxa"/>
          </w:tcPr>
          <w:p w14:paraId="0D067053" w14:textId="1879522F" w:rsidR="002031CE" w:rsidRDefault="006646CD" w:rsidP="009E49C0">
            <w:pPr>
              <w:pStyle w:val="BodyText"/>
            </w:pPr>
            <w:r>
              <w:t>Notes</w:t>
            </w:r>
          </w:p>
        </w:tc>
      </w:tr>
      <w:tr w:rsidR="00C83CAA" w14:paraId="05A8C0A7"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98560F2" w14:textId="43C7E71E" w:rsidR="00C83CAA" w:rsidRDefault="00C83CAA" w:rsidP="009E49C0">
            <w:pPr>
              <w:pStyle w:val="BodyText"/>
            </w:pPr>
            <w:r>
              <w:t>Alan Heward, Security Specialist</w:t>
            </w:r>
          </w:p>
        </w:tc>
        <w:tc>
          <w:tcPr>
            <w:tcW w:w="4846" w:type="dxa"/>
          </w:tcPr>
          <w:p w14:paraId="4CE4EEC4" w14:textId="77777777" w:rsidR="00C83CAA" w:rsidRDefault="00C83CAA" w:rsidP="009E49C0">
            <w:pPr>
              <w:pStyle w:val="BodyText"/>
            </w:pPr>
          </w:p>
        </w:tc>
      </w:tr>
      <w:tr w:rsidR="002031CE" w14:paraId="6E29415B"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C83B324" w14:textId="5BB0DC94" w:rsidR="002031CE" w:rsidRDefault="00872BBE"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FBD32A0" w14:textId="1A6D0717" w:rsidR="002031CE" w:rsidRDefault="00872BBE" w:rsidP="009E49C0">
            <w:pPr>
              <w:pStyle w:val="BodyText"/>
            </w:pPr>
            <w:r>
              <w:t>Amy Orr, Data Domain Architect</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6F6E3DD1" w:rsidR="002031CE" w:rsidRDefault="00F41AE1" w:rsidP="009E49C0">
            <w:pPr>
              <w:pStyle w:val="BodyText"/>
            </w:pPr>
            <w:r>
              <w:t>Rodney Snell, Business &amp; Technical Lead</w:t>
            </w: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76" w:name="_Toc150603105"/>
      <w:bookmarkEnd w:id="75"/>
      <w:r>
        <w:lastRenderedPageBreak/>
        <w:t>Audience</w:t>
      </w:r>
      <w:bookmarkEnd w:id="76"/>
    </w:p>
    <w:p w14:paraId="41692DAB" w14:textId="5A9B1823" w:rsidR="00660C49" w:rsidRPr="00660C49" w:rsidRDefault="00660C49" w:rsidP="00660C49">
      <w:pPr>
        <w:pStyle w:val="BodyText"/>
      </w:pPr>
      <w:r>
        <w:t xml:space="preserve">The document is </w:t>
      </w:r>
      <w:r w:rsidR="00F41AE1">
        <w:t>non-</w:t>
      </w:r>
      <w:r>
        <w:t xml:space="preserve">technical in nature. </w:t>
      </w:r>
    </w:p>
    <w:p w14:paraId="4A6E4CC2" w14:textId="218E23CF" w:rsidR="005255FC" w:rsidRDefault="00660C49" w:rsidP="00660C49">
      <w:pPr>
        <w:pStyle w:val="Heading3"/>
      </w:pPr>
      <w:bookmarkStart w:id="77" w:name="_Toc150603106"/>
      <w:r>
        <w:t>Diagrams</w:t>
      </w:r>
      <w:bookmarkEnd w:id="77"/>
    </w:p>
    <w:p w14:paraId="65008B06" w14:textId="1507D50E" w:rsidR="00660C49" w:rsidRDefault="00660C49" w:rsidP="008C39DC">
      <w:pPr>
        <w:pStyle w:val="BodyText"/>
      </w:pPr>
      <w:bookmarkStart w:id="78"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79" w:name="_Toc150603107"/>
      <w:bookmarkEnd w:id="78"/>
      <w:r>
        <w:lastRenderedPageBreak/>
        <w:t>Terms</w:t>
      </w:r>
      <w:bookmarkEnd w:id="79"/>
    </w:p>
    <w:p w14:paraId="2C7F3C47" w14:textId="457243D4" w:rsidR="00211F3C" w:rsidRPr="006D5808" w:rsidRDefault="00211F3C" w:rsidP="006D5808">
      <w:pPr>
        <w:pStyle w:val="Heading5"/>
        <w:rPr>
          <w:vanish/>
          <w:specVanish/>
        </w:rPr>
      </w:pPr>
      <w:r w:rsidRPr="006D5808">
        <w:t>Acceptance</w:t>
      </w:r>
    </w:p>
    <w:p w14:paraId="4BA0FA80" w14:textId="36A1A0FC" w:rsidR="006D5808" w:rsidRPr="006D5808" w:rsidRDefault="006D5808" w:rsidP="006D5808">
      <w:r>
        <w:t xml:space="preserve"> : </w:t>
      </w:r>
      <w:r w:rsidRPr="006D5808">
        <w:t xml:space="preserve">to assent to the terms of an offer. </w:t>
      </w:r>
    </w:p>
    <w:p w14:paraId="52876A59" w14:textId="77777777" w:rsidR="009F6A31" w:rsidRPr="009F6A31" w:rsidRDefault="009F6A31" w:rsidP="009F6A31">
      <w:pPr>
        <w:pStyle w:val="Heading5"/>
        <w:rPr>
          <w:vanish/>
          <w:specVanish/>
        </w:rPr>
      </w:pPr>
      <w:r>
        <w:t>Act</w:t>
      </w:r>
    </w:p>
    <w:p w14:paraId="3007C3C8" w14:textId="5AC5202F" w:rsidR="009F6A31" w:rsidRDefault="009F6A31" w:rsidP="009F6A31">
      <w:pPr>
        <w:pStyle w:val="BodyText"/>
      </w:pPr>
      <w:r>
        <w:t xml:space="preserve"> : an Act is a public, private, local, provincial, or imperial law passed by Parliament. Before it is passed by parliament, it is called a </w:t>
      </w:r>
      <w:r w:rsidRPr="009F6A31">
        <w:rPr>
          <w:i/>
          <w:iCs/>
        </w:rPr>
        <w:t>Bill</w:t>
      </w:r>
      <w:r>
        <w:t>.</w:t>
      </w:r>
    </w:p>
    <w:p w14:paraId="1ED7A58A" w14:textId="7EC75231" w:rsidR="00B97FE0" w:rsidRPr="00B97FE0" w:rsidRDefault="00B97FE0" w:rsidP="006D5808">
      <w:pPr>
        <w:pStyle w:val="Heading5"/>
        <w:rPr>
          <w:vanish/>
          <w:specVanish/>
        </w:rPr>
      </w:pPr>
      <w:r>
        <w:t xml:space="preserve">Adjudicative </w:t>
      </w:r>
    </w:p>
    <w:p w14:paraId="6CC3C563" w14:textId="4785D5D7" w:rsidR="00B97FE0" w:rsidRPr="00B97FE0" w:rsidRDefault="00B97FE0" w:rsidP="00B97FE0">
      <w:pPr>
        <w:pStyle w:val="BodyText"/>
      </w:pPr>
      <w:r>
        <w:t xml:space="preserve"> : the legal process of reviewing evidence and argument presented by parties in dispute to arrive at a decision as to rights and obligations.</w:t>
      </w:r>
    </w:p>
    <w:p w14:paraId="0446E64A" w14:textId="28249793" w:rsidR="00211F3C" w:rsidRPr="006D5808" w:rsidRDefault="00211F3C" w:rsidP="006D5808">
      <w:pPr>
        <w:pStyle w:val="Heading5"/>
        <w:rPr>
          <w:vanish/>
          <w:specVanish/>
        </w:rPr>
      </w:pPr>
      <w:r w:rsidRPr="006D5808">
        <w:t>Agreement</w:t>
      </w:r>
    </w:p>
    <w:p w14:paraId="47957A35" w14:textId="537D4F6A" w:rsidR="00211F3C" w:rsidRPr="006D5808" w:rsidRDefault="006D5808" w:rsidP="006D5808">
      <w:r>
        <w:t xml:space="preserve"> : a</w:t>
      </w:r>
      <w:r w:rsidR="00211F3C" w:rsidRPr="006D5808">
        <w:t xml:space="preserve"> </w:t>
      </w:r>
      <w:r w:rsidRPr="006D5808">
        <w:t>meeting of the minds</w:t>
      </w:r>
      <w:r w:rsidR="00211F3C" w:rsidRPr="006D5808">
        <w:t xml:space="preserve"> in a common intention, made through </w:t>
      </w:r>
      <w:r w:rsidR="00211F3C" w:rsidRPr="006D5808">
        <w:rPr>
          <w:i/>
          <w:iCs/>
        </w:rPr>
        <w:t>offer</w:t>
      </w:r>
      <w:r w:rsidR="00211F3C" w:rsidRPr="006D5808">
        <w:t xml:space="preserve"> and </w:t>
      </w:r>
      <w:r w:rsidR="00211F3C" w:rsidRPr="006D5808">
        <w:rPr>
          <w:i/>
          <w:iCs/>
        </w:rPr>
        <w:t>acceptance</w:t>
      </w:r>
      <w:r w:rsidR="00211F3C" w:rsidRPr="006D5808">
        <w:t xml:space="preserve">.  </w:t>
      </w:r>
      <w:r w:rsidR="00B97FE0">
        <w:t>A</w:t>
      </w:r>
      <w:r w:rsidR="00211F3C" w:rsidRPr="006D5808">
        <w:t xml:space="preserve">greement can be shown from words, conduct, and in some cases, silence. </w:t>
      </w:r>
    </w:p>
    <w:p w14:paraId="371BA2C1" w14:textId="77777777" w:rsidR="009F6A31" w:rsidRPr="009F6A31" w:rsidRDefault="009F6A31" w:rsidP="009F6A31">
      <w:pPr>
        <w:pStyle w:val="Heading5"/>
        <w:rPr>
          <w:vanish/>
          <w:specVanish/>
        </w:rPr>
      </w:pPr>
      <w:r>
        <w:t>Bill</w:t>
      </w:r>
    </w:p>
    <w:p w14:paraId="3A3F92D7" w14:textId="77777777" w:rsidR="009F6A31" w:rsidRDefault="009F6A31" w:rsidP="009F6A31">
      <w:pPr>
        <w:pStyle w:val="BodyText"/>
      </w:pPr>
      <w:r>
        <w:t xml:space="preserve"> : a proposed Act, introduced by a member of Parliament before the House of Representatives for its consideration, at which point it becomes publicly available.</w:t>
      </w:r>
    </w:p>
    <w:p w14:paraId="731677A9" w14:textId="354202FA" w:rsidR="00211F3C" w:rsidRPr="006D5808" w:rsidRDefault="006D5808" w:rsidP="006D5808">
      <w:pPr>
        <w:pStyle w:val="Heading5"/>
        <w:rPr>
          <w:vanish/>
          <w:specVanish/>
        </w:rPr>
      </w:pPr>
      <w:r w:rsidRPr="006D5808">
        <w:t>Consideration</w:t>
      </w:r>
    </w:p>
    <w:p w14:paraId="5714798E" w14:textId="26FF3A73" w:rsidR="006D5808" w:rsidRPr="006D5808" w:rsidRDefault="006D5808" w:rsidP="006D5808">
      <w:r>
        <w:t xml:space="preserve"> : </w:t>
      </w:r>
      <w:r w:rsidRPr="006D5808">
        <w:t xml:space="preserve">a </w:t>
      </w:r>
      <w:r w:rsidRPr="006D5808">
        <w:rPr>
          <w:i/>
          <w:iCs/>
        </w:rPr>
        <w:t>promise</w:t>
      </w:r>
      <w:r w:rsidRPr="006D5808">
        <w:t>, performance, or </w:t>
      </w:r>
      <w:r w:rsidRPr="006D5808">
        <w:rPr>
          <w:i/>
          <w:iCs/>
        </w:rPr>
        <w:t>forbearance</w:t>
      </w:r>
      <w:r w:rsidRPr="006D5808">
        <w:t xml:space="preserve"> bargained by a promisor in exchange for their </w:t>
      </w:r>
      <w:r w:rsidRPr="006D5808">
        <w:rPr>
          <w:i/>
          <w:iCs/>
        </w:rPr>
        <w:t>promise</w:t>
      </w:r>
      <w:r w:rsidRPr="006D5808">
        <w:t xml:space="preserve">.  It is the main element of a </w:t>
      </w:r>
      <w:r w:rsidRPr="006D5808">
        <w:rPr>
          <w:i/>
          <w:iCs/>
        </w:rPr>
        <w:t>contract</w:t>
      </w:r>
      <w:r w:rsidRPr="006D5808">
        <w:t xml:space="preserve">. Without </w:t>
      </w:r>
      <w:r w:rsidRPr="006D5808">
        <w:rPr>
          <w:i/>
          <w:iCs/>
        </w:rPr>
        <w:t>consideration</w:t>
      </w:r>
      <w:r w:rsidRPr="006D5808">
        <w:t xml:space="preserve"> by both parties, </w:t>
      </w:r>
      <w:r w:rsidRPr="006D5808">
        <w:rPr>
          <w:i/>
          <w:iCs/>
        </w:rPr>
        <w:t>contract</w:t>
      </w:r>
      <w:r w:rsidRPr="006D5808">
        <w:t>s are unenforceable.</w:t>
      </w:r>
    </w:p>
    <w:p w14:paraId="04895EB7" w14:textId="0554850C" w:rsidR="00211F3C" w:rsidRPr="006D5808" w:rsidRDefault="00211F3C" w:rsidP="006D5808">
      <w:pPr>
        <w:pStyle w:val="Heading5"/>
        <w:rPr>
          <w:vanish/>
          <w:specVanish/>
        </w:rPr>
      </w:pPr>
      <w:r w:rsidRPr="006D5808">
        <w:t>Contract</w:t>
      </w:r>
    </w:p>
    <w:p w14:paraId="1680CA78" w14:textId="6F15D97A" w:rsidR="00211F3C" w:rsidRPr="006D5808" w:rsidRDefault="006D5808" w:rsidP="006D5808">
      <w:r>
        <w:t xml:space="preserve"> : a</w:t>
      </w:r>
      <w:r w:rsidR="00211F3C" w:rsidRPr="006D5808">
        <w:t xml:space="preserve"> contract is legally binding </w:t>
      </w:r>
      <w:r w:rsidRPr="006D5808">
        <w:rPr>
          <w:i/>
          <w:iCs/>
        </w:rPr>
        <w:t>a</w:t>
      </w:r>
      <w:r w:rsidR="00211F3C" w:rsidRPr="006D5808">
        <w:rPr>
          <w:i/>
          <w:iCs/>
        </w:rPr>
        <w:t>greement</w:t>
      </w:r>
      <w:r w:rsidR="00211F3C" w:rsidRPr="006D5808">
        <w:t xml:space="preserve"> between two parties, that can be enforced in court if necessary. To be enforceable, a contract must meet certain requirements</w:t>
      </w:r>
      <w:r>
        <w:t>:</w:t>
      </w:r>
      <w:r w:rsidR="00211F3C" w:rsidRPr="006D5808">
        <w:t xml:space="preserve"> </w:t>
      </w:r>
      <w:r w:rsidR="00211F3C" w:rsidRPr="006D5808">
        <w:rPr>
          <w:i/>
          <w:iCs/>
        </w:rPr>
        <w:t>offer</w:t>
      </w:r>
      <w:r w:rsidR="00211F3C" w:rsidRPr="006D5808">
        <w:t xml:space="preserve">, </w:t>
      </w:r>
      <w:r w:rsidR="00211F3C" w:rsidRPr="006D5808">
        <w:rPr>
          <w:i/>
          <w:iCs/>
        </w:rPr>
        <w:t>acceptance</w:t>
      </w:r>
      <w:r w:rsidR="00211F3C" w:rsidRPr="006D5808">
        <w:t xml:space="preserve"> and </w:t>
      </w:r>
      <w:r w:rsidR="00211F3C" w:rsidRPr="006D5808">
        <w:rPr>
          <w:i/>
          <w:iCs/>
        </w:rPr>
        <w:t>consideration</w:t>
      </w:r>
      <w:r w:rsidR="00211F3C" w:rsidRPr="006D5808">
        <w:t xml:space="preserve">. </w:t>
      </w:r>
    </w:p>
    <w:p w14:paraId="5EE1149A" w14:textId="283DC645" w:rsidR="00211F3C" w:rsidRPr="006D5808" w:rsidRDefault="00211F3C" w:rsidP="006D5808">
      <w:pPr>
        <w:pStyle w:val="Heading5"/>
        <w:rPr>
          <w:vanish/>
          <w:specVanish/>
        </w:rPr>
      </w:pPr>
      <w:r w:rsidRPr="006D5808">
        <w:t>Dispute</w:t>
      </w:r>
    </w:p>
    <w:p w14:paraId="64EC1384" w14:textId="0F27EF4C" w:rsidR="00211F3C" w:rsidRPr="006D5808" w:rsidRDefault="006D5808" w:rsidP="006D5808">
      <w:r>
        <w:t xml:space="preserve"> : a</w:t>
      </w:r>
      <w:r w:rsidR="00211F3C" w:rsidRPr="006D5808">
        <w:t xml:space="preserve"> dis</w:t>
      </w:r>
      <w:r w:rsidR="00211F3C" w:rsidRPr="00B97FE0">
        <w:rPr>
          <w:i/>
          <w:iCs/>
        </w:rPr>
        <w:t>agreement</w:t>
      </w:r>
      <w:r w:rsidR="00211F3C" w:rsidRPr="006D5808">
        <w:t xml:space="preserve"> that may require </w:t>
      </w:r>
      <w:r w:rsidR="00211F3C" w:rsidRPr="006D5808">
        <w:rPr>
          <w:i/>
          <w:iCs/>
        </w:rPr>
        <w:t>dispute resolution</w:t>
      </w:r>
      <w:r w:rsidR="00211F3C" w:rsidRPr="006D5808">
        <w:t xml:space="preserve"> to progress outcomes.</w:t>
      </w:r>
    </w:p>
    <w:p w14:paraId="3F09E07B" w14:textId="782337AB" w:rsidR="00211F3C" w:rsidRPr="006D5808" w:rsidRDefault="00211F3C" w:rsidP="006D5808">
      <w:pPr>
        <w:pStyle w:val="Heading5"/>
        <w:rPr>
          <w:vanish/>
          <w:specVanish/>
        </w:rPr>
      </w:pPr>
      <w:r w:rsidRPr="006D5808">
        <w:t>Dispute Resolution</w:t>
      </w:r>
    </w:p>
    <w:p w14:paraId="7A1B8272" w14:textId="3BD0FF97" w:rsidR="006D5808" w:rsidRPr="00B97FE0" w:rsidRDefault="006D5808" w:rsidP="006D5808">
      <w:pPr>
        <w:rPr>
          <w:vanish/>
          <w:specVanish/>
        </w:rPr>
      </w:pPr>
      <w:r>
        <w:t xml:space="preserve"> </w:t>
      </w:r>
    </w:p>
    <w:p w14:paraId="5BEA2B08" w14:textId="6707F91A" w:rsidR="00B97FE0" w:rsidRPr="006D5808" w:rsidRDefault="00B97FE0" w:rsidP="006D5808">
      <w:r>
        <w:t xml:space="preserve"> : or dispute settlement, through either avoidance, consensual (facilitation, negotiation, conciliation, mediation), or adjudicative (litigation or arbitration by judge, </w:t>
      </w:r>
      <w:proofErr w:type="gramStart"/>
      <w:r>
        <w:t>jury</w:t>
      </w:r>
      <w:proofErr w:type="gramEnd"/>
      <w:r>
        <w:t xml:space="preserve"> or arbiter) processes. </w:t>
      </w:r>
    </w:p>
    <w:p w14:paraId="37B5E9A8" w14:textId="77777777" w:rsidR="006D5808" w:rsidRPr="006D5808" w:rsidRDefault="006D5808" w:rsidP="006D5808">
      <w:pPr>
        <w:pStyle w:val="Heading5"/>
        <w:rPr>
          <w:vanish/>
          <w:specVanish/>
        </w:rPr>
      </w:pPr>
      <w:r w:rsidRPr="006D5808">
        <w:t xml:space="preserve">Forbearance </w:t>
      </w:r>
    </w:p>
    <w:p w14:paraId="0CF58A5A" w14:textId="33F12769" w:rsidR="006D5808" w:rsidRDefault="006D5808" w:rsidP="006D5808">
      <w:r>
        <w:t xml:space="preserve"> </w:t>
      </w:r>
      <w:r w:rsidRPr="006D5808">
        <w:t>: the intentional action of abstaining from doing something. </w:t>
      </w:r>
    </w:p>
    <w:p w14:paraId="4581B0CD" w14:textId="724EB386" w:rsidR="009F6A31" w:rsidRPr="009F6A31" w:rsidRDefault="009F6A31" w:rsidP="009F6A31">
      <w:pPr>
        <w:pStyle w:val="Heading5"/>
        <w:rPr>
          <w:vanish/>
          <w:specVanish/>
        </w:rPr>
      </w:pPr>
      <w:r>
        <w:t>House of Representatives</w:t>
      </w:r>
    </w:p>
    <w:p w14:paraId="504A0A20" w14:textId="2A0948FE" w:rsidR="009F6A31" w:rsidRPr="006D5808" w:rsidRDefault="009F6A31" w:rsidP="006D5808">
      <w:r>
        <w:t xml:space="preserve"> : the body made up of individuals, called Members of Parliament (MPs), elected for a term of 3 years.</w:t>
      </w:r>
    </w:p>
    <w:p w14:paraId="28AEB7E9" w14:textId="77777777" w:rsidR="006D5808" w:rsidRPr="00EB4A97" w:rsidRDefault="006D5808" w:rsidP="006D5808">
      <w:pPr>
        <w:pStyle w:val="Heading5"/>
        <w:rPr>
          <w:vanish/>
          <w:specVanish/>
        </w:rPr>
      </w:pPr>
      <w:r>
        <w:t>IT</w:t>
      </w:r>
    </w:p>
    <w:p w14:paraId="51D23B5D" w14:textId="77777777" w:rsidR="006D5808" w:rsidRDefault="006D5808" w:rsidP="006D5808">
      <w:pPr>
        <w:pStyle w:val="BodyText"/>
      </w:pPr>
      <w:r>
        <w:t xml:space="preserve"> : acronym for Information, using Technology to automate and facilitate its management.</w:t>
      </w:r>
    </w:p>
    <w:p w14:paraId="093C30D6" w14:textId="77777777" w:rsidR="006D5808" w:rsidRPr="008C39DC" w:rsidRDefault="006D5808" w:rsidP="006D5808">
      <w:pPr>
        <w:pStyle w:val="Heading5"/>
        <w:rPr>
          <w:vanish/>
          <w:specVanish/>
        </w:rPr>
      </w:pPr>
      <w:r>
        <w:t>ICT</w:t>
      </w:r>
    </w:p>
    <w:p w14:paraId="652A313F" w14:textId="095C7B7D" w:rsidR="006D5808" w:rsidRDefault="006D5808" w:rsidP="006D5808">
      <w:pPr>
        <w:pStyle w:val="BodyText"/>
      </w:pPr>
      <w:r>
        <w:t>: acronym for Information &amp; Communication Technology, the domain of defining Information elements and using technology to automate their communication between entities. IT is a subset of ICT.</w:t>
      </w:r>
    </w:p>
    <w:p w14:paraId="3BFA260E" w14:textId="124D3441" w:rsidR="00B97FE0" w:rsidRPr="009F6A31" w:rsidRDefault="00B97FE0" w:rsidP="009F6A31">
      <w:pPr>
        <w:pStyle w:val="Heading5"/>
        <w:rPr>
          <w:vanish/>
          <w:specVanish/>
        </w:rPr>
      </w:pPr>
      <w:r>
        <w:t>Law</w:t>
      </w:r>
    </w:p>
    <w:p w14:paraId="36DA65A6" w14:textId="41420DD7" w:rsidR="00B97FE0" w:rsidRDefault="009F6A31" w:rsidP="006D5808">
      <w:pPr>
        <w:pStyle w:val="BodyText"/>
      </w:pPr>
      <w:r>
        <w:t xml:space="preserve"> </w:t>
      </w:r>
      <w:r w:rsidR="00B97FE0">
        <w:t>: the set of rules that are created are enforceable by social or government institutions to regulate behaviour.</w:t>
      </w:r>
    </w:p>
    <w:p w14:paraId="2A8E6CA6" w14:textId="5DDA1B8A" w:rsidR="00211F3C" w:rsidRPr="006D5808" w:rsidRDefault="006D5808" w:rsidP="006D5808">
      <w:pPr>
        <w:pStyle w:val="Heading5"/>
        <w:rPr>
          <w:vanish/>
          <w:specVanish/>
        </w:rPr>
      </w:pPr>
      <w:r w:rsidRPr="006D5808">
        <w:t>Offer</w:t>
      </w:r>
    </w:p>
    <w:p w14:paraId="135F528E" w14:textId="1E90D581" w:rsidR="006D5808" w:rsidRPr="006D5808" w:rsidRDefault="006D5808" w:rsidP="006D5808">
      <w:r>
        <w:t xml:space="preserve"> : </w:t>
      </w:r>
      <w:r w:rsidRPr="006D5808">
        <w:t>part of </w:t>
      </w:r>
      <w:r w:rsidRPr="006D5808">
        <w:rPr>
          <w:i/>
          <w:iCs/>
        </w:rPr>
        <w:t>contract negotiations</w:t>
      </w:r>
      <w:r w:rsidRPr="006D5808">
        <w:t xml:space="preserve"> where a party agrees to do or not do something in exchange for </w:t>
      </w:r>
      <w:r w:rsidRPr="006D5808">
        <w:rPr>
          <w:i/>
          <w:iCs/>
        </w:rPr>
        <w:t>consideration</w:t>
      </w:r>
      <w:r w:rsidRPr="006D5808">
        <w:t>. </w:t>
      </w:r>
    </w:p>
    <w:p w14:paraId="4F87B981" w14:textId="5B3827FE" w:rsidR="00211F3C" w:rsidRPr="006D5808" w:rsidRDefault="00211F3C" w:rsidP="006D5808">
      <w:pPr>
        <w:pStyle w:val="Heading5"/>
        <w:rPr>
          <w:vanish/>
          <w:specVanish/>
        </w:rPr>
      </w:pPr>
      <w:r w:rsidRPr="006D5808">
        <w:t>Promise</w:t>
      </w:r>
    </w:p>
    <w:p w14:paraId="2E9A140D" w14:textId="03C9A6EA" w:rsidR="00F41AE1" w:rsidRDefault="006D5808" w:rsidP="006D5808">
      <w:r>
        <w:t xml:space="preserve"> : a</w:t>
      </w:r>
      <w:r w:rsidR="00211F3C" w:rsidRPr="006D5808">
        <w:t xml:space="preserve"> one-sided or</w:t>
      </w:r>
      <w:r w:rsidR="00211F3C">
        <w:t xml:space="preserve">al or written commitment </w:t>
      </w:r>
      <w:r>
        <w:t xml:space="preserve">statement </w:t>
      </w:r>
      <w:r w:rsidR="00211F3C">
        <w:t xml:space="preserve">by one party to another that creates an </w:t>
      </w:r>
      <w:r w:rsidR="00211F3C" w:rsidRPr="006D5808">
        <w:rPr>
          <w:i/>
          <w:iCs/>
        </w:rPr>
        <w:t>obligation</w:t>
      </w:r>
      <w:r w:rsidR="00211F3C">
        <w:t xml:space="preserve">.  An assurance that a certain action will be </w:t>
      </w:r>
      <w:r>
        <w:t>taken,</w:t>
      </w:r>
      <w:r w:rsidR="00211F3C">
        <w:t xml:space="preserve"> or outcome will </w:t>
      </w:r>
      <w:r>
        <w:t xml:space="preserve">be </w:t>
      </w:r>
      <w:r w:rsidR="00211F3C">
        <w:lastRenderedPageBreak/>
        <w:t xml:space="preserve">achieved. To be legally enforceable, a </w:t>
      </w:r>
      <w:r w:rsidR="00211F3C" w:rsidRPr="006D5808">
        <w:rPr>
          <w:i/>
          <w:iCs/>
        </w:rPr>
        <w:t>promise</w:t>
      </w:r>
      <w:r w:rsidR="00211F3C">
        <w:t xml:space="preserve"> must meet certain requirements, such as </w:t>
      </w:r>
      <w:r w:rsidR="00211F3C" w:rsidRPr="006D5808">
        <w:rPr>
          <w:i/>
          <w:iCs/>
        </w:rPr>
        <w:t>consideration</w:t>
      </w:r>
      <w:r w:rsidR="00211F3C">
        <w:t xml:space="preserve"> and </w:t>
      </w:r>
      <w:r w:rsidR="00211F3C" w:rsidRPr="006D5808">
        <w:rPr>
          <w:i/>
          <w:iCs/>
        </w:rPr>
        <w:t>intention</w:t>
      </w:r>
      <w:r w:rsidR="00211F3C">
        <w:t xml:space="preserve"> to create legal relations.</w:t>
      </w:r>
    </w:p>
    <w:p w14:paraId="595F7FE4" w14:textId="77777777" w:rsidR="00E059ED" w:rsidRPr="00E059ED" w:rsidRDefault="00E059ED" w:rsidP="00E059ED">
      <w:pPr>
        <w:pStyle w:val="Heading5"/>
        <w:rPr>
          <w:vanish/>
          <w:specVanish/>
        </w:rPr>
      </w:pPr>
      <w:r>
        <w:t xml:space="preserve">Regulation </w:t>
      </w:r>
    </w:p>
    <w:p w14:paraId="5C695763" w14:textId="1214E30C" w:rsidR="00E059ED" w:rsidRPr="00F41AE1" w:rsidRDefault="00E059ED" w:rsidP="00E059ED">
      <w:r>
        <w:t xml:space="preserve">: </w:t>
      </w:r>
      <w:r w:rsidRPr="00F41AE1">
        <w:t>law-making action</w:t>
      </w:r>
      <w:r>
        <w:t>s – including the developing of standards and rules --</w:t>
      </w:r>
      <w:r w:rsidRPr="00F41AE1">
        <w:t xml:space="preserve"> made under the </w:t>
      </w:r>
      <w:r w:rsidRPr="00E059ED">
        <w:t>delegated</w:t>
      </w:r>
      <w:r w:rsidRPr="00F41AE1">
        <w:t xml:space="preserve"> authority of an Act</w:t>
      </w:r>
      <w:r>
        <w:t>.</w:t>
      </w:r>
    </w:p>
    <w:p w14:paraId="39891EA4" w14:textId="77777777" w:rsidR="00E059ED" w:rsidRDefault="00E059ED" w:rsidP="006D5808"/>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14"/>
      <w:headerReference w:type="default" r:id="rId15"/>
      <w:footerReference w:type="even" r:id="rId16"/>
      <w:footerReference w:type="default" r:id="rId17"/>
      <w:headerReference w:type="first" r:id="rId18"/>
      <w:footerReference w:type="first" r:id="rId19"/>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A2AE3" w14:textId="77777777" w:rsidR="008F3D45" w:rsidRDefault="008F3D45" w:rsidP="0021141C">
      <w:pPr>
        <w:spacing w:before="0" w:after="0" w:line="240" w:lineRule="auto"/>
      </w:pPr>
      <w:r>
        <w:separator/>
      </w:r>
    </w:p>
    <w:p w14:paraId="4D7C2194" w14:textId="77777777" w:rsidR="008F3D45" w:rsidRDefault="008F3D45"/>
  </w:endnote>
  <w:endnote w:type="continuationSeparator" w:id="0">
    <w:p w14:paraId="43028842" w14:textId="77777777" w:rsidR="008F3D45" w:rsidRDefault="008F3D45" w:rsidP="0021141C">
      <w:pPr>
        <w:spacing w:before="0" w:after="0" w:line="240" w:lineRule="auto"/>
      </w:pPr>
      <w:r>
        <w:continuationSeparator/>
      </w:r>
    </w:p>
    <w:p w14:paraId="53322092" w14:textId="77777777" w:rsidR="008F3D45" w:rsidRDefault="008F3D45"/>
  </w:endnote>
  <w:endnote w:type="continuationNotice" w:id="1">
    <w:p w14:paraId="52CD96A0" w14:textId="77777777" w:rsidR="008F3D45" w:rsidRDefault="008F3D45">
      <w:pPr>
        <w:spacing w:before="0" w:after="0" w:line="240" w:lineRule="auto"/>
      </w:pPr>
    </w:p>
    <w:p w14:paraId="3418527D" w14:textId="77777777" w:rsidR="008F3D45" w:rsidRDefault="008F3D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441A4" w14:textId="77777777" w:rsidR="008F3D45" w:rsidRDefault="008F3D45" w:rsidP="0021141C">
      <w:pPr>
        <w:spacing w:before="0" w:after="0" w:line="240" w:lineRule="auto"/>
      </w:pPr>
      <w:r>
        <w:separator/>
      </w:r>
    </w:p>
    <w:p w14:paraId="6F670B77" w14:textId="77777777" w:rsidR="008F3D45" w:rsidRDefault="008F3D45"/>
  </w:footnote>
  <w:footnote w:type="continuationSeparator" w:id="0">
    <w:p w14:paraId="451B845B" w14:textId="77777777" w:rsidR="008F3D45" w:rsidRDefault="008F3D45" w:rsidP="0021141C">
      <w:pPr>
        <w:spacing w:before="0" w:after="0" w:line="240" w:lineRule="auto"/>
      </w:pPr>
      <w:r>
        <w:continuationSeparator/>
      </w:r>
    </w:p>
    <w:p w14:paraId="4BB16A87" w14:textId="77777777" w:rsidR="008F3D45" w:rsidRDefault="008F3D45"/>
  </w:footnote>
  <w:footnote w:type="continuationNotice" w:id="1">
    <w:p w14:paraId="60B8D6C0" w14:textId="77777777" w:rsidR="008F3D45" w:rsidRDefault="008F3D45">
      <w:pPr>
        <w:spacing w:before="0" w:after="0" w:line="240" w:lineRule="auto"/>
      </w:pPr>
    </w:p>
    <w:p w14:paraId="2E137EDC" w14:textId="77777777" w:rsidR="008F3D45" w:rsidRDefault="008F3D45"/>
  </w:footnote>
  <w:footnote w:id="2">
    <w:p w14:paraId="03F35ED3" w14:textId="28E8AB16" w:rsidR="004745DE" w:rsidRDefault="004745DE">
      <w:pPr>
        <w:pStyle w:val="FootnoteText"/>
      </w:pPr>
      <w:r>
        <w:rPr>
          <w:rStyle w:val="FootnoteReference"/>
        </w:rPr>
        <w:footnoteRef/>
      </w:r>
      <w:r>
        <w:t xml:space="preserve"> </w:t>
      </w:r>
      <w:hyperlink r:id="rId1" w:history="1">
        <w:r>
          <w:rPr>
            <w:rStyle w:val="Hyperlink"/>
          </w:rPr>
          <w:t>CLOUD Act - Wikipedia</w:t>
        </w:r>
      </w:hyperlink>
    </w:p>
  </w:footnote>
  <w:footnote w:id="3">
    <w:p w14:paraId="7D34F70A" w14:textId="4DEAB713" w:rsidR="00EF3880" w:rsidRDefault="00EF3880">
      <w:pPr>
        <w:pStyle w:val="FootnoteText"/>
      </w:pPr>
      <w:r>
        <w:rPr>
          <w:rStyle w:val="FootnoteReference"/>
        </w:rPr>
        <w:footnoteRef/>
      </w:r>
      <w:r>
        <w:t xml:space="preserve"> </w:t>
      </w:r>
      <w:hyperlink r:id="rId2" w:history="1">
        <w:r>
          <w:rPr>
            <w:rStyle w:val="Hyperlink"/>
          </w:rPr>
          <w:t>Criminal Division | Cloud Act Agreement Between the Governments of the U.S. and Australia (justice.gov)</w:t>
        </w:r>
      </w:hyperlink>
    </w:p>
  </w:footnote>
  <w:footnote w:id="4">
    <w:p w14:paraId="2FA1F4FF" w14:textId="056E4458" w:rsidR="0067665B" w:rsidRDefault="0067665B">
      <w:pPr>
        <w:pStyle w:val="FootnoteText"/>
      </w:pPr>
      <w:r>
        <w:rPr>
          <w:rStyle w:val="FootnoteReference"/>
        </w:rPr>
        <w:footnoteRef/>
      </w:r>
      <w:r>
        <w:t xml:space="preserve"> </w:t>
      </w:r>
      <w:hyperlink r:id="rId3" w:history="1">
        <w:r>
          <w:rPr>
            <w:rStyle w:val="Hyperlink"/>
          </w:rPr>
          <w:t>Australia-US CLOUD Act Agreement (homeaffairs.gov.au)</w:t>
        </w:r>
      </w:hyperlink>
    </w:p>
  </w:footnote>
  <w:footnote w:id="5">
    <w:p w14:paraId="2C90F639" w14:textId="28A297A8" w:rsidR="00415F06" w:rsidRDefault="00415F06">
      <w:pPr>
        <w:pStyle w:val="FootnoteText"/>
      </w:pPr>
      <w:r>
        <w:rPr>
          <w:rStyle w:val="FootnoteReference"/>
        </w:rPr>
        <w:footnoteRef/>
      </w:r>
      <w:r>
        <w:t xml:space="preserve"> </w:t>
      </w:r>
      <w:hyperlink r:id="rId4" w:anchor=":~:text=Purpose%20of%20the%20Act,other%20rights%20and%20interests%3B%20and" w:history="1">
        <w:r>
          <w:rPr>
            <w:rStyle w:val="Hyperlink"/>
          </w:rPr>
          <w:t>Privacy Act 2020 | Department of the Prime Minister and Cabinet (DPMC)</w:t>
        </w:r>
      </w:hyperlink>
    </w:p>
  </w:footnote>
  <w:footnote w:id="6">
    <w:p w14:paraId="25E7D364" w14:textId="13C8085D" w:rsidR="004745DE" w:rsidRDefault="004745DE">
      <w:pPr>
        <w:pStyle w:val="FootnoteText"/>
      </w:pPr>
      <w:r>
        <w:rPr>
          <w:rStyle w:val="FootnoteReference"/>
        </w:rPr>
        <w:footnoteRef/>
      </w:r>
      <w:r>
        <w:t xml:space="preserve"> </w:t>
      </w:r>
      <w:hyperlink r:id="rId5" w:history="1">
        <w:r>
          <w:rPr>
            <w:rStyle w:val="Hyperlink"/>
          </w:rPr>
          <w:t>General Data Protection Regulation - Wikipedia</w:t>
        </w:r>
      </w:hyperlink>
    </w:p>
  </w:footnote>
  <w:footnote w:id="7">
    <w:p w14:paraId="78DF52FA" w14:textId="77777777" w:rsidR="003C3E5C" w:rsidRDefault="003C3E5C" w:rsidP="003C3E5C">
      <w:pPr>
        <w:pStyle w:val="FootnoteText"/>
      </w:pPr>
      <w:r>
        <w:rPr>
          <w:rStyle w:val="FootnoteReference"/>
        </w:rPr>
        <w:footnoteRef/>
      </w:r>
      <w:r>
        <w:t xml:space="preserve"> </w:t>
      </w:r>
      <w:hyperlink r:id="rId6" w:anchor=":~:text=The%20Privacy%20Act%202020%20governs,is%20used%20and%20shared%20appropriately" w:history="1">
        <w:r>
          <w:rPr>
            <w:rStyle w:val="Hyperlink"/>
          </w:rPr>
          <w:t>Office of the Privacy Commissioner | Privacy Act 2020 and the Privacy Principles</w:t>
        </w:r>
      </w:hyperlink>
    </w:p>
  </w:footnote>
  <w:footnote w:id="8">
    <w:p w14:paraId="68E317A3" w14:textId="77777777" w:rsidR="003C3E5C" w:rsidRDefault="003C3E5C" w:rsidP="003C3E5C">
      <w:pPr>
        <w:pStyle w:val="FootnoteText"/>
      </w:pPr>
      <w:r>
        <w:rPr>
          <w:rStyle w:val="FootnoteReference"/>
        </w:rPr>
        <w:footnoteRef/>
      </w:r>
      <w:r>
        <w:t xml:space="preserve"> </w:t>
      </w:r>
      <w:hyperlink r:id="rId7" w:history="1">
        <w:r>
          <w:rPr>
            <w:rStyle w:val="Hyperlink"/>
          </w:rPr>
          <w:t>Public Records Act 2005 No 40 (as at 01 September 2022), Public Act Contents – New Zealand Legislation</w:t>
        </w:r>
      </w:hyperlink>
    </w:p>
  </w:footnote>
  <w:footnote w:id="9">
    <w:p w14:paraId="6B0EC68B" w14:textId="77777777" w:rsidR="003C3E5C" w:rsidRDefault="003C3E5C" w:rsidP="003C3E5C">
      <w:pPr>
        <w:pStyle w:val="FootnoteText"/>
      </w:pPr>
      <w:r>
        <w:rPr>
          <w:rStyle w:val="FootnoteReference"/>
        </w:rPr>
        <w:footnoteRef/>
      </w:r>
      <w:r>
        <w:t xml:space="preserve"> </w:t>
      </w:r>
      <w:hyperlink r:id="rId8" w:history="1">
        <w:r>
          <w:rPr>
            <w:rStyle w:val="Hyperlink"/>
          </w:rPr>
          <w:t>Official Information Act 1982 No 156 (as at 01 September 2022), Public Act Contents – New Zealand Legislation</w:t>
        </w:r>
      </w:hyperlink>
    </w:p>
  </w:footnote>
  <w:footnote w:id="10">
    <w:p w14:paraId="1ACAD37E" w14:textId="77777777" w:rsidR="003C3E5C" w:rsidRDefault="003C3E5C" w:rsidP="003C3E5C">
      <w:pPr>
        <w:pStyle w:val="FootnoteText"/>
      </w:pPr>
      <w:r>
        <w:rPr>
          <w:rStyle w:val="FootnoteReference"/>
        </w:rPr>
        <w:footnoteRef/>
      </w:r>
      <w:r>
        <w:t xml:space="preserve"> </w:t>
      </w:r>
      <w:hyperlink r:id="rId9" w:history="1">
        <w:r>
          <w:rPr>
            <w:rStyle w:val="Hyperlink"/>
          </w:rPr>
          <w:t>Education and Training Act 2020 No 38 (as at 01 September 2022), Public Act Contents – New Zealand Legislation</w:t>
        </w:r>
      </w:hyperlink>
    </w:p>
  </w:footnote>
  <w:footnote w:id="11">
    <w:p w14:paraId="04B7A365" w14:textId="19D5CB2B" w:rsidR="00415F06" w:rsidRDefault="00415F06">
      <w:pPr>
        <w:pStyle w:val="FootnoteText"/>
      </w:pPr>
      <w:r>
        <w:rPr>
          <w:rStyle w:val="FootnoteReference"/>
        </w:rPr>
        <w:footnoteRef/>
      </w:r>
      <w:r>
        <w:t xml:space="preserve"> </w:t>
      </w:r>
      <w:hyperlink r:id="rId10" w:history="1">
        <w:r>
          <w:rPr>
            <w:rStyle w:val="Hyperlink"/>
          </w:rPr>
          <w:t>Right to be Forgotten - General Data Protection Regulation (GDPR) (gdpr-info.eu)</w:t>
        </w:r>
      </w:hyperlink>
    </w:p>
  </w:footnote>
  <w:footnote w:id="12">
    <w:p w14:paraId="7FC20D6B" w14:textId="4CC3644F" w:rsidR="00872BBE" w:rsidRDefault="00872BBE">
      <w:pPr>
        <w:pStyle w:val="FootnoteText"/>
      </w:pPr>
      <w:r>
        <w:rPr>
          <w:rStyle w:val="FootnoteReference"/>
        </w:rPr>
        <w:footnoteRef/>
      </w:r>
      <w:r>
        <w:t xml:space="preserve"> </w:t>
      </w:r>
      <w:hyperlink r:id="rId11" w:history="1">
        <w:r>
          <w:rPr>
            <w:rStyle w:val="Hyperlink"/>
          </w:rPr>
          <w:t>Web Standards Cabinet Minute and Paper | NZ Digital government</w:t>
        </w:r>
      </w:hyperlink>
    </w:p>
  </w:footnote>
  <w:footnote w:id="13">
    <w:p w14:paraId="21417B16" w14:textId="77777777" w:rsidR="003C3E5C" w:rsidRDefault="003C3E5C" w:rsidP="003C3E5C">
      <w:pPr>
        <w:pStyle w:val="FootnoteText"/>
      </w:pPr>
      <w:r>
        <w:rPr>
          <w:rStyle w:val="FootnoteReference"/>
        </w:rPr>
        <w:footnoteRef/>
      </w:r>
      <w:r>
        <w:t xml:space="preserve"> </w:t>
      </w:r>
      <w:hyperlink r:id="rId12" w:history="1">
        <w:r>
          <w:rPr>
            <w:rStyle w:val="Hyperlink"/>
            <w:rFonts w:ascii="Helvetica" w:hAnsi="Helvetica"/>
            <w:sz w:val="18"/>
            <w:szCs w:val="18"/>
            <w:shd w:val="clear" w:color="auto" w:fill="F8F9FA"/>
          </w:rPr>
          <w:t>https://www.data.govt.nz/manage-data/policies/new-zealand-data-and-information-management-principles/</w:t>
        </w:r>
      </w:hyperlink>
    </w:p>
  </w:footnote>
  <w:footnote w:id="14">
    <w:p w14:paraId="681BC398" w14:textId="77777777" w:rsidR="003C3E5C" w:rsidRDefault="003C3E5C" w:rsidP="003C3E5C">
      <w:pPr>
        <w:pStyle w:val="FootnoteText"/>
      </w:pPr>
      <w:r>
        <w:rPr>
          <w:rStyle w:val="FootnoteReference"/>
        </w:rPr>
        <w:footnoteRef/>
      </w:r>
      <w:r>
        <w:t xml:space="preserve"> </w:t>
      </w:r>
      <w:hyperlink r:id="rId13" w:history="1">
        <w:r>
          <w:rPr>
            <w:rStyle w:val="Hyperlink"/>
            <w:rFonts w:ascii="Helvetica" w:hAnsi="Helvetica"/>
            <w:sz w:val="18"/>
            <w:szCs w:val="18"/>
            <w:shd w:val="clear" w:color="auto" w:fill="F8F9FA"/>
          </w:rPr>
          <w:t>https://www.data.govt.nz/manage-data/policies/new-zealand-data-and-information-management-principles/</w:t>
        </w:r>
        <w:r>
          <w:rPr>
            <w:rFonts w:ascii="Helvetica" w:hAnsi="Helvetica"/>
            <w:color w:val="0000FF"/>
            <w:sz w:val="18"/>
            <w:szCs w:val="18"/>
            <w:u w:val="single"/>
            <w:shd w:val="clear" w:color="auto" w:fill="F8F9FA"/>
          </w:rPr>
          <w:br/>
        </w:r>
        <w:r>
          <w:rPr>
            <w:rStyle w:val="Hyperlink"/>
            <w:rFonts w:ascii="Courier New" w:hAnsi="Courier New" w:cs="Courier New"/>
            <w:sz w:val="2"/>
            <w:szCs w:val="2"/>
            <w:shd w:val="clear" w:color="auto" w:fill="F8F9FA"/>
          </w:rPr>
          <w:t>%3CmxGraphModel%3E%3Croot%3E%3CmxCell%20id%3D%220%22%2F%3E%3CmxCell%20id%3D%221%22%20parent%3D%220%22%2F%3E%3CUserObject%20label%3D%22NZ%20Data%20and%20Information%20Management%20Principles%22%20link%3D%22https%3A%2F%2Fwww.data.govt.nz%2Fmanage-data%2Fpolicies%2Fnew-zealand-data-and-information-management-principles%2F%22%20id%3D%222%22%3E%3CmxCell%20style%3D%22text%3Bhtml%3D1%3BstrokeColor%3Dnone%3BfillColor%3Dnone%3BwhiteSpace%3Dwrap%3Balign%3Dleft%3BverticalAlign%3Dmiddle%3BfontColor%3D%230000EE%3BfontStyle%3D4%3Bdashed%3D1%3Bopacity%3D20%3B%22%20vertex%3D%221%22%20parent%3D%221%22%3E%3CmxGeometry%20x%3D%22400%22%20y%3D%22650%22%20width%3D%22270%22%20height%3D%2240%22%20as%3D%22geometry%22%2F%3E%3C%2FmxCell%3E%3C%2FUserObject%3E%3C%2Froot%3E%3C%2FmxGraphModel%3E</w:t>
        </w:r>
      </w:hyperlink>
      <w:hyperlink r:id="rId14" w:history="1">
        <w:r>
          <w:rPr>
            <w:rStyle w:val="Hyperlink"/>
            <w:rFonts w:ascii="Courier New" w:hAnsi="Courier New" w:cs="Courier New"/>
            <w:sz w:val="2"/>
            <w:szCs w:val="2"/>
            <w:shd w:val="clear" w:color="auto" w:fill="F8F9FA"/>
          </w:rPr>
          <w:t>https://www.data.govt.nz/manage-data/policies/new-zealand-data-and-information-management-principles/</w:t>
        </w:r>
        <w:r>
          <w:rPr>
            <w:rFonts w:ascii="Courier New" w:hAnsi="Courier New" w:cs="Courier New"/>
            <w:color w:val="0000FF"/>
            <w:sz w:val="2"/>
            <w:szCs w:val="2"/>
            <w:u w:val="single"/>
            <w:shd w:val="clear" w:color="auto" w:fill="F8F9FA"/>
          </w:rPr>
          <w:br/>
        </w:r>
      </w:hyperlink>
    </w:p>
  </w:footnote>
  <w:footnote w:id="15">
    <w:p w14:paraId="0C2B9ECD" w14:textId="77777777" w:rsidR="003C3E5C" w:rsidRDefault="003C3E5C" w:rsidP="003C3E5C">
      <w:pPr>
        <w:pStyle w:val="FootnoteText"/>
      </w:pPr>
      <w:r>
        <w:rPr>
          <w:rStyle w:val="FootnoteReference"/>
        </w:rPr>
        <w:footnoteRef/>
      </w:r>
      <w:r>
        <w:t xml:space="preserve"> </w:t>
      </w:r>
      <w:hyperlink r:id="rId15" w:history="1">
        <w:r w:rsidRPr="009D1098">
          <w:rPr>
            <w:rStyle w:val="Hyperlink"/>
            <w:rFonts w:ascii="Helvetica" w:hAnsi="Helvetica"/>
            <w:sz w:val="18"/>
            <w:szCs w:val="18"/>
            <w:shd w:val="clear" w:color="auto" w:fill="F8F9FA"/>
          </w:rPr>
          <w:t>https://www.digital.govt.nz/standards-and-guidance/digital-service-design-standard/</w:t>
        </w:r>
      </w:hyperlink>
    </w:p>
  </w:footnote>
  <w:footnote w:id="16">
    <w:p w14:paraId="0077C644" w14:textId="77777777" w:rsidR="003C3E5C" w:rsidRDefault="003C3E5C" w:rsidP="003C3E5C">
      <w:pPr>
        <w:pStyle w:val="FootnoteText"/>
      </w:pPr>
      <w:r>
        <w:rPr>
          <w:rStyle w:val="FootnoteReference"/>
        </w:rPr>
        <w:footnoteRef/>
      </w:r>
      <w:r>
        <w:t xml:space="preserve"> </w:t>
      </w:r>
      <w:hyperlink r:id="rId16" w:history="1">
        <w:r>
          <w:rPr>
            <w:rStyle w:val="Hyperlink"/>
          </w:rPr>
          <w:t>NZ Government Web Standards | NZ Digital government</w:t>
        </w:r>
      </w:hyperlink>
    </w:p>
  </w:footnote>
  <w:footnote w:id="17">
    <w:p w14:paraId="0DFDBD21" w14:textId="77777777" w:rsidR="003C3E5C" w:rsidRDefault="003C3E5C" w:rsidP="003C3E5C">
      <w:pPr>
        <w:pStyle w:val="FootnoteText"/>
      </w:pPr>
      <w:r>
        <w:rPr>
          <w:rStyle w:val="FootnoteReference"/>
        </w:rPr>
        <w:footnoteRef/>
      </w:r>
      <w:r w:rsidRPr="00494F2C">
        <w:t>https://www.digital.govt.nz/standards-and-guidance/technology-and-architecture/government-enterprise-architecture/government-digital-standards-catalogue/digital-standards-principles</w:t>
      </w:r>
    </w:p>
  </w:footnote>
  <w:footnote w:id="18">
    <w:p w14:paraId="5BB9BD84" w14:textId="7533C004" w:rsidR="00E059ED" w:rsidRDefault="00E059ED">
      <w:pPr>
        <w:pStyle w:val="FootnoteText"/>
      </w:pPr>
      <w:r>
        <w:rPr>
          <w:rStyle w:val="FootnoteReference"/>
        </w:rPr>
        <w:footnoteRef/>
      </w:r>
      <w:r>
        <w:t xml:space="preserve"> </w:t>
      </w:r>
      <w:r w:rsidRPr="00E059ED">
        <w:t>https://www.msd.govt.nz/about-msd-and-our-work/publications-resources/monitoring/uncroc/</w:t>
      </w:r>
    </w:p>
  </w:footnote>
  <w:footnote w:id="19">
    <w:p w14:paraId="75966199" w14:textId="303F5887" w:rsidR="00E059ED" w:rsidRDefault="00E059ED">
      <w:pPr>
        <w:pStyle w:val="FootnoteText"/>
      </w:pPr>
      <w:r>
        <w:rPr>
          <w:rStyle w:val="FootnoteReference"/>
        </w:rPr>
        <w:footnoteRef/>
      </w:r>
      <w:r>
        <w:t xml:space="preserve"> </w:t>
      </w:r>
      <w:hyperlink r:id="rId17" w:history="1">
        <w:r>
          <w:rPr>
            <w:rStyle w:val="Hyperlink"/>
          </w:rPr>
          <w:t>United Nations Convention on the Rights of Persons with Disabilities - Office for Disability Issues (odi.govt.nz)</w:t>
        </w:r>
      </w:hyperlink>
    </w:p>
  </w:footnote>
  <w:footnote w:id="20">
    <w:p w14:paraId="34EFC055" w14:textId="56B34801" w:rsidR="00E059ED" w:rsidRDefault="00E059ED">
      <w:pPr>
        <w:pStyle w:val="FootnoteText"/>
      </w:pPr>
      <w:r>
        <w:rPr>
          <w:rStyle w:val="FootnoteReference"/>
        </w:rPr>
        <w:footnoteRef/>
      </w:r>
      <w:r>
        <w:t xml:space="preserve"> </w:t>
      </w:r>
      <w:r w:rsidRPr="00E059ED">
        <w:t>https://www.mfat.govt.nz/en/trade/our-work-with-the-wto/</w:t>
      </w:r>
    </w:p>
  </w:footnote>
  <w:footnote w:id="21">
    <w:p w14:paraId="11D23B36" w14:textId="440C41FD" w:rsidR="00E059ED" w:rsidRDefault="00E059ED">
      <w:pPr>
        <w:pStyle w:val="FootnoteText"/>
      </w:pPr>
      <w:r>
        <w:rPr>
          <w:rStyle w:val="FootnoteReference"/>
        </w:rPr>
        <w:footnoteRef/>
      </w:r>
      <w:r>
        <w:t xml:space="preserve"> </w:t>
      </w:r>
      <w:hyperlink r:id="rId18" w:history="1">
        <w:r>
          <w:rPr>
            <w:rStyle w:val="Hyperlink"/>
          </w:rPr>
          <w:t>Home (iso.org)</w:t>
        </w:r>
      </w:hyperlink>
    </w:p>
  </w:footnote>
  <w:footnote w:id="22">
    <w:p w14:paraId="0731F46E" w14:textId="77777777" w:rsidR="002D7149" w:rsidRDefault="002D7149" w:rsidP="002D7149">
      <w:pPr>
        <w:pStyle w:val="FootnoteText"/>
      </w:pPr>
      <w:r>
        <w:rPr>
          <w:rStyle w:val="FootnoteReference"/>
        </w:rPr>
        <w:footnoteRef/>
      </w:r>
      <w:r>
        <w:t xml:space="preserve"> </w:t>
      </w:r>
      <w:hyperlink r:id="rId19" w:history="1">
        <w:r>
          <w:rPr>
            <w:rStyle w:val="Hyperlink"/>
          </w:rPr>
          <w:t>National Govt to support UN rights declaration | Beehive.govt.nz</w:t>
        </w:r>
      </w:hyperlink>
    </w:p>
  </w:footnote>
  <w:footnote w:id="23">
    <w:p w14:paraId="03C89748" w14:textId="77777777" w:rsidR="002D7149" w:rsidRDefault="002D7149" w:rsidP="002D7149">
      <w:pPr>
        <w:pStyle w:val="FootnoteText"/>
      </w:pPr>
      <w:r>
        <w:rPr>
          <w:rStyle w:val="FootnoteReference"/>
        </w:rPr>
        <w:footnoteRef/>
      </w:r>
      <w:r>
        <w:t xml:space="preserve"> </w:t>
      </w:r>
      <w:hyperlink r:id="rId20" w:history="1">
        <w:r>
          <w:rPr>
            <w:rStyle w:val="Hyperlink"/>
          </w:rPr>
          <w:t xml:space="preserve">Te Mana </w:t>
        </w:r>
        <w:r>
          <w:rPr>
            <w:rStyle w:val="Hyperlink"/>
          </w:rPr>
          <w:t>Raraunga</w:t>
        </w:r>
      </w:hyperlink>
    </w:p>
  </w:footnote>
  <w:footnote w:id="24">
    <w:p w14:paraId="449359DA" w14:textId="18A8F24D" w:rsidR="000B152C" w:rsidRDefault="000B152C">
      <w:pPr>
        <w:pStyle w:val="FootnoteText"/>
      </w:pPr>
      <w:r>
        <w:rPr>
          <w:rStyle w:val="FootnoteReference"/>
        </w:rPr>
        <w:footnoteRef/>
      </w:r>
      <w:r>
        <w:t xml:space="preserve"> </w:t>
      </w:r>
      <w:hyperlink r:id="rId21" w:anchor="0-introduction" w:history="1">
        <w:r>
          <w:rPr>
            <w:rStyle w:val="Hyperlink"/>
          </w:rPr>
          <w:t>Information and records management standard – Archives New Zealand</w:t>
        </w:r>
      </w:hyperlink>
      <w:r w:rsidR="0002437A">
        <w:t xml:space="preserve">  (Section 27 of the Public Records Act)</w:t>
      </w:r>
    </w:p>
  </w:footnote>
  <w:footnote w:id="25">
    <w:p w14:paraId="6448E1A5" w14:textId="77777777" w:rsidR="008134E7" w:rsidRDefault="008134E7" w:rsidP="008134E7">
      <w:pPr>
        <w:pStyle w:val="FootnoteText"/>
      </w:pPr>
      <w:r>
        <w:rPr>
          <w:rStyle w:val="FootnoteReference"/>
        </w:rPr>
        <w:footnoteRef/>
      </w:r>
      <w:r>
        <w:t xml:space="preserve"> </w:t>
      </w:r>
      <w:hyperlink r:id="rId22" w:history="1">
        <w:r>
          <w:rPr>
            <w:rStyle w:val="Hyperlink"/>
          </w:rPr>
          <w:t xml:space="preserve">Public Records Act 2005 No 40 (as </w:t>
        </w:r>
        <w:r>
          <w:rPr>
            <w:rStyle w:val="Hyperlink"/>
          </w:rPr>
          <w:t>at 01 September 2022), Public Act 17 Requirement to create and maintain records – New Zealand Legislation</w:t>
        </w:r>
      </w:hyperlink>
    </w:p>
  </w:footnote>
  <w:footnote w:id="26">
    <w:p w14:paraId="132D657E" w14:textId="33CB285A" w:rsidR="008134E7" w:rsidRDefault="008134E7">
      <w:pPr>
        <w:pStyle w:val="FootnoteText"/>
      </w:pPr>
      <w:r>
        <w:rPr>
          <w:rStyle w:val="FootnoteReference"/>
        </w:rPr>
        <w:footnoteRef/>
      </w:r>
      <w:r>
        <w:t xml:space="preserve"> </w:t>
      </w:r>
      <w:hyperlink r:id="rId23" w:anchor="1-principles" w:history="1">
        <w:r>
          <w:rPr>
            <w:rStyle w:val="Hyperlink"/>
          </w:rPr>
          <w:t>Information and records management standard – Archives New Zealand</w:t>
        </w:r>
      </w:hyperlink>
    </w:p>
  </w:footnote>
  <w:footnote w:id="27">
    <w:p w14:paraId="70D7649A" w14:textId="647DA467" w:rsidR="009F2782" w:rsidRDefault="009F2782">
      <w:pPr>
        <w:pStyle w:val="FootnoteText"/>
      </w:pPr>
      <w:r>
        <w:rPr>
          <w:rStyle w:val="FootnoteReference"/>
        </w:rPr>
        <w:footnoteRef/>
      </w:r>
      <w:r>
        <w:t xml:space="preserve"> Refer to the </w:t>
      </w:r>
      <w:r w:rsidR="009009E9">
        <w:t xml:space="preserve">organisation’s </w:t>
      </w:r>
      <w:r>
        <w:t>intranet.</w:t>
      </w:r>
    </w:p>
  </w:footnote>
  <w:footnote w:id="28">
    <w:p w14:paraId="388CE40D" w14:textId="6DBB6F90" w:rsidR="009F2782" w:rsidRDefault="009F2782">
      <w:pPr>
        <w:pStyle w:val="FootnoteText"/>
      </w:pPr>
      <w:r>
        <w:rPr>
          <w:rStyle w:val="FootnoteReference"/>
        </w:rPr>
        <w:footnoteRef/>
      </w:r>
      <w:r>
        <w:t xml:space="preserve"> Via </w:t>
      </w:r>
      <w:r w:rsidR="009009E9">
        <w:t>the Ministry Design Authority (</w:t>
      </w:r>
      <w:r>
        <w:t>MDA</w:t>
      </w:r>
      <w:r w:rsidR="009009E9">
        <w:t>)</w:t>
      </w:r>
    </w:p>
  </w:footnote>
  <w:footnote w:id="29">
    <w:p w14:paraId="226845A4" w14:textId="2CC7720C" w:rsidR="00761F3E" w:rsidRDefault="00761F3E">
      <w:pPr>
        <w:pStyle w:val="FootnoteText"/>
      </w:pPr>
      <w:r>
        <w:rPr>
          <w:rStyle w:val="FootnoteReference"/>
        </w:rPr>
        <w:footnoteRef/>
      </w:r>
      <w:r>
        <w:t xml:space="preserve"> Simpler box/line diagrams should be used for non-technical audiences.</w:t>
      </w:r>
    </w:p>
  </w:footnote>
  <w:footnote w:id="30">
    <w:p w14:paraId="50363349" w14:textId="0045BDC8" w:rsidR="00A0465B" w:rsidRDefault="00A0465B">
      <w:pPr>
        <w:pStyle w:val="FootnoteText"/>
      </w:pPr>
      <w:r>
        <w:rPr>
          <w:rStyle w:val="FootnoteReference"/>
        </w:rPr>
        <w:footnoteRef/>
      </w:r>
      <w:r>
        <w:t xml:space="preserve"> The key difference being that level 1 is </w:t>
      </w:r>
      <w:r w:rsidRPr="00A0465B">
        <w:rPr>
          <w:i/>
          <w:iCs/>
          <w:u w:val="single"/>
        </w:rPr>
        <w:t>self</w:t>
      </w:r>
      <w:r>
        <w:t>-assessed, and 2 indicates having been accessed by a third party.</w:t>
      </w:r>
    </w:p>
  </w:footnote>
  <w:footnote w:id="31">
    <w:p w14:paraId="314EDFBB" w14:textId="77777777" w:rsidR="008954BC" w:rsidRDefault="008954BC" w:rsidP="008954BC">
      <w:pPr>
        <w:pStyle w:val="FootnoteText"/>
      </w:pPr>
    </w:p>
  </w:footnote>
  <w:footnote w:id="32">
    <w:p w14:paraId="368FA60F" w14:textId="41AEC16B" w:rsidR="00030FD7" w:rsidRDefault="00030FD7">
      <w:pPr>
        <w:pStyle w:val="FootnoteText"/>
      </w:pPr>
      <w:r>
        <w:rPr>
          <w:rStyle w:val="FootnoteReference"/>
        </w:rPr>
        <w:footnoteRef/>
      </w:r>
      <w:r>
        <w:t xml:space="preserve"> Preferably generated on the tier closest to the User using an agreed sequential date/time prefix + random suffix algorithm. </w:t>
      </w:r>
    </w:p>
  </w:footnote>
  <w:footnote w:id="33">
    <w:p w14:paraId="4EDC6F59" w14:textId="3711CC1E" w:rsidR="00750602" w:rsidRDefault="00750602">
      <w:pPr>
        <w:pStyle w:val="FootnoteText"/>
      </w:pPr>
      <w:r>
        <w:rPr>
          <w:rStyle w:val="FootnoteReference"/>
        </w:rPr>
        <w:footnoteRef/>
      </w:r>
      <w:r>
        <w:t xml:space="preserve"> Notes require deletion as well if they could contain PI (</w:t>
      </w:r>
      <w:r w:rsidR="00A12FFE">
        <w:t>e.g.</w:t>
      </w:r>
      <w:r>
        <w:t>: IDs of medical records in other systems, etc.).</w:t>
      </w:r>
    </w:p>
  </w:footnote>
  <w:footnote w:id="34">
    <w:p w14:paraId="015074F5" w14:textId="07090F3F" w:rsidR="00D43256" w:rsidRDefault="00D43256">
      <w:pPr>
        <w:pStyle w:val="FootnoteText"/>
      </w:pPr>
      <w:r>
        <w:rPr>
          <w:rStyle w:val="FootnoteReference"/>
        </w:rPr>
        <w:footnoteRef/>
      </w:r>
      <w:r>
        <w:t xml:space="preserve"> This is a configuration at the web server level, generally outside of the application logic.</w:t>
      </w:r>
    </w:p>
  </w:footnote>
  <w:footnote w:id="35">
    <w:p w14:paraId="220F2D77" w14:textId="56F05375" w:rsidR="00761F3E" w:rsidRDefault="00761F3E">
      <w:pPr>
        <w:pStyle w:val="FootnoteText"/>
      </w:pPr>
      <w:r>
        <w:rPr>
          <w:rStyle w:val="FootnoteReference"/>
        </w:rPr>
        <w:footnoteRef/>
      </w:r>
      <w:r>
        <w:t xml:space="preserve"> Only for www resources that may be directly addressed by end users. All other components (</w:t>
      </w:r>
      <w:r>
        <w:t>eg: caching, static, imags, etc.) should be limited to HTTPS only as users should not be addressing them directly.</w:t>
      </w:r>
    </w:p>
  </w:footnote>
  <w:footnote w:id="36">
    <w:p w14:paraId="403AC29F" w14:textId="77777777" w:rsidR="00407C6B" w:rsidRDefault="00407C6B" w:rsidP="00407C6B">
      <w:pPr>
        <w:pStyle w:val="FootnoteText"/>
      </w:pPr>
      <w:r>
        <w:rPr>
          <w:rStyle w:val="FootnoteReference"/>
        </w:rPr>
        <w:footnoteRef/>
      </w:r>
      <w:r>
        <w:t xml:space="preserve"> Consider XORing system storage identifiers that are roundtripped outside the system.</w:t>
      </w:r>
    </w:p>
  </w:footnote>
  <w:footnote w:id="37">
    <w:p w14:paraId="6DD394C1" w14:textId="215183DE" w:rsidR="00943BB5" w:rsidRDefault="00943BB5">
      <w:pPr>
        <w:pStyle w:val="FootnoteText"/>
      </w:pPr>
      <w:r>
        <w:rPr>
          <w:rStyle w:val="FootnoteReference"/>
        </w:rPr>
        <w:footnoteRef/>
      </w:r>
      <w:r>
        <w:t xml:space="preserve"> </w:t>
      </w:r>
      <w:hyperlink r:id="rId24" w:history="1">
        <w:r>
          <w:rPr>
            <w:rStyle w:val="Hyperlink"/>
          </w:rPr>
          <w:t>Web Usability Standard 1.3 | NZ Digital government</w:t>
        </w:r>
      </w:hyperlink>
    </w:p>
  </w:footnote>
  <w:footnote w:id="38">
    <w:p w14:paraId="76AF44AF" w14:textId="657EDB0C" w:rsidR="009009E9" w:rsidRDefault="009009E9">
      <w:pPr>
        <w:pStyle w:val="FootnoteText"/>
      </w:pPr>
      <w:r>
        <w:rPr>
          <w:rStyle w:val="FootnoteReference"/>
        </w:rPr>
        <w:footnoteRef/>
      </w:r>
      <w:r>
        <w:t xml:space="preserve"> </w:t>
      </w:r>
      <w:hyperlink r:id="rId25" w:history="1">
        <w:r>
          <w:rPr>
            <w:rStyle w:val="Hyperlink"/>
          </w:rPr>
          <w:t>Homepage - Creative Commons</w:t>
        </w:r>
      </w:hyperlink>
    </w:p>
  </w:footnote>
  <w:footnote w:id="39">
    <w:p w14:paraId="4D3AC339" w14:textId="64829C4B" w:rsidR="00054265" w:rsidRDefault="00054265">
      <w:pPr>
        <w:pStyle w:val="FootnoteText"/>
      </w:pPr>
      <w:r>
        <w:rPr>
          <w:rStyle w:val="FootnoteReference"/>
        </w:rPr>
        <w:footnoteRef/>
      </w:r>
      <w:r>
        <w:t xml:space="preserve"> Admittedly, more complex than a blanket copyright </w:t>
      </w:r>
      <w:r>
        <w:t xml:space="preserve">law based approval, but it is important for project delivery stakeholders to not confuse Copyright – even Copyleft -- with Consent, and understand </w:t>
      </w:r>
      <w:r w:rsidRPr="00054265">
        <w:rPr>
          <w:i/>
          <w:iCs/>
        </w:rPr>
        <w:t>why</w:t>
      </w:r>
      <w:r>
        <w:t xml:space="preserve"> it is required.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C901E2"/>
    <w:multiLevelType w:val="hybridMultilevel"/>
    <w:tmpl w:val="D1623E3C"/>
    <w:lvl w:ilvl="0" w:tplc="5DA04776">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6" w15:restartNumberingAfterBreak="0">
    <w:nsid w:val="21590B26"/>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7" w15:restartNumberingAfterBreak="0">
    <w:nsid w:val="29695360"/>
    <w:multiLevelType w:val="hybridMultilevel"/>
    <w:tmpl w:val="DFB25C72"/>
    <w:lvl w:ilvl="0" w:tplc="5DA0477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2A0C527A"/>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9" w15:restartNumberingAfterBreak="0">
    <w:nsid w:val="2B8F57DA"/>
    <w:multiLevelType w:val="hybridMultilevel"/>
    <w:tmpl w:val="264C8850"/>
    <w:lvl w:ilvl="0" w:tplc="5DA04776">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30625DA5"/>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11" w15:restartNumberingAfterBreak="0">
    <w:nsid w:val="316F289A"/>
    <w:multiLevelType w:val="multilevel"/>
    <w:tmpl w:val="8572C872"/>
    <w:lvl w:ilvl="0">
      <w:numFmt w:val="bullet"/>
      <w:lvlText w:val=""/>
      <w:lvlJc w:val="left"/>
      <w:pPr>
        <w:ind w:left="567" w:hanging="283"/>
      </w:pPr>
      <w:rPr>
        <w:rFonts w:ascii="Symbol" w:hAnsi="Symbol" w:hint="default"/>
      </w:rPr>
    </w:lvl>
    <w:lvl w:ilvl="1">
      <w:start w:val="1"/>
      <w:numFmt w:val="bullet"/>
      <w:lvlText w:val=""/>
      <w:lvlJc w:val="left"/>
      <w:pPr>
        <w:ind w:left="851" w:hanging="284"/>
      </w:pPr>
      <w:rPr>
        <w:rFonts w:ascii="Symbol" w:hAnsi="Symbol" w:hint="default"/>
        <w:color w:val="auto"/>
      </w:rPr>
    </w:lvl>
    <w:lvl w:ilvl="2">
      <w:start w:val="1"/>
      <w:numFmt w:val="bullet"/>
      <w:lvlText w:val=""/>
      <w:lvlJc w:val="left"/>
      <w:pPr>
        <w:ind w:left="1134" w:hanging="283"/>
      </w:pPr>
      <w:rPr>
        <w:rFonts w:ascii="Symbol" w:hAnsi="Symbol" w:hint="default"/>
      </w:rPr>
    </w:lvl>
    <w:lvl w:ilvl="3">
      <w:start w:val="1"/>
      <w:numFmt w:val="bullet"/>
      <w:lvlText w:val=""/>
      <w:lvlJc w:val="left"/>
      <w:pPr>
        <w:ind w:left="1418" w:hanging="284"/>
      </w:pPr>
      <w:rPr>
        <w:rFonts w:ascii="Symbol" w:hAnsi="Symbol" w:hint="default"/>
      </w:rPr>
    </w:lvl>
    <w:lvl w:ilvl="4">
      <w:start w:val="1"/>
      <w:numFmt w:val="bullet"/>
      <w:lvlText w:val=""/>
      <w:lvlJc w:val="left"/>
      <w:pPr>
        <w:ind w:left="1701" w:hanging="283"/>
      </w:pPr>
      <w:rPr>
        <w:rFonts w:ascii="Symbol" w:hAnsi="Symbol" w:hint="default"/>
        <w:color w:val="auto"/>
      </w:rPr>
    </w:lvl>
    <w:lvl w:ilvl="5">
      <w:start w:val="1"/>
      <w:numFmt w:val="bullet"/>
      <w:lvlText w:val=""/>
      <w:lvlJc w:val="left"/>
      <w:pPr>
        <w:ind w:left="1985" w:hanging="284"/>
      </w:pPr>
      <w:rPr>
        <w:rFonts w:ascii="Symbol" w:hAnsi="Symbol" w:hint="default"/>
        <w:color w:val="auto"/>
      </w:rPr>
    </w:lvl>
    <w:lvl w:ilvl="6">
      <w:start w:val="1"/>
      <w:numFmt w:val="bullet"/>
      <w:lvlText w:val=""/>
      <w:lvlJc w:val="left"/>
      <w:pPr>
        <w:ind w:left="2268" w:hanging="283"/>
      </w:pPr>
      <w:rPr>
        <w:rFonts w:ascii="Symbol" w:hAnsi="Symbol" w:hint="default"/>
        <w:color w:val="auto"/>
      </w:rPr>
    </w:lvl>
    <w:lvl w:ilvl="7">
      <w:start w:val="1"/>
      <w:numFmt w:val="bullet"/>
      <w:lvlText w:val=""/>
      <w:lvlJc w:val="left"/>
      <w:pPr>
        <w:ind w:left="2552" w:hanging="284"/>
      </w:pPr>
      <w:rPr>
        <w:rFonts w:ascii="Symbol" w:hAnsi="Symbol" w:hint="default"/>
        <w:color w:val="auto"/>
      </w:rPr>
    </w:lvl>
    <w:lvl w:ilvl="8">
      <w:start w:val="1"/>
      <w:numFmt w:val="bullet"/>
      <w:lvlText w:val=""/>
      <w:lvlJc w:val="left"/>
      <w:pPr>
        <w:ind w:left="2835" w:hanging="283"/>
      </w:pPr>
      <w:rPr>
        <w:rFonts w:ascii="Symbol" w:hAnsi="Symbol" w:hint="default"/>
        <w:color w:val="auto"/>
      </w:rPr>
    </w:lvl>
  </w:abstractNum>
  <w:abstractNum w:abstractNumId="12" w15:restartNumberingAfterBreak="0">
    <w:nsid w:val="3963599C"/>
    <w:multiLevelType w:val="multilevel"/>
    <w:tmpl w:val="1228023C"/>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7F959B3"/>
    <w:multiLevelType w:val="hybridMultilevel"/>
    <w:tmpl w:val="E39EA8A2"/>
    <w:lvl w:ilvl="0" w:tplc="5DA04776">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5" w15:restartNumberingAfterBreak="0">
    <w:nsid w:val="4C663C68"/>
    <w:multiLevelType w:val="multilevel"/>
    <w:tmpl w:val="5696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60AB2"/>
    <w:multiLevelType w:val="hybridMultilevel"/>
    <w:tmpl w:val="1F80F2B0"/>
    <w:lvl w:ilvl="0" w:tplc="5DA0477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25670CD"/>
    <w:multiLevelType w:val="hybridMultilevel"/>
    <w:tmpl w:val="9E8A9A56"/>
    <w:lvl w:ilvl="0" w:tplc="4EDEF326">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6EEC3443"/>
    <w:multiLevelType w:val="hybridMultilevel"/>
    <w:tmpl w:val="6F964E38"/>
    <w:lvl w:ilvl="0" w:tplc="5DA04776">
      <w:numFmt w:val="bullet"/>
      <w:lvlText w:val=""/>
      <w:lvlJc w:val="left"/>
      <w:pPr>
        <w:ind w:left="360" w:hanging="360"/>
      </w:pPr>
      <w:rPr>
        <w:rFonts w:ascii="Symbol" w:eastAsiaTheme="minorHAnsi" w:hAnsi="Symbol" w:cs="Times New Roman"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9"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14"/>
  </w:num>
  <w:num w:numId="2" w16cid:durableId="249000370">
    <w:abstractNumId w:val="3"/>
  </w:num>
  <w:num w:numId="3" w16cid:durableId="1391419759">
    <w:abstractNumId w:val="1"/>
  </w:num>
  <w:num w:numId="4" w16cid:durableId="154560335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9"/>
  </w:num>
  <w:num w:numId="8" w16cid:durableId="1687560567">
    <w:abstractNumId w:val="5"/>
  </w:num>
  <w:num w:numId="9" w16cid:durableId="1510289661">
    <w:abstractNumId w:val="5"/>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5"/>
  </w:num>
  <w:num w:numId="11" w16cid:durableId="744450714">
    <w:abstractNumId w:val="5"/>
  </w:num>
  <w:num w:numId="12" w16cid:durableId="1423449734">
    <w:abstractNumId w:val="5"/>
  </w:num>
  <w:num w:numId="13" w16cid:durableId="1589845151">
    <w:abstractNumId w:val="5"/>
  </w:num>
  <w:num w:numId="14" w16cid:durableId="1133642848">
    <w:abstractNumId w:val="5"/>
  </w:num>
  <w:num w:numId="15" w16cid:durableId="1826772538">
    <w:abstractNumId w:val="5"/>
  </w:num>
  <w:num w:numId="16" w16cid:durableId="2051803497">
    <w:abstractNumId w:val="5"/>
  </w:num>
  <w:num w:numId="17" w16cid:durableId="257180540">
    <w:abstractNumId w:val="5"/>
  </w:num>
  <w:num w:numId="18" w16cid:durableId="1276055249">
    <w:abstractNumId w:val="5"/>
  </w:num>
  <w:num w:numId="19" w16cid:durableId="2078166840">
    <w:abstractNumId w:val="5"/>
  </w:num>
  <w:num w:numId="20" w16cid:durableId="566182645">
    <w:abstractNumId w:val="5"/>
  </w:num>
  <w:num w:numId="21" w16cid:durableId="1183278483">
    <w:abstractNumId w:val="5"/>
  </w:num>
  <w:num w:numId="22" w16cid:durableId="382363146">
    <w:abstractNumId w:val="5"/>
  </w:num>
  <w:num w:numId="23" w16cid:durableId="804349903">
    <w:abstractNumId w:val="5"/>
  </w:num>
  <w:num w:numId="24" w16cid:durableId="2142073494">
    <w:abstractNumId w:val="5"/>
  </w:num>
  <w:num w:numId="25" w16cid:durableId="1616135296">
    <w:abstractNumId w:val="5"/>
  </w:num>
  <w:num w:numId="26" w16cid:durableId="1274097434">
    <w:abstractNumId w:val="5"/>
  </w:num>
  <w:num w:numId="27" w16cid:durableId="1591698597">
    <w:abstractNumId w:val="5"/>
  </w:num>
  <w:num w:numId="28" w16cid:durableId="1256356598">
    <w:abstractNumId w:val="5"/>
  </w:num>
  <w:num w:numId="29" w16cid:durableId="973372100">
    <w:abstractNumId w:val="5"/>
  </w:num>
  <w:num w:numId="30" w16cid:durableId="1691754506">
    <w:abstractNumId w:val="5"/>
  </w:num>
  <w:num w:numId="31" w16cid:durableId="1927492136">
    <w:abstractNumId w:val="5"/>
  </w:num>
  <w:num w:numId="32" w16cid:durableId="1869294999">
    <w:abstractNumId w:val="5"/>
  </w:num>
  <w:num w:numId="33" w16cid:durableId="1580628228">
    <w:abstractNumId w:val="5"/>
  </w:num>
  <w:num w:numId="34" w16cid:durableId="122189379">
    <w:abstractNumId w:val="17"/>
  </w:num>
  <w:num w:numId="35" w16cid:durableId="934173950">
    <w:abstractNumId w:val="6"/>
  </w:num>
  <w:num w:numId="36" w16cid:durableId="190992291">
    <w:abstractNumId w:val="12"/>
  </w:num>
  <w:num w:numId="37" w16cid:durableId="1927766560">
    <w:abstractNumId w:val="7"/>
  </w:num>
  <w:num w:numId="38" w16cid:durableId="1973516750">
    <w:abstractNumId w:val="9"/>
  </w:num>
  <w:num w:numId="39" w16cid:durableId="1322391966">
    <w:abstractNumId w:val="15"/>
  </w:num>
  <w:num w:numId="40" w16cid:durableId="2056196178">
    <w:abstractNumId w:val="16"/>
  </w:num>
  <w:num w:numId="41" w16cid:durableId="1022127797">
    <w:abstractNumId w:val="18"/>
  </w:num>
  <w:num w:numId="42" w16cid:durableId="1639265972">
    <w:abstractNumId w:val="13"/>
  </w:num>
  <w:num w:numId="43" w16cid:durableId="2094429251">
    <w:abstractNumId w:val="4"/>
  </w:num>
  <w:num w:numId="44" w16cid:durableId="417333745">
    <w:abstractNumId w:val="10"/>
  </w:num>
  <w:num w:numId="45" w16cid:durableId="672689397">
    <w:abstractNumId w:val="11"/>
  </w:num>
  <w:num w:numId="46" w16cid:durableId="4564137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11775"/>
    <w:rsid w:val="000172B9"/>
    <w:rsid w:val="0002437A"/>
    <w:rsid w:val="00026DC8"/>
    <w:rsid w:val="00030FD7"/>
    <w:rsid w:val="00036876"/>
    <w:rsid w:val="00054265"/>
    <w:rsid w:val="00054E18"/>
    <w:rsid w:val="000708F4"/>
    <w:rsid w:val="00087BBD"/>
    <w:rsid w:val="00092DFD"/>
    <w:rsid w:val="00095D25"/>
    <w:rsid w:val="000B104B"/>
    <w:rsid w:val="000B152C"/>
    <w:rsid w:val="000C17AA"/>
    <w:rsid w:val="000C59D1"/>
    <w:rsid w:val="000D0A25"/>
    <w:rsid w:val="000E4177"/>
    <w:rsid w:val="000F00CE"/>
    <w:rsid w:val="000F10AE"/>
    <w:rsid w:val="0011016B"/>
    <w:rsid w:val="00114111"/>
    <w:rsid w:val="0011618B"/>
    <w:rsid w:val="00117A5F"/>
    <w:rsid w:val="00120B89"/>
    <w:rsid w:val="00126099"/>
    <w:rsid w:val="0012615C"/>
    <w:rsid w:val="00184008"/>
    <w:rsid w:val="001927A5"/>
    <w:rsid w:val="001A233C"/>
    <w:rsid w:val="001B51F2"/>
    <w:rsid w:val="001E2299"/>
    <w:rsid w:val="001F35A9"/>
    <w:rsid w:val="001F5EF1"/>
    <w:rsid w:val="002031CE"/>
    <w:rsid w:val="0021141C"/>
    <w:rsid w:val="00211F3C"/>
    <w:rsid w:val="00213DAA"/>
    <w:rsid w:val="0021547D"/>
    <w:rsid w:val="00223763"/>
    <w:rsid w:val="00233BDC"/>
    <w:rsid w:val="00242D7F"/>
    <w:rsid w:val="0029311E"/>
    <w:rsid w:val="002A26D7"/>
    <w:rsid w:val="002A52D1"/>
    <w:rsid w:val="002B7AFC"/>
    <w:rsid w:val="002C004F"/>
    <w:rsid w:val="002D18E9"/>
    <w:rsid w:val="002D1D53"/>
    <w:rsid w:val="002D7149"/>
    <w:rsid w:val="002E5B94"/>
    <w:rsid w:val="00331BC9"/>
    <w:rsid w:val="00356787"/>
    <w:rsid w:val="003900D6"/>
    <w:rsid w:val="003A4FD7"/>
    <w:rsid w:val="003B5D52"/>
    <w:rsid w:val="003C3370"/>
    <w:rsid w:val="003C3E5C"/>
    <w:rsid w:val="003F5014"/>
    <w:rsid w:val="00400A3B"/>
    <w:rsid w:val="004028EC"/>
    <w:rsid w:val="00406FE9"/>
    <w:rsid w:val="00407C6B"/>
    <w:rsid w:val="00415F06"/>
    <w:rsid w:val="00420DBF"/>
    <w:rsid w:val="00423249"/>
    <w:rsid w:val="00441793"/>
    <w:rsid w:val="00443FA0"/>
    <w:rsid w:val="00450AD9"/>
    <w:rsid w:val="0045306F"/>
    <w:rsid w:val="00457123"/>
    <w:rsid w:val="00463A83"/>
    <w:rsid w:val="004651E7"/>
    <w:rsid w:val="004745DE"/>
    <w:rsid w:val="00486B4D"/>
    <w:rsid w:val="004A26FC"/>
    <w:rsid w:val="004A2BCA"/>
    <w:rsid w:val="0050196C"/>
    <w:rsid w:val="005255FC"/>
    <w:rsid w:val="00546EF1"/>
    <w:rsid w:val="005571FD"/>
    <w:rsid w:val="005604D5"/>
    <w:rsid w:val="00563AF9"/>
    <w:rsid w:val="005740FC"/>
    <w:rsid w:val="00594C1D"/>
    <w:rsid w:val="005A54A0"/>
    <w:rsid w:val="005C7C13"/>
    <w:rsid w:val="005F0A38"/>
    <w:rsid w:val="005F0DC4"/>
    <w:rsid w:val="005F792B"/>
    <w:rsid w:val="00612935"/>
    <w:rsid w:val="006143DD"/>
    <w:rsid w:val="00633354"/>
    <w:rsid w:val="00637D43"/>
    <w:rsid w:val="00650EDA"/>
    <w:rsid w:val="006543B5"/>
    <w:rsid w:val="00660C49"/>
    <w:rsid w:val="006646CD"/>
    <w:rsid w:val="006654C3"/>
    <w:rsid w:val="00675068"/>
    <w:rsid w:val="0067665B"/>
    <w:rsid w:val="0069602E"/>
    <w:rsid w:val="006A2843"/>
    <w:rsid w:val="006D5808"/>
    <w:rsid w:val="006D5B4C"/>
    <w:rsid w:val="006E0BDE"/>
    <w:rsid w:val="00702ADE"/>
    <w:rsid w:val="0071118C"/>
    <w:rsid w:val="007414F0"/>
    <w:rsid w:val="00750602"/>
    <w:rsid w:val="00753774"/>
    <w:rsid w:val="00761F3E"/>
    <w:rsid w:val="00777D1C"/>
    <w:rsid w:val="00784B4F"/>
    <w:rsid w:val="00784C1E"/>
    <w:rsid w:val="00794B53"/>
    <w:rsid w:val="007A7054"/>
    <w:rsid w:val="007D7BF7"/>
    <w:rsid w:val="007E0184"/>
    <w:rsid w:val="007E7720"/>
    <w:rsid w:val="008059D9"/>
    <w:rsid w:val="00813161"/>
    <w:rsid w:val="008134E7"/>
    <w:rsid w:val="00821494"/>
    <w:rsid w:val="00840295"/>
    <w:rsid w:val="00855420"/>
    <w:rsid w:val="00872BBE"/>
    <w:rsid w:val="00873F86"/>
    <w:rsid w:val="00882316"/>
    <w:rsid w:val="00887DCB"/>
    <w:rsid w:val="008948E7"/>
    <w:rsid w:val="008954BC"/>
    <w:rsid w:val="008C39DC"/>
    <w:rsid w:val="008C7EE4"/>
    <w:rsid w:val="008E13CD"/>
    <w:rsid w:val="008F3D45"/>
    <w:rsid w:val="009009E9"/>
    <w:rsid w:val="009116EA"/>
    <w:rsid w:val="00914742"/>
    <w:rsid w:val="00917ABA"/>
    <w:rsid w:val="00921365"/>
    <w:rsid w:val="00921A51"/>
    <w:rsid w:val="00943BB5"/>
    <w:rsid w:val="009824E0"/>
    <w:rsid w:val="009966BF"/>
    <w:rsid w:val="009B7FDD"/>
    <w:rsid w:val="009D62A4"/>
    <w:rsid w:val="009E05F6"/>
    <w:rsid w:val="009E0DA1"/>
    <w:rsid w:val="009F2782"/>
    <w:rsid w:val="009F6A31"/>
    <w:rsid w:val="00A0465B"/>
    <w:rsid w:val="00A053C8"/>
    <w:rsid w:val="00A1189D"/>
    <w:rsid w:val="00A12FFE"/>
    <w:rsid w:val="00A15219"/>
    <w:rsid w:val="00A2026B"/>
    <w:rsid w:val="00A2102D"/>
    <w:rsid w:val="00A24ACD"/>
    <w:rsid w:val="00A452E3"/>
    <w:rsid w:val="00A50624"/>
    <w:rsid w:val="00A518F7"/>
    <w:rsid w:val="00A666E1"/>
    <w:rsid w:val="00A85DA6"/>
    <w:rsid w:val="00A940C5"/>
    <w:rsid w:val="00A9559B"/>
    <w:rsid w:val="00A978EF"/>
    <w:rsid w:val="00AA3618"/>
    <w:rsid w:val="00AB55CB"/>
    <w:rsid w:val="00AC1216"/>
    <w:rsid w:val="00AD0A7D"/>
    <w:rsid w:val="00AD66BD"/>
    <w:rsid w:val="00AE2E49"/>
    <w:rsid w:val="00AE6B61"/>
    <w:rsid w:val="00B0136A"/>
    <w:rsid w:val="00B02745"/>
    <w:rsid w:val="00B250AB"/>
    <w:rsid w:val="00B367A2"/>
    <w:rsid w:val="00B46438"/>
    <w:rsid w:val="00B53946"/>
    <w:rsid w:val="00B6302C"/>
    <w:rsid w:val="00B67310"/>
    <w:rsid w:val="00B815E4"/>
    <w:rsid w:val="00B847C1"/>
    <w:rsid w:val="00B9271A"/>
    <w:rsid w:val="00B97FE0"/>
    <w:rsid w:val="00BA65BB"/>
    <w:rsid w:val="00BB0D70"/>
    <w:rsid w:val="00BB4E57"/>
    <w:rsid w:val="00BC480D"/>
    <w:rsid w:val="00BD3E51"/>
    <w:rsid w:val="00BE4015"/>
    <w:rsid w:val="00C074FC"/>
    <w:rsid w:val="00C13001"/>
    <w:rsid w:val="00C242AF"/>
    <w:rsid w:val="00C343D3"/>
    <w:rsid w:val="00C43885"/>
    <w:rsid w:val="00C512D1"/>
    <w:rsid w:val="00C559C1"/>
    <w:rsid w:val="00C60968"/>
    <w:rsid w:val="00C72A06"/>
    <w:rsid w:val="00C83CAA"/>
    <w:rsid w:val="00CA0CF5"/>
    <w:rsid w:val="00CA1319"/>
    <w:rsid w:val="00CA1795"/>
    <w:rsid w:val="00D170B9"/>
    <w:rsid w:val="00D227BE"/>
    <w:rsid w:val="00D23EA6"/>
    <w:rsid w:val="00D36861"/>
    <w:rsid w:val="00D37061"/>
    <w:rsid w:val="00D43256"/>
    <w:rsid w:val="00D44A12"/>
    <w:rsid w:val="00D7253D"/>
    <w:rsid w:val="00D812C7"/>
    <w:rsid w:val="00D8584C"/>
    <w:rsid w:val="00DA59D0"/>
    <w:rsid w:val="00DC254E"/>
    <w:rsid w:val="00DD01A9"/>
    <w:rsid w:val="00DD4CA2"/>
    <w:rsid w:val="00DE19E5"/>
    <w:rsid w:val="00E059ED"/>
    <w:rsid w:val="00E07FDB"/>
    <w:rsid w:val="00E14448"/>
    <w:rsid w:val="00E33E50"/>
    <w:rsid w:val="00E46989"/>
    <w:rsid w:val="00E5045D"/>
    <w:rsid w:val="00E828ED"/>
    <w:rsid w:val="00E8314C"/>
    <w:rsid w:val="00E91539"/>
    <w:rsid w:val="00E93B3A"/>
    <w:rsid w:val="00EB4A97"/>
    <w:rsid w:val="00ED2AAB"/>
    <w:rsid w:val="00ED6520"/>
    <w:rsid w:val="00EE1A08"/>
    <w:rsid w:val="00EF3880"/>
    <w:rsid w:val="00F01242"/>
    <w:rsid w:val="00F01D3F"/>
    <w:rsid w:val="00F024B5"/>
    <w:rsid w:val="00F02521"/>
    <w:rsid w:val="00F0292A"/>
    <w:rsid w:val="00F30649"/>
    <w:rsid w:val="00F41AE1"/>
    <w:rsid w:val="00F60D20"/>
    <w:rsid w:val="00F67433"/>
    <w:rsid w:val="00F710A1"/>
    <w:rsid w:val="00F71BB9"/>
    <w:rsid w:val="00F7266E"/>
    <w:rsid w:val="00F726DE"/>
    <w:rsid w:val="00F76F66"/>
    <w:rsid w:val="00F83AA9"/>
    <w:rsid w:val="00F929E7"/>
    <w:rsid w:val="00FA49FE"/>
    <w:rsid w:val="00FC21DF"/>
    <w:rsid w:val="00FC621C"/>
    <w:rsid w:val="00FD7CB5"/>
    <w:rsid w:val="00FF1DE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semiHidden/>
    <w:rsid w:val="003C3E5C"/>
    <w:pPr>
      <w:spacing w:before="0" w:after="0" w:line="240" w:lineRule="auto"/>
    </w:pPr>
    <w:rPr>
      <w:sz w:val="16"/>
      <w:szCs w:val="20"/>
    </w:rPr>
  </w:style>
  <w:style w:type="character" w:customStyle="1" w:styleId="FootnoteTextChar">
    <w:name w:val="Footnote Text Char"/>
    <w:basedOn w:val="DefaultParagraphFont"/>
    <w:link w:val="FootnoteText"/>
    <w:semiHidden/>
    <w:rsid w:val="003C3E5C"/>
    <w:rPr>
      <w:rFonts w:ascii="Arial" w:hAnsi="Arial"/>
      <w:sz w:val="16"/>
      <w:szCs w:val="20"/>
    </w:rPr>
  </w:style>
  <w:style w:type="character" w:styleId="FootnoteReference">
    <w:name w:val="footnote reference"/>
    <w:basedOn w:val="DefaultParagraphFont"/>
    <w:semiHidden/>
    <w:rsid w:val="003C3E5C"/>
    <w:rPr>
      <w:rFonts w:ascii="Arial" w:hAnsi="Arial"/>
      <w:sz w:val="20"/>
      <w:vertAlign w:val="superscript"/>
    </w:rPr>
  </w:style>
  <w:style w:type="paragraph" w:customStyle="1" w:styleId="MoETerm">
    <w:name w:val="MoE: Term"/>
    <w:basedOn w:val="Normal"/>
    <w:qFormat/>
    <w:rsid w:val="003C3E5C"/>
    <w:pPr>
      <w:spacing w:before="60" w:after="0" w:line="240" w:lineRule="atLeast"/>
      <w:outlineLvl w:val="4"/>
    </w:pPr>
    <w:rPr>
      <w:rFonts w:eastAsiaTheme="majorEastAsia" w:cstheme="majorBidi"/>
      <w:i/>
      <w:color w:val="582655"/>
      <w:sz w:val="20"/>
      <w:szCs w:val="20"/>
      <w:lang w:val="en-US"/>
    </w:rPr>
  </w:style>
  <w:style w:type="table" w:customStyle="1" w:styleId="Invisible">
    <w:name w:val="Invisible"/>
    <w:basedOn w:val="TableNormal"/>
    <w:uiPriority w:val="99"/>
    <w:rsid w:val="003C3E5C"/>
    <w:pPr>
      <w:spacing w:before="0" w:after="0" w:line="240" w:lineRule="auto"/>
    </w:pPr>
    <w:rPr>
      <w:rFonts w:ascii="Times New Roman" w:hAnsi="Times New Roman"/>
      <w:sz w:val="20"/>
      <w:szCs w:val="20"/>
    </w:rPr>
    <w:tblPr>
      <w:tblBorders>
        <w:left w:val="dashed" w:sz="4" w:space="0" w:color="auto"/>
      </w:tblBorders>
    </w:tblPr>
  </w:style>
  <w:style w:type="paragraph" w:styleId="NormalWeb">
    <w:name w:val="Normal (Web)"/>
    <w:basedOn w:val="Normal"/>
    <w:uiPriority w:val="99"/>
    <w:unhideWhenUsed/>
    <w:rsid w:val="00E46989"/>
    <w:pPr>
      <w:spacing w:before="100" w:beforeAutospacing="1" w:after="100" w:afterAutospacing="1" w:line="240" w:lineRule="auto"/>
    </w:pPr>
    <w:rPr>
      <w:rFonts w:ascii="Times New Roman" w:eastAsia="Times New Roman" w:hAnsi="Times New Roman"/>
      <w:lang w:eastAsia="en-NZ"/>
    </w:rPr>
  </w:style>
  <w:style w:type="paragraph" w:styleId="ListParagraph">
    <w:name w:val="List Paragraph"/>
    <w:basedOn w:val="Normal"/>
    <w:uiPriority w:val="34"/>
    <w:rsid w:val="004745DE"/>
    <w:pPr>
      <w:ind w:left="720"/>
      <w:contextualSpacing/>
    </w:pPr>
  </w:style>
  <w:style w:type="character" w:styleId="UnresolvedMention">
    <w:name w:val="Unresolved Mention"/>
    <w:basedOn w:val="DefaultParagraphFont"/>
    <w:uiPriority w:val="99"/>
    <w:semiHidden/>
    <w:rsid w:val="009009E9"/>
    <w:rPr>
      <w:color w:val="605E5C"/>
      <w:shd w:val="clear" w:color="auto" w:fill="E1DFDD"/>
    </w:rPr>
  </w:style>
  <w:style w:type="character" w:customStyle="1" w:styleId="js-underline">
    <w:name w:val="js-underline"/>
    <w:basedOn w:val="DefaultParagraphFont"/>
    <w:rsid w:val="009009E9"/>
  </w:style>
  <w:style w:type="character" w:customStyle="1" w:styleId="sr-only">
    <w:name w:val="sr-only"/>
    <w:basedOn w:val="DefaultParagraphFont"/>
    <w:rsid w:val="00900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7040">
      <w:bodyDiv w:val="1"/>
      <w:marLeft w:val="0"/>
      <w:marRight w:val="0"/>
      <w:marTop w:val="0"/>
      <w:marBottom w:val="0"/>
      <w:divBdr>
        <w:top w:val="none" w:sz="0" w:space="0" w:color="auto"/>
        <w:left w:val="none" w:sz="0" w:space="0" w:color="auto"/>
        <w:bottom w:val="none" w:sz="0" w:space="0" w:color="auto"/>
        <w:right w:val="none" w:sz="0" w:space="0" w:color="auto"/>
      </w:divBdr>
    </w:div>
    <w:div w:id="435292314">
      <w:bodyDiv w:val="1"/>
      <w:marLeft w:val="0"/>
      <w:marRight w:val="0"/>
      <w:marTop w:val="0"/>
      <w:marBottom w:val="0"/>
      <w:divBdr>
        <w:top w:val="none" w:sz="0" w:space="0" w:color="auto"/>
        <w:left w:val="none" w:sz="0" w:space="0" w:color="auto"/>
        <w:bottom w:val="none" w:sz="0" w:space="0" w:color="auto"/>
        <w:right w:val="none" w:sz="0" w:space="0" w:color="auto"/>
      </w:divBdr>
    </w:div>
    <w:div w:id="1360594255">
      <w:bodyDiv w:val="1"/>
      <w:marLeft w:val="0"/>
      <w:marRight w:val="0"/>
      <w:marTop w:val="0"/>
      <w:marBottom w:val="0"/>
      <w:divBdr>
        <w:top w:val="none" w:sz="0" w:space="0" w:color="auto"/>
        <w:left w:val="none" w:sz="0" w:space="0" w:color="auto"/>
        <w:bottom w:val="none" w:sz="0" w:space="0" w:color="auto"/>
        <w:right w:val="none" w:sz="0" w:space="0" w:color="auto"/>
      </w:divBdr>
    </w:div>
    <w:div w:id="20908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nzrelay.co.nz/"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legislation.govt.nz/act/public/1982/0156/latest/DLM64785.html" TargetMode="External"/><Relationship Id="rId13" Type="http://schemas.openxmlformats.org/officeDocument/2006/relationships/hyperlink" Target="data:page/id,PDShuZ-yXdiyHlfbQ3Md" TargetMode="External"/><Relationship Id="rId18" Type="http://schemas.openxmlformats.org/officeDocument/2006/relationships/hyperlink" Target="https://tbtcode.iso.org/home.html" TargetMode="External"/><Relationship Id="rId3" Type="http://schemas.openxmlformats.org/officeDocument/2006/relationships/hyperlink" Target="https://www.homeaffairs.gov.au/about-us/our-portfolios/national-security/lawful-access-telecommunications/australia-united-states-cloud-act-agreement" TargetMode="External"/><Relationship Id="rId21" Type="http://schemas.openxmlformats.org/officeDocument/2006/relationships/hyperlink" Target="https://www.archives.govt.nz/manage-information/how-to-manage-your-information/key-obligations-and-the-standard/information-and-records-management-standard" TargetMode="External"/><Relationship Id="rId7" Type="http://schemas.openxmlformats.org/officeDocument/2006/relationships/hyperlink" Target="https://www.legislation.govt.nz/act/public/2005/0040/latest/DLM345529.html" TargetMode="External"/><Relationship Id="rId12" Type="http://schemas.openxmlformats.org/officeDocument/2006/relationships/hyperlink" Target="data:page/id,PDShuZ-yXdiyHlfbQ3Md" TargetMode="External"/><Relationship Id="rId17" Type="http://schemas.openxmlformats.org/officeDocument/2006/relationships/hyperlink" Target="https://www.odi.govt.nz/united-nations-convention-on-the-rights-of-persons-with-disabilities/" TargetMode="External"/><Relationship Id="rId25" Type="http://schemas.openxmlformats.org/officeDocument/2006/relationships/hyperlink" Target="https://creativecommons.org/" TargetMode="External"/><Relationship Id="rId2" Type="http://schemas.openxmlformats.org/officeDocument/2006/relationships/hyperlink" Target="https://www.justice.gov/criminal/criminal-oia/cloud-act-agreement-between-governments-us-and-australia" TargetMode="External"/><Relationship Id="rId16" Type="http://schemas.openxmlformats.org/officeDocument/2006/relationships/hyperlink" Target="https://www.digital.govt.nz/standards-and-guidance/nz-government-web-standards/" TargetMode="External"/><Relationship Id="rId20" Type="http://schemas.openxmlformats.org/officeDocument/2006/relationships/hyperlink" Target="https://www.temanararaunga.maori.nz/" TargetMode="External"/><Relationship Id="rId1" Type="http://schemas.openxmlformats.org/officeDocument/2006/relationships/hyperlink" Target="https://en.wikipedia.org/wiki/CLOUD_Act" TargetMode="External"/><Relationship Id="rId6" Type="http://schemas.openxmlformats.org/officeDocument/2006/relationships/hyperlink" Target="https://www.privacy.org.nz/privacy-act-2020/privacy-principles/" TargetMode="External"/><Relationship Id="rId11" Type="http://schemas.openxmlformats.org/officeDocument/2006/relationships/hyperlink" Target="https://www.digital.govt.nz/standards-and-guidance/nz-government-web-standards/new-zealand-government-web-guidelines-cabinet-paper-and-minute/" TargetMode="External"/><Relationship Id="rId24" Type="http://schemas.openxmlformats.org/officeDocument/2006/relationships/hyperlink" Target="https://www.digital.govt.nz/standards-and-guidance/nz-government-web-standards/web-usability-standard-1-3/" TargetMode="External"/><Relationship Id="rId5" Type="http://schemas.openxmlformats.org/officeDocument/2006/relationships/hyperlink" Target="https://en.wikipedia.org/wiki/General_Data_Protection_Regulation" TargetMode="External"/><Relationship Id="rId15" Type="http://schemas.openxmlformats.org/officeDocument/2006/relationships/hyperlink" Target="https://www.digital.govt.nz/standards-and-guidance/digital-service-design-standard/" TargetMode="External"/><Relationship Id="rId23" Type="http://schemas.openxmlformats.org/officeDocument/2006/relationships/hyperlink" Target="https://www.archives.govt.nz/manage-information/how-to-manage-your-information/key-obligations-and-the-standard/information-and-records-management-standard" TargetMode="External"/><Relationship Id="rId10" Type="http://schemas.openxmlformats.org/officeDocument/2006/relationships/hyperlink" Target="https://gdpr-info.eu/issues/right-to-be-forgotten/" TargetMode="External"/><Relationship Id="rId19" Type="http://schemas.openxmlformats.org/officeDocument/2006/relationships/hyperlink" Target="https://www.beehive.govt.nz/release/national-govt-support-un-rights-declaration" TargetMode="External"/><Relationship Id="rId4" Type="http://schemas.openxmlformats.org/officeDocument/2006/relationships/hyperlink" Target="https://www.dpmc.govt.nz/our-business-units/cabinet-office/supporting-work-cabinet/cabinet-manual/8-official-information-3" TargetMode="External"/><Relationship Id="rId9" Type="http://schemas.openxmlformats.org/officeDocument/2006/relationships/hyperlink" Target="https://www.legislation.govt.nz/act/public/2020/0038/latest/LMS170676.html" TargetMode="External"/><Relationship Id="rId14" Type="http://schemas.openxmlformats.org/officeDocument/2006/relationships/hyperlink" Target="data:page/id,PDShuZ-yXdiyHlfbQ3Md" TargetMode="External"/><Relationship Id="rId22" Type="http://schemas.openxmlformats.org/officeDocument/2006/relationships/hyperlink" Target="https://www.legislation.govt.nz/act/public/2005/0040/latest/DLM345729.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4.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3577</TotalTime>
  <Pages>25</Pages>
  <Words>5692</Words>
  <Characters>32449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39</cp:revision>
  <cp:lastPrinted>2022-08-02T15:33:00Z</cp:lastPrinted>
  <dcterms:created xsi:type="dcterms:W3CDTF">2023-09-07T03:51:00Z</dcterms:created>
  <dcterms:modified xsi:type="dcterms:W3CDTF">2023-11-12T00:06:00Z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