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FC06" w14:textId="3F698E5C" w:rsidR="008C39DC" w:rsidRDefault="008C39DC" w:rsidP="008C39DC">
      <w:pPr>
        <w:pStyle w:val="Title"/>
      </w:pPr>
      <w:r>
        <w:t>IT Project</w:t>
      </w:r>
      <w:r w:rsidR="001D23E3">
        <w:t xml:space="preserve"> Guidance</w:t>
      </w:r>
    </w:p>
    <w:p w14:paraId="01966725" w14:textId="76438382" w:rsidR="0035542B" w:rsidRDefault="00664D7C">
      <w:pPr>
        <w:pStyle w:val="Subtitle"/>
        <w:rPr>
          <w:kern w:val="2"/>
          <w:lang w:eastAsia="en-NZ"/>
          <w14:ligatures w14:val="standardContextual"/>
        </w:rPr>
      </w:pPr>
      <w:r>
        <w:t xml:space="preserve">On </w:t>
      </w:r>
      <w:proofErr w:type="spellStart"/>
      <w:r>
        <w:t>Microservices</w:t>
      </w:r>
      <w:r w:rsidR="00DE3CCB">
        <w:t>D</w:t>
      </w:r>
      <w:proofErr w:type="spellEnd"/>
    </w:p>
    <w:p w14:paraId="7098957A" w14:textId="77777777" w:rsidR="0035542B" w:rsidRDefault="0035542B">
      <w:pPr>
        <w:pStyle w:val="NotContents-Heading3"/>
        <w:rPr>
          <w:kern w:val="2"/>
          <w:lang w:eastAsia="en-NZ"/>
          <w14:ligatures w14:val="standardContextual"/>
        </w:rPr>
      </w:pPr>
      <w:r>
        <w:t>Version</w:t>
      </w:r>
    </w:p>
    <w:p w14:paraId="48D6535E" w14:textId="7A9F9A4B" w:rsidR="0035542B" w:rsidRDefault="0035542B">
      <w:pPr>
        <w:rPr>
          <w:kern w:val="2"/>
          <w:lang w:eastAsia="en-NZ"/>
          <w14:ligatures w14:val="standardContextual"/>
        </w:rPr>
      </w:pPr>
      <w:r>
        <w:t>0.</w:t>
      </w:r>
      <w:r w:rsidR="00654A45">
        <w:t>6</w:t>
      </w:r>
    </w:p>
    <w:p w14:paraId="7DBB7EDA" w14:textId="7CDCAB5C" w:rsidR="001D23E3" w:rsidRDefault="001D23E3" w:rsidP="001D23E3">
      <w:pPr>
        <w:pStyle w:val="Heading1"/>
      </w:pPr>
      <w:bookmarkStart w:id="0" w:name="_Toc232343196"/>
      <w:r>
        <w:t>Purpose and Audience</w:t>
      </w:r>
      <w:bookmarkEnd w:id="0"/>
    </w:p>
    <w:p w14:paraId="1CFE6796" w14:textId="77777777" w:rsidR="001D23E3" w:rsidRPr="001D23E3" w:rsidRDefault="001D23E3" w:rsidP="001D23E3">
      <w:r w:rsidRPr="001D23E3">
        <w:t>This paper provides guidance for deciding when microservices are appropriate, when they are likely to create unnecessary cost and risk, and what alternatives should be considered before a system is split into independently deployed services.</w:t>
      </w:r>
    </w:p>
    <w:p w14:paraId="66D898AB" w14:textId="77777777" w:rsidR="001D23E3" w:rsidRPr="00EC1D47" w:rsidRDefault="001D23E3" w:rsidP="001D23E3">
      <w:r w:rsidRPr="001D23E3">
        <w:t>The audience is decision makers, project sponsors, architects, delivery leads, business analysts, procurement staff, and technical leaders involved in approving, funding, designing, or governing software systems. The paper is not intended to prohibit microservices. It is intended to prevent microservices being treated as the default answer to poor modularity, weak delivery discipline, unclear ownership, or avoidable team coordination problems.</w:t>
      </w:r>
      <w:r w:rsidRPr="00EC1D47">
        <w:t xml:space="preserve"> </w:t>
      </w:r>
    </w:p>
    <w:p w14:paraId="1E65B449" w14:textId="77777777" w:rsidR="001D23E3" w:rsidRDefault="001D23E3" w:rsidP="001D23E3">
      <w:pPr>
        <w:pStyle w:val="Heading1"/>
      </w:pPr>
      <w:bookmarkStart w:id="1" w:name="Location_DocumentIndex"/>
      <w:bookmarkStart w:id="2" w:name="_Toc232343197"/>
      <w:bookmarkEnd w:id="1"/>
      <w:r>
        <w:t>Synopsis</w:t>
      </w:r>
      <w:bookmarkEnd w:id="2"/>
    </w:p>
    <w:p w14:paraId="3EC21808" w14:textId="77777777" w:rsidR="001D23E3" w:rsidRPr="001D23E3" w:rsidRDefault="001D23E3" w:rsidP="001D23E3">
      <w:r w:rsidRPr="001D23E3">
        <w:t>Microservices are often presented as a modern architectural default. In practice, they are a specialised pattern for systems that need independent deployment, independent scaling, strong service ownership, mature operational automation, and careful handling of distributed failure. They are not a general remedy for poor code structure, weak analysis, or teams that are struggling to coordinate within a single codebase.</w:t>
      </w:r>
    </w:p>
    <w:p w14:paraId="3720B7A2" w14:textId="77777777" w:rsidR="001D23E3" w:rsidRPr="001D23E3" w:rsidRDefault="001D23E3" w:rsidP="001D23E3">
      <w:r w:rsidRPr="001D23E3">
        <w:t>Many of the benefits attributed to microservices can be achieved first, and often more safely, through a modular monolith: a single deployable system internally divided into clear modules, with disciplined boundaries, automated testing, observable behaviour, and a reliable deployment pipeline. This approach preserves modularity while avoiding the operational cost of networked coordination, duplicated platform services, distributed transactions, versioned service contracts, and multi-service incident response.</w:t>
      </w:r>
    </w:p>
    <w:p w14:paraId="7D319BB0" w14:textId="77777777" w:rsidR="001D23E3" w:rsidRPr="001D23E3" w:rsidRDefault="001D23E3" w:rsidP="001D23E3">
      <w:r w:rsidRPr="001D23E3">
        <w:t>The central recommendation of this paper is that organisations should design for modularity before designing for microservices. A system should only be decomposed into independently deployable services when there is a demonstrated operational, organisational, or scaling need that cannot be met through modular design within one deployable unit.</w:t>
      </w:r>
    </w:p>
    <w:p w14:paraId="732EA6F8" w14:textId="3F754E50" w:rsidR="001D23E3" w:rsidRPr="001D23E3" w:rsidRDefault="001D23E3" w:rsidP="001D23E3">
      <w:r w:rsidRPr="001D23E3">
        <w:t xml:space="preserve">The argument is not that microservices are wrong. The argument is that microservices are frequently used to solve the wrong problem. They are often proposed when the real problem is that the organisation has not yet learned how to analyse, divide, own, test, deploy, observe, or maintain a modular system. </w:t>
      </w:r>
      <w:r w:rsidR="009C4360">
        <w:t>Essentially, i</w:t>
      </w:r>
      <w:r w:rsidRPr="001D23E3">
        <w:t xml:space="preserve">f the organisation does not </w:t>
      </w:r>
      <w:r w:rsidR="00DE349E">
        <w:t xml:space="preserve">have the capability of </w:t>
      </w:r>
      <w:r w:rsidRPr="001D23E3">
        <w:t>know</w:t>
      </w:r>
      <w:r w:rsidR="00DE349E">
        <w:t>ing</w:t>
      </w:r>
      <w:r w:rsidRPr="001D23E3">
        <w:t xml:space="preserve"> how to cut a system into coherent modules </w:t>
      </w:r>
      <w:r w:rsidRPr="00DE349E">
        <w:rPr>
          <w:i/>
          <w:iCs/>
        </w:rPr>
        <w:t>before</w:t>
      </w:r>
      <w:r w:rsidRPr="001D23E3">
        <w:t xml:space="preserve"> distribution, it is unlikely to know how to cut the same system into coherent networked services </w:t>
      </w:r>
      <w:r w:rsidRPr="00DE349E">
        <w:rPr>
          <w:i/>
          <w:iCs/>
        </w:rPr>
        <w:t>afterwards</w:t>
      </w:r>
      <w:r w:rsidRPr="001D23E3">
        <w:t>.</w:t>
      </w:r>
    </w:p>
    <w:p w14:paraId="491132A4" w14:textId="5FC877FF" w:rsidR="00921365" w:rsidRPr="00921365" w:rsidRDefault="00921365" w:rsidP="00D84665">
      <w:r>
        <w:br/>
      </w:r>
      <w:r>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3" w:name="_Toc145049427"/>
      <w:r>
        <w:br w:type="page"/>
      </w:r>
    </w:p>
    <w:p w14:paraId="0291ED00" w14:textId="4A5A0AB8" w:rsidR="00E81E1C" w:rsidRPr="0011016B" w:rsidRDefault="00E81E1C" w:rsidP="00E81E1C">
      <w:pPr>
        <w:pStyle w:val="Heading2"/>
      </w:pPr>
      <w:bookmarkStart w:id="4" w:name="_Toc232343198"/>
      <w:r>
        <w:t>Contents</w:t>
      </w:r>
      <w:bookmarkEnd w:id="3"/>
      <w:bookmarkEnd w:id="4"/>
    </w:p>
    <w:p w14:paraId="18F679AD" w14:textId="31DF43C9" w:rsidR="00342833" w:rsidRDefault="00E81E1C">
      <w:pPr>
        <w:pStyle w:val="TOC1"/>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2343196" w:history="1">
        <w:r w:rsidR="00342833" w:rsidRPr="00E3582E">
          <w:rPr>
            <w:rStyle w:val="Hyperlink"/>
            <w:noProof/>
          </w:rPr>
          <w:t>Purpose and Audience</w:t>
        </w:r>
        <w:r w:rsidR="00342833">
          <w:rPr>
            <w:noProof/>
            <w:webHidden/>
          </w:rPr>
          <w:tab/>
        </w:r>
        <w:r w:rsidR="00342833">
          <w:rPr>
            <w:noProof/>
            <w:webHidden/>
          </w:rPr>
          <w:fldChar w:fldCharType="begin"/>
        </w:r>
        <w:r w:rsidR="00342833">
          <w:rPr>
            <w:noProof/>
            <w:webHidden/>
          </w:rPr>
          <w:instrText xml:space="preserve"> PAGEREF _Toc232343196 \h </w:instrText>
        </w:r>
        <w:r w:rsidR="00342833">
          <w:rPr>
            <w:noProof/>
            <w:webHidden/>
          </w:rPr>
        </w:r>
        <w:r w:rsidR="00342833">
          <w:rPr>
            <w:noProof/>
            <w:webHidden/>
          </w:rPr>
          <w:fldChar w:fldCharType="separate"/>
        </w:r>
        <w:r w:rsidR="00342833">
          <w:rPr>
            <w:noProof/>
            <w:webHidden/>
          </w:rPr>
          <w:t>1</w:t>
        </w:r>
        <w:r w:rsidR="00342833">
          <w:rPr>
            <w:noProof/>
            <w:webHidden/>
          </w:rPr>
          <w:fldChar w:fldCharType="end"/>
        </w:r>
      </w:hyperlink>
    </w:p>
    <w:p w14:paraId="42A6A8A8" w14:textId="51573F62"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197" w:history="1">
        <w:r w:rsidRPr="00E3582E">
          <w:rPr>
            <w:rStyle w:val="Hyperlink"/>
            <w:noProof/>
          </w:rPr>
          <w:t>Synopsis</w:t>
        </w:r>
        <w:r>
          <w:rPr>
            <w:noProof/>
            <w:webHidden/>
          </w:rPr>
          <w:tab/>
        </w:r>
        <w:r>
          <w:rPr>
            <w:noProof/>
            <w:webHidden/>
          </w:rPr>
          <w:fldChar w:fldCharType="begin"/>
        </w:r>
        <w:r>
          <w:rPr>
            <w:noProof/>
            <w:webHidden/>
          </w:rPr>
          <w:instrText xml:space="preserve"> PAGEREF _Toc232343197 \h </w:instrText>
        </w:r>
        <w:r>
          <w:rPr>
            <w:noProof/>
            <w:webHidden/>
          </w:rPr>
        </w:r>
        <w:r>
          <w:rPr>
            <w:noProof/>
            <w:webHidden/>
          </w:rPr>
          <w:fldChar w:fldCharType="separate"/>
        </w:r>
        <w:r>
          <w:rPr>
            <w:noProof/>
            <w:webHidden/>
          </w:rPr>
          <w:t>1</w:t>
        </w:r>
        <w:r>
          <w:rPr>
            <w:noProof/>
            <w:webHidden/>
          </w:rPr>
          <w:fldChar w:fldCharType="end"/>
        </w:r>
      </w:hyperlink>
    </w:p>
    <w:p w14:paraId="0EA10176" w14:textId="51CE645A"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198" w:history="1">
        <w:r w:rsidRPr="00E3582E">
          <w:rPr>
            <w:rStyle w:val="Hyperlink"/>
            <w:noProof/>
          </w:rPr>
          <w:t>Contents</w:t>
        </w:r>
        <w:r>
          <w:rPr>
            <w:noProof/>
            <w:webHidden/>
          </w:rPr>
          <w:tab/>
        </w:r>
        <w:r>
          <w:rPr>
            <w:noProof/>
            <w:webHidden/>
          </w:rPr>
          <w:fldChar w:fldCharType="begin"/>
        </w:r>
        <w:r>
          <w:rPr>
            <w:noProof/>
            <w:webHidden/>
          </w:rPr>
          <w:instrText xml:space="preserve"> PAGEREF _Toc232343198 \h </w:instrText>
        </w:r>
        <w:r>
          <w:rPr>
            <w:noProof/>
            <w:webHidden/>
          </w:rPr>
        </w:r>
        <w:r>
          <w:rPr>
            <w:noProof/>
            <w:webHidden/>
          </w:rPr>
          <w:fldChar w:fldCharType="separate"/>
        </w:r>
        <w:r>
          <w:rPr>
            <w:noProof/>
            <w:webHidden/>
          </w:rPr>
          <w:t>3</w:t>
        </w:r>
        <w:r>
          <w:rPr>
            <w:noProof/>
            <w:webHidden/>
          </w:rPr>
          <w:fldChar w:fldCharType="end"/>
        </w:r>
      </w:hyperlink>
    </w:p>
    <w:p w14:paraId="51C1C9D5" w14:textId="153725D9"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199" w:history="1">
        <w:r w:rsidRPr="00E3582E">
          <w:rPr>
            <w:rStyle w:val="Hyperlink"/>
            <w:noProof/>
          </w:rPr>
          <w:t>Context</w:t>
        </w:r>
        <w:r>
          <w:rPr>
            <w:noProof/>
            <w:webHidden/>
          </w:rPr>
          <w:tab/>
        </w:r>
        <w:r>
          <w:rPr>
            <w:noProof/>
            <w:webHidden/>
          </w:rPr>
          <w:fldChar w:fldCharType="begin"/>
        </w:r>
        <w:r>
          <w:rPr>
            <w:noProof/>
            <w:webHidden/>
          </w:rPr>
          <w:instrText xml:space="preserve"> PAGEREF _Toc232343199 \h </w:instrText>
        </w:r>
        <w:r>
          <w:rPr>
            <w:noProof/>
            <w:webHidden/>
          </w:rPr>
        </w:r>
        <w:r>
          <w:rPr>
            <w:noProof/>
            <w:webHidden/>
          </w:rPr>
          <w:fldChar w:fldCharType="separate"/>
        </w:r>
        <w:r>
          <w:rPr>
            <w:noProof/>
            <w:webHidden/>
          </w:rPr>
          <w:t>4</w:t>
        </w:r>
        <w:r>
          <w:rPr>
            <w:noProof/>
            <w:webHidden/>
          </w:rPr>
          <w:fldChar w:fldCharType="end"/>
        </w:r>
      </w:hyperlink>
    </w:p>
    <w:p w14:paraId="1268D28A" w14:textId="2ABDCA03"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0" w:history="1">
        <w:r w:rsidRPr="00E3582E">
          <w:rPr>
            <w:rStyle w:val="Hyperlink"/>
            <w:noProof/>
          </w:rPr>
          <w:t>Background</w:t>
        </w:r>
        <w:r>
          <w:rPr>
            <w:noProof/>
            <w:webHidden/>
          </w:rPr>
          <w:tab/>
        </w:r>
        <w:r>
          <w:rPr>
            <w:noProof/>
            <w:webHidden/>
          </w:rPr>
          <w:fldChar w:fldCharType="begin"/>
        </w:r>
        <w:r>
          <w:rPr>
            <w:noProof/>
            <w:webHidden/>
          </w:rPr>
          <w:instrText xml:space="preserve"> PAGEREF _Toc232343200 \h </w:instrText>
        </w:r>
        <w:r>
          <w:rPr>
            <w:noProof/>
            <w:webHidden/>
          </w:rPr>
        </w:r>
        <w:r>
          <w:rPr>
            <w:noProof/>
            <w:webHidden/>
          </w:rPr>
          <w:fldChar w:fldCharType="separate"/>
        </w:r>
        <w:r>
          <w:rPr>
            <w:noProof/>
            <w:webHidden/>
          </w:rPr>
          <w:t>4</w:t>
        </w:r>
        <w:r>
          <w:rPr>
            <w:noProof/>
            <w:webHidden/>
          </w:rPr>
          <w:fldChar w:fldCharType="end"/>
        </w:r>
      </w:hyperlink>
    </w:p>
    <w:p w14:paraId="5A61A9A9" w14:textId="46D2676A"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1" w:history="1">
        <w:r w:rsidRPr="00E3582E">
          <w:rPr>
            <w:rStyle w:val="Hyperlink"/>
            <w:noProof/>
          </w:rPr>
          <w:t>The Problem Microservices Were Intended to Solve</w:t>
        </w:r>
        <w:r>
          <w:rPr>
            <w:noProof/>
            <w:webHidden/>
          </w:rPr>
          <w:tab/>
        </w:r>
        <w:r>
          <w:rPr>
            <w:noProof/>
            <w:webHidden/>
          </w:rPr>
          <w:fldChar w:fldCharType="begin"/>
        </w:r>
        <w:r>
          <w:rPr>
            <w:noProof/>
            <w:webHidden/>
          </w:rPr>
          <w:instrText xml:space="preserve"> PAGEREF _Toc232343201 \h </w:instrText>
        </w:r>
        <w:r>
          <w:rPr>
            <w:noProof/>
            <w:webHidden/>
          </w:rPr>
        </w:r>
        <w:r>
          <w:rPr>
            <w:noProof/>
            <w:webHidden/>
          </w:rPr>
          <w:fldChar w:fldCharType="separate"/>
        </w:r>
        <w:r>
          <w:rPr>
            <w:noProof/>
            <w:webHidden/>
          </w:rPr>
          <w:t>5</w:t>
        </w:r>
        <w:r>
          <w:rPr>
            <w:noProof/>
            <w:webHidden/>
          </w:rPr>
          <w:fldChar w:fldCharType="end"/>
        </w:r>
      </w:hyperlink>
    </w:p>
    <w:p w14:paraId="6FB694B4" w14:textId="041A82B6"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2" w:history="1">
        <w:r w:rsidRPr="00E3582E">
          <w:rPr>
            <w:rStyle w:val="Hyperlink"/>
            <w:noProof/>
          </w:rPr>
          <w:t>What Microservices Are</w:t>
        </w:r>
        <w:r>
          <w:rPr>
            <w:noProof/>
            <w:webHidden/>
          </w:rPr>
          <w:tab/>
        </w:r>
        <w:r>
          <w:rPr>
            <w:noProof/>
            <w:webHidden/>
          </w:rPr>
          <w:fldChar w:fldCharType="begin"/>
        </w:r>
        <w:r>
          <w:rPr>
            <w:noProof/>
            <w:webHidden/>
          </w:rPr>
          <w:instrText xml:space="preserve"> PAGEREF _Toc232343202 \h </w:instrText>
        </w:r>
        <w:r>
          <w:rPr>
            <w:noProof/>
            <w:webHidden/>
          </w:rPr>
        </w:r>
        <w:r>
          <w:rPr>
            <w:noProof/>
            <w:webHidden/>
          </w:rPr>
          <w:fldChar w:fldCharType="separate"/>
        </w:r>
        <w:r>
          <w:rPr>
            <w:noProof/>
            <w:webHidden/>
          </w:rPr>
          <w:t>6</w:t>
        </w:r>
        <w:r>
          <w:rPr>
            <w:noProof/>
            <w:webHidden/>
          </w:rPr>
          <w:fldChar w:fldCharType="end"/>
        </w:r>
      </w:hyperlink>
    </w:p>
    <w:p w14:paraId="4A73B533" w14:textId="330401E3"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3" w:history="1">
        <w:r w:rsidRPr="00E3582E">
          <w:rPr>
            <w:rStyle w:val="Hyperlink"/>
            <w:noProof/>
          </w:rPr>
          <w:t>What Microservices Are Not</w:t>
        </w:r>
        <w:r>
          <w:rPr>
            <w:noProof/>
            <w:webHidden/>
          </w:rPr>
          <w:tab/>
        </w:r>
        <w:r>
          <w:rPr>
            <w:noProof/>
            <w:webHidden/>
          </w:rPr>
          <w:fldChar w:fldCharType="begin"/>
        </w:r>
        <w:r>
          <w:rPr>
            <w:noProof/>
            <w:webHidden/>
          </w:rPr>
          <w:instrText xml:space="preserve"> PAGEREF _Toc232343203 \h </w:instrText>
        </w:r>
        <w:r>
          <w:rPr>
            <w:noProof/>
            <w:webHidden/>
          </w:rPr>
        </w:r>
        <w:r>
          <w:rPr>
            <w:noProof/>
            <w:webHidden/>
          </w:rPr>
          <w:fldChar w:fldCharType="separate"/>
        </w:r>
        <w:r>
          <w:rPr>
            <w:noProof/>
            <w:webHidden/>
          </w:rPr>
          <w:t>6</w:t>
        </w:r>
        <w:r>
          <w:rPr>
            <w:noProof/>
            <w:webHidden/>
          </w:rPr>
          <w:fldChar w:fldCharType="end"/>
        </w:r>
      </w:hyperlink>
    </w:p>
    <w:p w14:paraId="53FB5073" w14:textId="3256AC9D"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4" w:history="1">
        <w:r w:rsidRPr="00E3582E">
          <w:rPr>
            <w:rStyle w:val="Hyperlink"/>
            <w:noProof/>
          </w:rPr>
          <w:t>The Cost Model</w:t>
        </w:r>
        <w:r>
          <w:rPr>
            <w:noProof/>
            <w:webHidden/>
          </w:rPr>
          <w:tab/>
        </w:r>
        <w:r>
          <w:rPr>
            <w:noProof/>
            <w:webHidden/>
          </w:rPr>
          <w:fldChar w:fldCharType="begin"/>
        </w:r>
        <w:r>
          <w:rPr>
            <w:noProof/>
            <w:webHidden/>
          </w:rPr>
          <w:instrText xml:space="preserve"> PAGEREF _Toc232343204 \h </w:instrText>
        </w:r>
        <w:r>
          <w:rPr>
            <w:noProof/>
            <w:webHidden/>
          </w:rPr>
        </w:r>
        <w:r>
          <w:rPr>
            <w:noProof/>
            <w:webHidden/>
          </w:rPr>
          <w:fldChar w:fldCharType="separate"/>
        </w:r>
        <w:r>
          <w:rPr>
            <w:noProof/>
            <w:webHidden/>
          </w:rPr>
          <w:t>7</w:t>
        </w:r>
        <w:r>
          <w:rPr>
            <w:noProof/>
            <w:webHidden/>
          </w:rPr>
          <w:fldChar w:fldCharType="end"/>
        </w:r>
      </w:hyperlink>
    </w:p>
    <w:p w14:paraId="6B4A2D55" w14:textId="30DCFB05"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5" w:history="1">
        <w:r w:rsidRPr="00E3582E">
          <w:rPr>
            <w:rStyle w:val="Hyperlink"/>
            <w:noProof/>
          </w:rPr>
          <w:t>The Decision Problem</w:t>
        </w:r>
        <w:r>
          <w:rPr>
            <w:noProof/>
            <w:webHidden/>
          </w:rPr>
          <w:tab/>
        </w:r>
        <w:r>
          <w:rPr>
            <w:noProof/>
            <w:webHidden/>
          </w:rPr>
          <w:fldChar w:fldCharType="begin"/>
        </w:r>
        <w:r>
          <w:rPr>
            <w:noProof/>
            <w:webHidden/>
          </w:rPr>
          <w:instrText xml:space="preserve"> PAGEREF _Toc232343205 \h </w:instrText>
        </w:r>
        <w:r>
          <w:rPr>
            <w:noProof/>
            <w:webHidden/>
          </w:rPr>
        </w:r>
        <w:r>
          <w:rPr>
            <w:noProof/>
            <w:webHidden/>
          </w:rPr>
          <w:fldChar w:fldCharType="separate"/>
        </w:r>
        <w:r>
          <w:rPr>
            <w:noProof/>
            <w:webHidden/>
          </w:rPr>
          <w:t>7</w:t>
        </w:r>
        <w:r>
          <w:rPr>
            <w:noProof/>
            <w:webHidden/>
          </w:rPr>
          <w:fldChar w:fldCharType="end"/>
        </w:r>
      </w:hyperlink>
    </w:p>
    <w:p w14:paraId="17BA02C1" w14:textId="38CE0709"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6" w:history="1">
        <w:r w:rsidRPr="00E3582E">
          <w:rPr>
            <w:rStyle w:val="Hyperlink"/>
            <w:noProof/>
          </w:rPr>
          <w:t>Industry Guidance</w:t>
        </w:r>
        <w:r>
          <w:rPr>
            <w:noProof/>
            <w:webHidden/>
          </w:rPr>
          <w:tab/>
        </w:r>
        <w:r>
          <w:rPr>
            <w:noProof/>
            <w:webHidden/>
          </w:rPr>
          <w:fldChar w:fldCharType="begin"/>
        </w:r>
        <w:r>
          <w:rPr>
            <w:noProof/>
            <w:webHidden/>
          </w:rPr>
          <w:instrText xml:space="preserve"> PAGEREF _Toc232343206 \h </w:instrText>
        </w:r>
        <w:r>
          <w:rPr>
            <w:noProof/>
            <w:webHidden/>
          </w:rPr>
        </w:r>
        <w:r>
          <w:rPr>
            <w:noProof/>
            <w:webHidden/>
          </w:rPr>
          <w:fldChar w:fldCharType="separate"/>
        </w:r>
        <w:r>
          <w:rPr>
            <w:noProof/>
            <w:webHidden/>
          </w:rPr>
          <w:t>8</w:t>
        </w:r>
        <w:r>
          <w:rPr>
            <w:noProof/>
            <w:webHidden/>
          </w:rPr>
          <w:fldChar w:fldCharType="end"/>
        </w:r>
      </w:hyperlink>
    </w:p>
    <w:p w14:paraId="560856BE" w14:textId="77D41430"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207" w:history="1">
        <w:r w:rsidRPr="00E3582E">
          <w:rPr>
            <w:rStyle w:val="Hyperlink"/>
            <w:noProof/>
          </w:rPr>
          <w:t>Recognised practitioners</w:t>
        </w:r>
        <w:r>
          <w:rPr>
            <w:noProof/>
            <w:webHidden/>
          </w:rPr>
          <w:tab/>
        </w:r>
        <w:r>
          <w:rPr>
            <w:noProof/>
            <w:webHidden/>
          </w:rPr>
          <w:fldChar w:fldCharType="begin"/>
        </w:r>
        <w:r>
          <w:rPr>
            <w:noProof/>
            <w:webHidden/>
          </w:rPr>
          <w:instrText xml:space="preserve"> PAGEREF _Toc232343207 \h </w:instrText>
        </w:r>
        <w:r>
          <w:rPr>
            <w:noProof/>
            <w:webHidden/>
          </w:rPr>
        </w:r>
        <w:r>
          <w:rPr>
            <w:noProof/>
            <w:webHidden/>
          </w:rPr>
          <w:fldChar w:fldCharType="separate"/>
        </w:r>
        <w:r>
          <w:rPr>
            <w:noProof/>
            <w:webHidden/>
          </w:rPr>
          <w:t>8</w:t>
        </w:r>
        <w:r>
          <w:rPr>
            <w:noProof/>
            <w:webHidden/>
          </w:rPr>
          <w:fldChar w:fldCharType="end"/>
        </w:r>
      </w:hyperlink>
    </w:p>
    <w:p w14:paraId="18F48C72" w14:textId="02A1C201"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208" w:history="1">
        <w:r w:rsidRPr="00E3582E">
          <w:rPr>
            <w:rStyle w:val="Hyperlink"/>
            <w:noProof/>
          </w:rPr>
          <w:t>Vendor documentation</w:t>
        </w:r>
        <w:r>
          <w:rPr>
            <w:noProof/>
            <w:webHidden/>
          </w:rPr>
          <w:tab/>
        </w:r>
        <w:r>
          <w:rPr>
            <w:noProof/>
            <w:webHidden/>
          </w:rPr>
          <w:fldChar w:fldCharType="begin"/>
        </w:r>
        <w:r>
          <w:rPr>
            <w:noProof/>
            <w:webHidden/>
          </w:rPr>
          <w:instrText xml:space="preserve"> PAGEREF _Toc232343208 \h </w:instrText>
        </w:r>
        <w:r>
          <w:rPr>
            <w:noProof/>
            <w:webHidden/>
          </w:rPr>
        </w:r>
        <w:r>
          <w:rPr>
            <w:noProof/>
            <w:webHidden/>
          </w:rPr>
          <w:fldChar w:fldCharType="separate"/>
        </w:r>
        <w:r>
          <w:rPr>
            <w:noProof/>
            <w:webHidden/>
          </w:rPr>
          <w:t>9</w:t>
        </w:r>
        <w:r>
          <w:rPr>
            <w:noProof/>
            <w:webHidden/>
          </w:rPr>
          <w:fldChar w:fldCharType="end"/>
        </w:r>
      </w:hyperlink>
    </w:p>
    <w:p w14:paraId="78BCA796" w14:textId="1332064F"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09" w:history="1">
        <w:r w:rsidRPr="00E3582E">
          <w:rPr>
            <w:rStyle w:val="Hyperlink"/>
            <w:noProof/>
          </w:rPr>
          <w:t>Evidence Base: Consolidation, Not Abandonment</w:t>
        </w:r>
        <w:r>
          <w:rPr>
            <w:noProof/>
            <w:webHidden/>
          </w:rPr>
          <w:tab/>
        </w:r>
        <w:r>
          <w:rPr>
            <w:noProof/>
            <w:webHidden/>
          </w:rPr>
          <w:fldChar w:fldCharType="begin"/>
        </w:r>
        <w:r>
          <w:rPr>
            <w:noProof/>
            <w:webHidden/>
          </w:rPr>
          <w:instrText xml:space="preserve"> PAGEREF _Toc232343209 \h </w:instrText>
        </w:r>
        <w:r>
          <w:rPr>
            <w:noProof/>
            <w:webHidden/>
          </w:rPr>
        </w:r>
        <w:r>
          <w:rPr>
            <w:noProof/>
            <w:webHidden/>
          </w:rPr>
          <w:fldChar w:fldCharType="separate"/>
        </w:r>
        <w:r>
          <w:rPr>
            <w:noProof/>
            <w:webHidden/>
          </w:rPr>
          <w:t>10</w:t>
        </w:r>
        <w:r>
          <w:rPr>
            <w:noProof/>
            <w:webHidden/>
          </w:rPr>
          <w:fldChar w:fldCharType="end"/>
        </w:r>
      </w:hyperlink>
    </w:p>
    <w:p w14:paraId="78760BD7" w14:textId="1187AF86"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10" w:history="1">
        <w:r w:rsidRPr="00E3582E">
          <w:rPr>
            <w:rStyle w:val="Hyperlink"/>
            <w:noProof/>
          </w:rPr>
          <w:t>Recommendations</w:t>
        </w:r>
        <w:r>
          <w:rPr>
            <w:noProof/>
            <w:webHidden/>
          </w:rPr>
          <w:tab/>
        </w:r>
        <w:r>
          <w:rPr>
            <w:noProof/>
            <w:webHidden/>
          </w:rPr>
          <w:fldChar w:fldCharType="begin"/>
        </w:r>
        <w:r>
          <w:rPr>
            <w:noProof/>
            <w:webHidden/>
          </w:rPr>
          <w:instrText xml:space="preserve"> PAGEREF _Toc232343210 \h </w:instrText>
        </w:r>
        <w:r>
          <w:rPr>
            <w:noProof/>
            <w:webHidden/>
          </w:rPr>
        </w:r>
        <w:r>
          <w:rPr>
            <w:noProof/>
            <w:webHidden/>
          </w:rPr>
          <w:fldChar w:fldCharType="separate"/>
        </w:r>
        <w:r>
          <w:rPr>
            <w:noProof/>
            <w:webHidden/>
          </w:rPr>
          <w:t>12</w:t>
        </w:r>
        <w:r>
          <w:rPr>
            <w:noProof/>
            <w:webHidden/>
          </w:rPr>
          <w:fldChar w:fldCharType="end"/>
        </w:r>
      </w:hyperlink>
    </w:p>
    <w:p w14:paraId="63B13C1A" w14:textId="55A8DC38"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11" w:history="1">
        <w:r w:rsidRPr="00E3582E">
          <w:rPr>
            <w:rStyle w:val="Hyperlink"/>
            <w:noProof/>
          </w:rPr>
          <w:t>Conclusion</w:t>
        </w:r>
        <w:r>
          <w:rPr>
            <w:noProof/>
            <w:webHidden/>
          </w:rPr>
          <w:tab/>
        </w:r>
        <w:r>
          <w:rPr>
            <w:noProof/>
            <w:webHidden/>
          </w:rPr>
          <w:fldChar w:fldCharType="begin"/>
        </w:r>
        <w:r>
          <w:rPr>
            <w:noProof/>
            <w:webHidden/>
          </w:rPr>
          <w:instrText xml:space="preserve"> PAGEREF _Toc232343211 \h </w:instrText>
        </w:r>
        <w:r>
          <w:rPr>
            <w:noProof/>
            <w:webHidden/>
          </w:rPr>
        </w:r>
        <w:r>
          <w:rPr>
            <w:noProof/>
            <w:webHidden/>
          </w:rPr>
          <w:fldChar w:fldCharType="separate"/>
        </w:r>
        <w:r>
          <w:rPr>
            <w:noProof/>
            <w:webHidden/>
          </w:rPr>
          <w:t>12</w:t>
        </w:r>
        <w:r>
          <w:rPr>
            <w:noProof/>
            <w:webHidden/>
          </w:rPr>
          <w:fldChar w:fldCharType="end"/>
        </w:r>
      </w:hyperlink>
    </w:p>
    <w:p w14:paraId="215B9B2C" w14:textId="2AF2D859"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12" w:history="1">
        <w:r w:rsidRPr="00E3582E">
          <w:rPr>
            <w:rStyle w:val="Hyperlink"/>
            <w:noProof/>
          </w:rPr>
          <w:t>Appendices</w:t>
        </w:r>
        <w:r>
          <w:rPr>
            <w:noProof/>
            <w:webHidden/>
          </w:rPr>
          <w:tab/>
        </w:r>
        <w:r>
          <w:rPr>
            <w:noProof/>
            <w:webHidden/>
          </w:rPr>
          <w:fldChar w:fldCharType="begin"/>
        </w:r>
        <w:r>
          <w:rPr>
            <w:noProof/>
            <w:webHidden/>
          </w:rPr>
          <w:instrText xml:space="preserve"> PAGEREF _Toc232343212 \h </w:instrText>
        </w:r>
        <w:r>
          <w:rPr>
            <w:noProof/>
            <w:webHidden/>
          </w:rPr>
        </w:r>
        <w:r>
          <w:rPr>
            <w:noProof/>
            <w:webHidden/>
          </w:rPr>
          <w:fldChar w:fldCharType="separate"/>
        </w:r>
        <w:r>
          <w:rPr>
            <w:noProof/>
            <w:webHidden/>
          </w:rPr>
          <w:t>14</w:t>
        </w:r>
        <w:r>
          <w:rPr>
            <w:noProof/>
            <w:webHidden/>
          </w:rPr>
          <w:fldChar w:fldCharType="end"/>
        </w:r>
      </w:hyperlink>
    </w:p>
    <w:p w14:paraId="525CA5C6" w14:textId="7DA456A4"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213" w:history="1">
        <w:r w:rsidRPr="00E3582E">
          <w:rPr>
            <w:rStyle w:val="Hyperlink"/>
            <w:noProof/>
          </w:rPr>
          <w:t>Appendix A - Document Information</w:t>
        </w:r>
        <w:r>
          <w:rPr>
            <w:noProof/>
            <w:webHidden/>
          </w:rPr>
          <w:tab/>
        </w:r>
        <w:r>
          <w:rPr>
            <w:noProof/>
            <w:webHidden/>
          </w:rPr>
          <w:fldChar w:fldCharType="begin"/>
        </w:r>
        <w:r>
          <w:rPr>
            <w:noProof/>
            <w:webHidden/>
          </w:rPr>
          <w:instrText xml:space="preserve"> PAGEREF _Toc232343213 \h </w:instrText>
        </w:r>
        <w:r>
          <w:rPr>
            <w:noProof/>
            <w:webHidden/>
          </w:rPr>
        </w:r>
        <w:r>
          <w:rPr>
            <w:noProof/>
            <w:webHidden/>
          </w:rPr>
          <w:fldChar w:fldCharType="separate"/>
        </w:r>
        <w:r>
          <w:rPr>
            <w:noProof/>
            <w:webHidden/>
          </w:rPr>
          <w:t>14</w:t>
        </w:r>
        <w:r>
          <w:rPr>
            <w:noProof/>
            <w:webHidden/>
          </w:rPr>
          <w:fldChar w:fldCharType="end"/>
        </w:r>
      </w:hyperlink>
    </w:p>
    <w:p w14:paraId="47507F03" w14:textId="2D7F4A8B"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14" w:history="1">
        <w:r w:rsidRPr="00E3582E">
          <w:rPr>
            <w:rStyle w:val="Hyperlink"/>
            <w:noProof/>
          </w:rPr>
          <w:t>Versions</w:t>
        </w:r>
        <w:r>
          <w:rPr>
            <w:noProof/>
            <w:webHidden/>
          </w:rPr>
          <w:tab/>
        </w:r>
        <w:r>
          <w:rPr>
            <w:noProof/>
            <w:webHidden/>
          </w:rPr>
          <w:fldChar w:fldCharType="begin"/>
        </w:r>
        <w:r>
          <w:rPr>
            <w:noProof/>
            <w:webHidden/>
          </w:rPr>
          <w:instrText xml:space="preserve"> PAGEREF _Toc232343214 \h </w:instrText>
        </w:r>
        <w:r>
          <w:rPr>
            <w:noProof/>
            <w:webHidden/>
          </w:rPr>
        </w:r>
        <w:r>
          <w:rPr>
            <w:noProof/>
            <w:webHidden/>
          </w:rPr>
          <w:fldChar w:fldCharType="separate"/>
        </w:r>
        <w:r>
          <w:rPr>
            <w:noProof/>
            <w:webHidden/>
          </w:rPr>
          <w:t>14</w:t>
        </w:r>
        <w:r>
          <w:rPr>
            <w:noProof/>
            <w:webHidden/>
          </w:rPr>
          <w:fldChar w:fldCharType="end"/>
        </w:r>
      </w:hyperlink>
    </w:p>
    <w:p w14:paraId="76256702" w14:textId="5F21A063"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15" w:history="1">
        <w:r w:rsidRPr="00E3582E">
          <w:rPr>
            <w:rStyle w:val="Hyperlink"/>
            <w:noProof/>
          </w:rPr>
          <w:t>Images</w:t>
        </w:r>
        <w:r>
          <w:rPr>
            <w:noProof/>
            <w:webHidden/>
          </w:rPr>
          <w:tab/>
        </w:r>
        <w:r>
          <w:rPr>
            <w:noProof/>
            <w:webHidden/>
          </w:rPr>
          <w:fldChar w:fldCharType="begin"/>
        </w:r>
        <w:r>
          <w:rPr>
            <w:noProof/>
            <w:webHidden/>
          </w:rPr>
          <w:instrText xml:space="preserve"> PAGEREF _Toc232343215 \h </w:instrText>
        </w:r>
        <w:r>
          <w:rPr>
            <w:noProof/>
            <w:webHidden/>
          </w:rPr>
        </w:r>
        <w:r>
          <w:rPr>
            <w:noProof/>
            <w:webHidden/>
          </w:rPr>
          <w:fldChar w:fldCharType="separate"/>
        </w:r>
        <w:r>
          <w:rPr>
            <w:noProof/>
            <w:webHidden/>
          </w:rPr>
          <w:t>14</w:t>
        </w:r>
        <w:r>
          <w:rPr>
            <w:noProof/>
            <w:webHidden/>
          </w:rPr>
          <w:fldChar w:fldCharType="end"/>
        </w:r>
      </w:hyperlink>
    </w:p>
    <w:p w14:paraId="13EDBE87" w14:textId="760B3460"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16" w:history="1">
        <w:r w:rsidRPr="00E3582E">
          <w:rPr>
            <w:rStyle w:val="Hyperlink"/>
            <w:noProof/>
          </w:rPr>
          <w:t>Tables</w:t>
        </w:r>
        <w:r>
          <w:rPr>
            <w:noProof/>
            <w:webHidden/>
          </w:rPr>
          <w:tab/>
        </w:r>
        <w:r>
          <w:rPr>
            <w:noProof/>
            <w:webHidden/>
          </w:rPr>
          <w:fldChar w:fldCharType="begin"/>
        </w:r>
        <w:r>
          <w:rPr>
            <w:noProof/>
            <w:webHidden/>
          </w:rPr>
          <w:instrText xml:space="preserve"> PAGEREF _Toc232343216 \h </w:instrText>
        </w:r>
        <w:r>
          <w:rPr>
            <w:noProof/>
            <w:webHidden/>
          </w:rPr>
        </w:r>
        <w:r>
          <w:rPr>
            <w:noProof/>
            <w:webHidden/>
          </w:rPr>
          <w:fldChar w:fldCharType="separate"/>
        </w:r>
        <w:r>
          <w:rPr>
            <w:noProof/>
            <w:webHidden/>
          </w:rPr>
          <w:t>14</w:t>
        </w:r>
        <w:r>
          <w:rPr>
            <w:noProof/>
            <w:webHidden/>
          </w:rPr>
          <w:fldChar w:fldCharType="end"/>
        </w:r>
      </w:hyperlink>
    </w:p>
    <w:p w14:paraId="22B2EBD4" w14:textId="418EE27F" w:rsidR="00342833" w:rsidRDefault="00342833">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343217" w:history="1">
        <w:r w:rsidRPr="00E3582E">
          <w:rPr>
            <w:rStyle w:val="Hyperlink"/>
            <w:noProof/>
          </w:rPr>
          <w:t>References</w:t>
        </w:r>
        <w:r>
          <w:rPr>
            <w:noProof/>
            <w:webHidden/>
          </w:rPr>
          <w:tab/>
        </w:r>
        <w:r>
          <w:rPr>
            <w:noProof/>
            <w:webHidden/>
          </w:rPr>
          <w:fldChar w:fldCharType="begin"/>
        </w:r>
        <w:r>
          <w:rPr>
            <w:noProof/>
            <w:webHidden/>
          </w:rPr>
          <w:instrText xml:space="preserve"> PAGEREF _Toc232343217 \h </w:instrText>
        </w:r>
        <w:r>
          <w:rPr>
            <w:noProof/>
            <w:webHidden/>
          </w:rPr>
        </w:r>
        <w:r>
          <w:rPr>
            <w:noProof/>
            <w:webHidden/>
          </w:rPr>
          <w:fldChar w:fldCharType="separate"/>
        </w:r>
        <w:r>
          <w:rPr>
            <w:noProof/>
            <w:webHidden/>
          </w:rPr>
          <w:t>14</w:t>
        </w:r>
        <w:r>
          <w:rPr>
            <w:noProof/>
            <w:webHidden/>
          </w:rPr>
          <w:fldChar w:fldCharType="end"/>
        </w:r>
      </w:hyperlink>
    </w:p>
    <w:p w14:paraId="450DF2FD" w14:textId="46AF068D"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18" w:history="1">
        <w:r w:rsidRPr="00E3582E">
          <w:rPr>
            <w:rStyle w:val="Hyperlink"/>
            <w:noProof/>
          </w:rPr>
          <w:t>Review Distribution</w:t>
        </w:r>
        <w:r>
          <w:rPr>
            <w:noProof/>
            <w:webHidden/>
          </w:rPr>
          <w:tab/>
        </w:r>
        <w:r>
          <w:rPr>
            <w:noProof/>
            <w:webHidden/>
          </w:rPr>
          <w:fldChar w:fldCharType="begin"/>
        </w:r>
        <w:r>
          <w:rPr>
            <w:noProof/>
            <w:webHidden/>
          </w:rPr>
          <w:instrText xml:space="preserve"> PAGEREF _Toc232343218 \h </w:instrText>
        </w:r>
        <w:r>
          <w:rPr>
            <w:noProof/>
            <w:webHidden/>
          </w:rPr>
        </w:r>
        <w:r>
          <w:rPr>
            <w:noProof/>
            <w:webHidden/>
          </w:rPr>
          <w:fldChar w:fldCharType="separate"/>
        </w:r>
        <w:r>
          <w:rPr>
            <w:noProof/>
            <w:webHidden/>
          </w:rPr>
          <w:t>15</w:t>
        </w:r>
        <w:r>
          <w:rPr>
            <w:noProof/>
            <w:webHidden/>
          </w:rPr>
          <w:fldChar w:fldCharType="end"/>
        </w:r>
      </w:hyperlink>
    </w:p>
    <w:p w14:paraId="432FBEFC" w14:textId="3207820C"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19" w:history="1">
        <w:r w:rsidRPr="00E3582E">
          <w:rPr>
            <w:rStyle w:val="Hyperlink"/>
            <w:noProof/>
          </w:rPr>
          <w:t>Audience</w:t>
        </w:r>
        <w:r>
          <w:rPr>
            <w:noProof/>
            <w:webHidden/>
          </w:rPr>
          <w:tab/>
        </w:r>
        <w:r>
          <w:rPr>
            <w:noProof/>
            <w:webHidden/>
          </w:rPr>
          <w:fldChar w:fldCharType="begin"/>
        </w:r>
        <w:r>
          <w:rPr>
            <w:noProof/>
            <w:webHidden/>
          </w:rPr>
          <w:instrText xml:space="preserve"> PAGEREF _Toc232343219 \h </w:instrText>
        </w:r>
        <w:r>
          <w:rPr>
            <w:noProof/>
            <w:webHidden/>
          </w:rPr>
        </w:r>
        <w:r>
          <w:rPr>
            <w:noProof/>
            <w:webHidden/>
          </w:rPr>
          <w:fldChar w:fldCharType="separate"/>
        </w:r>
        <w:r>
          <w:rPr>
            <w:noProof/>
            <w:webHidden/>
          </w:rPr>
          <w:t>15</w:t>
        </w:r>
        <w:r>
          <w:rPr>
            <w:noProof/>
            <w:webHidden/>
          </w:rPr>
          <w:fldChar w:fldCharType="end"/>
        </w:r>
      </w:hyperlink>
    </w:p>
    <w:p w14:paraId="19BE92AE" w14:textId="6AA81031"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0" w:history="1">
        <w:r w:rsidRPr="00E3582E">
          <w:rPr>
            <w:rStyle w:val="Hyperlink"/>
            <w:noProof/>
          </w:rPr>
          <w:t>Structure</w:t>
        </w:r>
        <w:r>
          <w:rPr>
            <w:noProof/>
            <w:webHidden/>
          </w:rPr>
          <w:tab/>
        </w:r>
        <w:r>
          <w:rPr>
            <w:noProof/>
            <w:webHidden/>
          </w:rPr>
          <w:fldChar w:fldCharType="begin"/>
        </w:r>
        <w:r>
          <w:rPr>
            <w:noProof/>
            <w:webHidden/>
          </w:rPr>
          <w:instrText xml:space="preserve"> PAGEREF _Toc232343220 \h </w:instrText>
        </w:r>
        <w:r>
          <w:rPr>
            <w:noProof/>
            <w:webHidden/>
          </w:rPr>
        </w:r>
        <w:r>
          <w:rPr>
            <w:noProof/>
            <w:webHidden/>
          </w:rPr>
          <w:fldChar w:fldCharType="separate"/>
        </w:r>
        <w:r>
          <w:rPr>
            <w:noProof/>
            <w:webHidden/>
          </w:rPr>
          <w:t>15</w:t>
        </w:r>
        <w:r>
          <w:rPr>
            <w:noProof/>
            <w:webHidden/>
          </w:rPr>
          <w:fldChar w:fldCharType="end"/>
        </w:r>
      </w:hyperlink>
    </w:p>
    <w:p w14:paraId="3F0DDB7A" w14:textId="35DB7BD7"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1" w:history="1">
        <w:r w:rsidRPr="00E3582E">
          <w:rPr>
            <w:rStyle w:val="Hyperlink"/>
            <w:noProof/>
          </w:rPr>
          <w:t>Diagrams</w:t>
        </w:r>
        <w:r>
          <w:rPr>
            <w:noProof/>
            <w:webHidden/>
          </w:rPr>
          <w:tab/>
        </w:r>
        <w:r>
          <w:rPr>
            <w:noProof/>
            <w:webHidden/>
          </w:rPr>
          <w:fldChar w:fldCharType="begin"/>
        </w:r>
        <w:r>
          <w:rPr>
            <w:noProof/>
            <w:webHidden/>
          </w:rPr>
          <w:instrText xml:space="preserve"> PAGEREF _Toc232343221 \h </w:instrText>
        </w:r>
        <w:r>
          <w:rPr>
            <w:noProof/>
            <w:webHidden/>
          </w:rPr>
        </w:r>
        <w:r>
          <w:rPr>
            <w:noProof/>
            <w:webHidden/>
          </w:rPr>
          <w:fldChar w:fldCharType="separate"/>
        </w:r>
        <w:r>
          <w:rPr>
            <w:noProof/>
            <w:webHidden/>
          </w:rPr>
          <w:t>15</w:t>
        </w:r>
        <w:r>
          <w:rPr>
            <w:noProof/>
            <w:webHidden/>
          </w:rPr>
          <w:fldChar w:fldCharType="end"/>
        </w:r>
      </w:hyperlink>
    </w:p>
    <w:p w14:paraId="11A9AEFD" w14:textId="43B47006"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2" w:history="1">
        <w:r w:rsidRPr="00E3582E">
          <w:rPr>
            <w:rStyle w:val="Hyperlink"/>
            <w:noProof/>
          </w:rPr>
          <w:t>Acronyms</w:t>
        </w:r>
        <w:r>
          <w:rPr>
            <w:noProof/>
            <w:webHidden/>
          </w:rPr>
          <w:tab/>
        </w:r>
        <w:r>
          <w:rPr>
            <w:noProof/>
            <w:webHidden/>
          </w:rPr>
          <w:fldChar w:fldCharType="begin"/>
        </w:r>
        <w:r>
          <w:rPr>
            <w:noProof/>
            <w:webHidden/>
          </w:rPr>
          <w:instrText xml:space="preserve"> PAGEREF _Toc232343222 \h </w:instrText>
        </w:r>
        <w:r>
          <w:rPr>
            <w:noProof/>
            <w:webHidden/>
          </w:rPr>
        </w:r>
        <w:r>
          <w:rPr>
            <w:noProof/>
            <w:webHidden/>
          </w:rPr>
          <w:fldChar w:fldCharType="separate"/>
        </w:r>
        <w:r>
          <w:rPr>
            <w:noProof/>
            <w:webHidden/>
          </w:rPr>
          <w:t>15</w:t>
        </w:r>
        <w:r>
          <w:rPr>
            <w:noProof/>
            <w:webHidden/>
          </w:rPr>
          <w:fldChar w:fldCharType="end"/>
        </w:r>
      </w:hyperlink>
    </w:p>
    <w:p w14:paraId="35AAE751" w14:textId="6B07890B"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3" w:history="1">
        <w:r w:rsidRPr="00E3582E">
          <w:rPr>
            <w:rStyle w:val="Hyperlink"/>
            <w:noProof/>
          </w:rPr>
          <w:t>Terms</w:t>
        </w:r>
        <w:r>
          <w:rPr>
            <w:noProof/>
            <w:webHidden/>
          </w:rPr>
          <w:tab/>
        </w:r>
        <w:r>
          <w:rPr>
            <w:noProof/>
            <w:webHidden/>
          </w:rPr>
          <w:fldChar w:fldCharType="begin"/>
        </w:r>
        <w:r>
          <w:rPr>
            <w:noProof/>
            <w:webHidden/>
          </w:rPr>
          <w:instrText xml:space="preserve"> PAGEREF _Toc232343223 \h </w:instrText>
        </w:r>
        <w:r>
          <w:rPr>
            <w:noProof/>
            <w:webHidden/>
          </w:rPr>
        </w:r>
        <w:r>
          <w:rPr>
            <w:noProof/>
            <w:webHidden/>
          </w:rPr>
          <w:fldChar w:fldCharType="separate"/>
        </w:r>
        <w:r>
          <w:rPr>
            <w:noProof/>
            <w:webHidden/>
          </w:rPr>
          <w:t>16</w:t>
        </w:r>
        <w:r>
          <w:rPr>
            <w:noProof/>
            <w:webHidden/>
          </w:rPr>
          <w:fldChar w:fldCharType="end"/>
        </w:r>
      </w:hyperlink>
    </w:p>
    <w:p w14:paraId="7878EC3C" w14:textId="6A4E69F7"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224" w:history="1">
        <w:r w:rsidRPr="00E3582E">
          <w:rPr>
            <w:rStyle w:val="Hyperlink"/>
            <w:noProof/>
          </w:rPr>
          <w:t>Appendix B - Intuitive Comparisons</w:t>
        </w:r>
        <w:r>
          <w:rPr>
            <w:noProof/>
            <w:webHidden/>
          </w:rPr>
          <w:tab/>
        </w:r>
        <w:r>
          <w:rPr>
            <w:noProof/>
            <w:webHidden/>
          </w:rPr>
          <w:fldChar w:fldCharType="begin"/>
        </w:r>
        <w:r>
          <w:rPr>
            <w:noProof/>
            <w:webHidden/>
          </w:rPr>
          <w:instrText xml:space="preserve"> PAGEREF _Toc232343224 \h </w:instrText>
        </w:r>
        <w:r>
          <w:rPr>
            <w:noProof/>
            <w:webHidden/>
          </w:rPr>
        </w:r>
        <w:r>
          <w:rPr>
            <w:noProof/>
            <w:webHidden/>
          </w:rPr>
          <w:fldChar w:fldCharType="separate"/>
        </w:r>
        <w:r>
          <w:rPr>
            <w:noProof/>
            <w:webHidden/>
          </w:rPr>
          <w:t>17</w:t>
        </w:r>
        <w:r>
          <w:rPr>
            <w:noProof/>
            <w:webHidden/>
          </w:rPr>
          <w:fldChar w:fldCharType="end"/>
        </w:r>
      </w:hyperlink>
    </w:p>
    <w:p w14:paraId="520BA385" w14:textId="1731750C"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5" w:history="1">
        <w:r w:rsidRPr="00E3582E">
          <w:rPr>
            <w:rStyle w:val="Hyperlink"/>
            <w:noProof/>
          </w:rPr>
          <w:t>A coherent device versus separated parts</w:t>
        </w:r>
        <w:r>
          <w:rPr>
            <w:noProof/>
            <w:webHidden/>
          </w:rPr>
          <w:tab/>
        </w:r>
        <w:r>
          <w:rPr>
            <w:noProof/>
            <w:webHidden/>
          </w:rPr>
          <w:fldChar w:fldCharType="begin"/>
        </w:r>
        <w:r>
          <w:rPr>
            <w:noProof/>
            <w:webHidden/>
          </w:rPr>
          <w:instrText xml:space="preserve"> PAGEREF _Toc232343225 \h </w:instrText>
        </w:r>
        <w:r>
          <w:rPr>
            <w:noProof/>
            <w:webHidden/>
          </w:rPr>
        </w:r>
        <w:r>
          <w:rPr>
            <w:noProof/>
            <w:webHidden/>
          </w:rPr>
          <w:fldChar w:fldCharType="separate"/>
        </w:r>
        <w:r>
          <w:rPr>
            <w:noProof/>
            <w:webHidden/>
          </w:rPr>
          <w:t>17</w:t>
        </w:r>
        <w:r>
          <w:rPr>
            <w:noProof/>
            <w:webHidden/>
          </w:rPr>
          <w:fldChar w:fldCharType="end"/>
        </w:r>
      </w:hyperlink>
    </w:p>
    <w:p w14:paraId="238D0A8C" w14:textId="1C66AD8F"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6" w:history="1">
        <w:r w:rsidRPr="00E3582E">
          <w:rPr>
            <w:rStyle w:val="Hyperlink"/>
            <w:noProof/>
          </w:rPr>
          <w:t>Extension cords across the warehouse floor</w:t>
        </w:r>
        <w:r>
          <w:rPr>
            <w:noProof/>
            <w:webHidden/>
          </w:rPr>
          <w:tab/>
        </w:r>
        <w:r>
          <w:rPr>
            <w:noProof/>
            <w:webHidden/>
          </w:rPr>
          <w:fldChar w:fldCharType="begin"/>
        </w:r>
        <w:r>
          <w:rPr>
            <w:noProof/>
            <w:webHidden/>
          </w:rPr>
          <w:instrText xml:space="preserve"> PAGEREF _Toc232343226 \h </w:instrText>
        </w:r>
        <w:r>
          <w:rPr>
            <w:noProof/>
            <w:webHidden/>
          </w:rPr>
        </w:r>
        <w:r>
          <w:rPr>
            <w:noProof/>
            <w:webHidden/>
          </w:rPr>
          <w:fldChar w:fldCharType="separate"/>
        </w:r>
        <w:r>
          <w:rPr>
            <w:noProof/>
            <w:webHidden/>
          </w:rPr>
          <w:t>17</w:t>
        </w:r>
        <w:r>
          <w:rPr>
            <w:noProof/>
            <w:webHidden/>
          </w:rPr>
          <w:fldChar w:fldCharType="end"/>
        </w:r>
      </w:hyperlink>
    </w:p>
    <w:p w14:paraId="74DA5F8B" w14:textId="398B620C"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7" w:history="1">
        <w:r w:rsidRPr="00E3582E">
          <w:rPr>
            <w:rStyle w:val="Hyperlink"/>
            <w:noProof/>
          </w:rPr>
          <w:t>Logic moved outside the box</w:t>
        </w:r>
        <w:r>
          <w:rPr>
            <w:noProof/>
            <w:webHidden/>
          </w:rPr>
          <w:tab/>
        </w:r>
        <w:r>
          <w:rPr>
            <w:noProof/>
            <w:webHidden/>
          </w:rPr>
          <w:fldChar w:fldCharType="begin"/>
        </w:r>
        <w:r>
          <w:rPr>
            <w:noProof/>
            <w:webHidden/>
          </w:rPr>
          <w:instrText xml:space="preserve"> PAGEREF _Toc232343227 \h </w:instrText>
        </w:r>
        <w:r>
          <w:rPr>
            <w:noProof/>
            <w:webHidden/>
          </w:rPr>
        </w:r>
        <w:r>
          <w:rPr>
            <w:noProof/>
            <w:webHidden/>
          </w:rPr>
          <w:fldChar w:fldCharType="separate"/>
        </w:r>
        <w:r>
          <w:rPr>
            <w:noProof/>
            <w:webHidden/>
          </w:rPr>
          <w:t>17</w:t>
        </w:r>
        <w:r>
          <w:rPr>
            <w:noProof/>
            <w:webHidden/>
          </w:rPr>
          <w:fldChar w:fldCharType="end"/>
        </w:r>
      </w:hyperlink>
    </w:p>
    <w:p w14:paraId="78904AA8" w14:textId="50840E4F" w:rsidR="00342833" w:rsidRDefault="00342833">
      <w:pPr>
        <w:pStyle w:val="TOC2"/>
        <w:rPr>
          <w:rFonts w:asciiTheme="minorHAnsi" w:eastAsiaTheme="minorEastAsia" w:hAnsiTheme="minorHAnsi" w:cstheme="minorBidi"/>
          <w:noProof/>
          <w:kern w:val="2"/>
          <w:lang w:eastAsia="en-NZ"/>
          <w14:ligatures w14:val="standardContextual"/>
        </w:rPr>
      </w:pPr>
      <w:hyperlink w:anchor="_Toc232343228" w:history="1">
        <w:r w:rsidRPr="00E3582E">
          <w:rPr>
            <w:rStyle w:val="Hyperlink"/>
            <w:noProof/>
          </w:rPr>
          <w:t>Appendix C - Historical Patterns in Architectural Overreach</w:t>
        </w:r>
        <w:r>
          <w:rPr>
            <w:noProof/>
            <w:webHidden/>
          </w:rPr>
          <w:tab/>
        </w:r>
        <w:r>
          <w:rPr>
            <w:noProof/>
            <w:webHidden/>
          </w:rPr>
          <w:fldChar w:fldCharType="begin"/>
        </w:r>
        <w:r>
          <w:rPr>
            <w:noProof/>
            <w:webHidden/>
          </w:rPr>
          <w:instrText xml:space="preserve"> PAGEREF _Toc232343228 \h </w:instrText>
        </w:r>
        <w:r>
          <w:rPr>
            <w:noProof/>
            <w:webHidden/>
          </w:rPr>
        </w:r>
        <w:r>
          <w:rPr>
            <w:noProof/>
            <w:webHidden/>
          </w:rPr>
          <w:fldChar w:fldCharType="separate"/>
        </w:r>
        <w:r>
          <w:rPr>
            <w:noProof/>
            <w:webHidden/>
          </w:rPr>
          <w:t>18</w:t>
        </w:r>
        <w:r>
          <w:rPr>
            <w:noProof/>
            <w:webHidden/>
          </w:rPr>
          <w:fldChar w:fldCharType="end"/>
        </w:r>
      </w:hyperlink>
    </w:p>
    <w:p w14:paraId="528D1647" w14:textId="47BF70F7" w:rsidR="00342833" w:rsidRDefault="00342833">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343229" w:history="1">
        <w:r w:rsidRPr="00E3582E">
          <w:rPr>
            <w:rStyle w:val="Hyperlink"/>
            <w:noProof/>
          </w:rPr>
          <w:t>Historical Pattern: Moving Logic to the Wrong Tier</w:t>
        </w:r>
        <w:r>
          <w:rPr>
            <w:noProof/>
            <w:webHidden/>
          </w:rPr>
          <w:tab/>
        </w:r>
        <w:r>
          <w:rPr>
            <w:noProof/>
            <w:webHidden/>
          </w:rPr>
          <w:fldChar w:fldCharType="begin"/>
        </w:r>
        <w:r>
          <w:rPr>
            <w:noProof/>
            <w:webHidden/>
          </w:rPr>
          <w:instrText xml:space="preserve"> PAGEREF _Toc232343229 \h </w:instrText>
        </w:r>
        <w:r>
          <w:rPr>
            <w:noProof/>
            <w:webHidden/>
          </w:rPr>
        </w:r>
        <w:r>
          <w:rPr>
            <w:noProof/>
            <w:webHidden/>
          </w:rPr>
          <w:fldChar w:fldCharType="separate"/>
        </w:r>
        <w:r>
          <w:rPr>
            <w:noProof/>
            <w:webHidden/>
          </w:rPr>
          <w:t>18</w:t>
        </w:r>
        <w:r>
          <w:rPr>
            <w:noProof/>
            <w:webHidden/>
          </w:rPr>
          <w:fldChar w:fldCharType="end"/>
        </w:r>
      </w:hyperlink>
    </w:p>
    <w:p w14:paraId="62B81066" w14:textId="099C7664"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6B2860EC" w14:textId="77777777" w:rsidR="00335A4A" w:rsidRDefault="00335A4A">
      <w:pPr>
        <w:pStyle w:val="Heading1"/>
        <w:rPr>
          <w:kern w:val="36"/>
          <w:lang w:eastAsia="en-NZ"/>
          <w14:ligatures w14:val="standardContextual"/>
        </w:rPr>
      </w:pPr>
      <w:bookmarkStart w:id="5" w:name="_Toc232343199"/>
      <w:r>
        <w:t>Context</w:t>
      </w:r>
      <w:bookmarkEnd w:id="5"/>
    </w:p>
    <w:p w14:paraId="099F01E1" w14:textId="77777777" w:rsidR="00335A4A" w:rsidRDefault="00335A4A">
      <w:pPr>
        <w:rPr>
          <w:kern w:val="2"/>
          <w:lang w:eastAsia="en-NZ"/>
          <w14:ligatures w14:val="standardContextual"/>
        </w:rPr>
      </w:pPr>
      <w:r>
        <w:t>This paper is intended to prevent repeated architectural argument within individual Solution Architecture Documents. The suitability of microservices is a cross-cutting governance matter, not a question that should be re-litigated project by project. If the organisation wishes to permit, restrict, or condition the use of microservices, that position should be established once through guidance, approved through governance, and then applied consistently in later architecture work.</w:t>
      </w:r>
    </w:p>
    <w:p w14:paraId="75895951" w14:textId="77777777" w:rsidR="00802A1E" w:rsidRDefault="00802A1E">
      <w:pPr>
        <w:rPr>
          <w:kern w:val="2"/>
          <w:lang w:eastAsia="en-NZ"/>
          <w14:ligatures w14:val="standardContextual"/>
        </w:rPr>
      </w:pPr>
      <w:r>
        <w:t>The immediate context for this paper is a delivery environment in which developers are often exposed primarily to cloud-vendor architecture material. That material can be useful, but it is designed to explain and encourage the use of vendor platforms and patterns. It is not, by itself, a sufficient authority for deciding what this organisation should approve as its default application architecture. This paper therefore sets the organisation’s governance position while drawing on recognised practitioner guidance, historical sources, published research where available, and primary case studies to support specific claims.</w:t>
      </w:r>
    </w:p>
    <w:p w14:paraId="50337F24" w14:textId="77777777" w:rsidR="00335A4A" w:rsidRDefault="00335A4A">
      <w:pPr>
        <w:rPr>
          <w:kern w:val="2"/>
          <w:lang w:eastAsia="en-NZ"/>
          <w14:ligatures w14:val="standardContextual"/>
        </w:rPr>
      </w:pPr>
      <w:r>
        <w:t>The intent is therefore practical. This paper is not written to restate fashionable architecture patterns. It is written to provide a stable decision basis for governance bodies such as TWG, so that future projects can refer to an approved position instead of treating microservice adoption as an open question in every design submission.</w:t>
      </w:r>
    </w:p>
    <w:p w14:paraId="7DA8B8D0" w14:textId="77777777" w:rsidR="00CB7D5E" w:rsidRDefault="00CB7D5E">
      <w:pPr>
        <w:rPr>
          <w:kern w:val="2"/>
          <w:lang w:eastAsia="en-NZ"/>
          <w14:ligatures w14:val="standardContextual"/>
        </w:rPr>
      </w:pPr>
      <w:r>
        <w:t>There is also a further organisational context that must be made explicit. Microservices do not stand alone. They depend on the organisation’s ability to manage integration well. Where the wider integration landscape is immature, with few stable application programming interfaces, widespread point-to-point integration, or managed point-to-point mediation used as a substitute for coherent interface strategy, microservices are unlikely to deliver their claimed reuse value. In those conditions, a service is often reusable only in theory. In practice it becomes another endpoint in a brittle estate that few teams can safely consume. The result is additional architectural complexity without the corresponding organisational benefit.</w:t>
      </w:r>
    </w:p>
    <w:p w14:paraId="6B59873F" w14:textId="77777777" w:rsidR="001D23E3" w:rsidRPr="001D23E3" w:rsidRDefault="001D23E3" w:rsidP="001D23E3">
      <w:pPr>
        <w:pStyle w:val="Heading1"/>
      </w:pPr>
      <w:bookmarkStart w:id="6" w:name="_Toc232343200"/>
      <w:r w:rsidRPr="001D23E3">
        <w:t>Background</w:t>
      </w:r>
      <w:bookmarkEnd w:id="6"/>
    </w:p>
    <w:p w14:paraId="64A67AAA" w14:textId="77777777" w:rsidR="001D23E3" w:rsidRPr="001D23E3" w:rsidRDefault="001D23E3" w:rsidP="001D23E3">
      <w:r w:rsidRPr="001D23E3">
        <w:t>Modern software has always relied on modularity. Mainframe systems, operating systems, desktop applications, mobile devices, and enterprise applications all depend on the same basic idea: large systems remain manageable only when responsibilities are separated into coherent parts. The problem is not whether software should be modular. The problem is where the boundary should be drawn, who owns it, how it is enforced, and whether crossing that boundary should require a network call, a deployment pipeline, a service contract, separate monitoring, and separate operational support.</w:t>
      </w:r>
    </w:p>
    <w:p w14:paraId="61BCB27C" w14:textId="77777777" w:rsidR="001D23E3" w:rsidRPr="00AE292B" w:rsidRDefault="001D23E3" w:rsidP="001D23E3">
      <w:pPr>
        <w:rPr>
          <w:b/>
          <w:bCs/>
        </w:rPr>
      </w:pPr>
      <w:r w:rsidRPr="001D23E3">
        <w:t xml:space="preserve">A monolith is not necessarily a failure. A monolith is a deployment shape. It becomes a failure when it lacks internal discipline, when unrelated responsibilities are tangled together, when data ownership is unclear, when the codebase has no meaningful modules, and when changes can no longer be made safely. The opposite of a poorly structured monolith is not automatically a microservice architecture. </w:t>
      </w:r>
      <w:r w:rsidRPr="00AE292B">
        <w:rPr>
          <w:b/>
          <w:bCs/>
        </w:rPr>
        <w:t>The opposite of a poorly structured monolith is a well-structured system.</w:t>
      </w:r>
    </w:p>
    <w:p w14:paraId="1F181A03" w14:textId="77777777" w:rsidR="001D23E3" w:rsidRPr="001D23E3" w:rsidRDefault="001D23E3" w:rsidP="001D23E3">
      <w:r w:rsidRPr="001D23E3">
        <w:t>That distinction is critical. A modular monolith is a single deployable system that is internally organised around clear domains, modules, interfaces, and responsibilities. It can have strong internal boundaries, disciplined dependency rules, automated testing, and well-designed data ownership. It can also be easier to operate, secure, observe, and recover than a distributed estate of small services.</w:t>
      </w:r>
    </w:p>
    <w:p w14:paraId="7AAAAC32" w14:textId="77777777" w:rsidR="001D23E3" w:rsidRPr="001D23E3" w:rsidRDefault="001D23E3" w:rsidP="001D23E3">
      <w:r w:rsidRPr="001D23E3">
        <w:t>Microservices add a further step. They take module boundaries and turn some of them into independently deployed runtime boundaries. That may be justified. However, it also means that the organisation is now accepting distributed failure, network latency, service versioning, contract management, data consistency issues, additional deployment pipelines, duplicate platform concerns, and more complicated support. These are not incidental concerns. They are the price of the pattern.</w:t>
      </w:r>
    </w:p>
    <w:p w14:paraId="5FF19399" w14:textId="77777777" w:rsidR="00CE4FBF" w:rsidRDefault="00CE4FBF">
      <w:pPr>
        <w:pStyle w:val="Heading1"/>
        <w:rPr>
          <w:kern w:val="36"/>
          <w:lang w:eastAsia="en-NZ"/>
          <w14:ligatures w14:val="standardContextual"/>
        </w:rPr>
      </w:pPr>
      <w:bookmarkStart w:id="7" w:name="_Toc232343201"/>
      <w:r>
        <w:t>The Problem Microservices Were Intended to Solve</w:t>
      </w:r>
      <w:bookmarkEnd w:id="7"/>
    </w:p>
    <w:p w14:paraId="48675438" w14:textId="77777777" w:rsidR="00BF3DB7" w:rsidRDefault="00BF3DB7">
      <w:pPr>
        <w:rPr>
          <w:kern w:val="2"/>
          <w:lang w:eastAsia="en-NZ"/>
          <w14:ligatures w14:val="standardContextual"/>
        </w:rPr>
      </w:pPr>
      <w:r>
        <w:t>Microservices did not emerge in a vacuum. They were proposed as a response to real pressures in software delivery: systems were becoming harder to change, teams were growing, release expectations were accelerating, and many organisations were struggling to preserve coherent modular structure as systems expanded. The underlying problem was not new. Software had always needed clear separation of responsibilities. What changed was the scale and speed at which poorly governed systems could now grow.</w:t>
      </w:r>
    </w:p>
    <w:p w14:paraId="65EFCE3C" w14:textId="77777777" w:rsidR="00BF3DB7" w:rsidRDefault="00BF3DB7">
      <w:pPr>
        <w:rPr>
          <w:kern w:val="2"/>
          <w:lang w:eastAsia="en-NZ"/>
          <w14:ligatures w14:val="standardContextual"/>
        </w:rPr>
      </w:pPr>
      <w:r>
        <w:t>As tools, frameworks, and libraries became easier to adopt, the barrier to building software fell. That increased delivery speed, but it also made it easier for systems to grow through mixed approaches, uneven design rigour, and accumulating local decisions. In many organisations, the result was not deliberate modularity but a growing estate of code and integrations that became harder to understand, govern, and change. Pressure for agility then became pressure to compensate for the consequences of under-structured growth.</w:t>
      </w:r>
    </w:p>
    <w:p w14:paraId="42F3E26D" w14:textId="77777777" w:rsidR="00BF3DB7" w:rsidRDefault="00BF3DB7">
      <w:pPr>
        <w:rPr>
          <w:kern w:val="2"/>
          <w:lang w:eastAsia="en-NZ"/>
          <w14:ligatures w14:val="standardContextual"/>
        </w:rPr>
      </w:pPr>
      <w:r>
        <w:t>Within that context, microservices appeared attractive because they promised independent team delivery and reusable capabilities across organisational boundaries. That was a serious response to real problems of scale and coordination. However, in many enterprise settings the proposal was broader and more expensive than the problem required. The deeper issue was often disorganised design: weak modularity, unclear ownership, inconsistent interfaces, and insufficient architectural discipline. In those cases, microservices did not resolve the core problem so much as move it into a more complex operational form.</w:t>
      </w:r>
    </w:p>
    <w:p w14:paraId="75C1A25C" w14:textId="77777777" w:rsidR="001D23E3" w:rsidRDefault="001D23E3" w:rsidP="00A92B53">
      <w:pPr>
        <w:pStyle w:val="Heading1"/>
      </w:pPr>
      <w:bookmarkStart w:id="8" w:name="_Toc232343202"/>
      <w:r w:rsidRPr="001D23E3">
        <w:t>What Microservices Are</w:t>
      </w:r>
      <w:bookmarkEnd w:id="8"/>
    </w:p>
    <w:p w14:paraId="5F3952CF" w14:textId="77777777" w:rsidR="009A1FC1" w:rsidRPr="009A1FC1" w:rsidRDefault="009A1FC1" w:rsidP="009A1FC1">
      <w:pPr>
        <w:pStyle w:val="BodyText"/>
      </w:pPr>
    </w:p>
    <w:p w14:paraId="207E87FA" w14:textId="77777777" w:rsidR="001D23E3" w:rsidRPr="001D23E3" w:rsidRDefault="001D23E3" w:rsidP="001D23E3">
      <w:r w:rsidRPr="001D23E3">
        <w:t>Microservices are an architectural and operating pattern in which a system is composed from small, independently deployable services. Each service is intended to own a coherent business capability, run in its own process, communicate through lightweight mechanisms such as HTTP APIs or messaging, and be deployed independently through automated delivery pipelines.</w:t>
      </w:r>
    </w:p>
    <w:p w14:paraId="313352AB" w14:textId="77777777" w:rsidR="001D23E3" w:rsidRPr="001D23E3" w:rsidRDefault="001D23E3" w:rsidP="001D23E3">
      <w:r w:rsidRPr="001D23E3">
        <w:t>The strongest case for microservices arises where different parts of a system genuinely need different release cycles, different scaling profiles, different failure isolation, different technology stacks, or different long-lived product ownership. In such circumstances, the cost of distribution may be justified by the value of independence.</w:t>
      </w:r>
    </w:p>
    <w:p w14:paraId="18F74397" w14:textId="77777777" w:rsidR="001D23E3" w:rsidRPr="001D23E3" w:rsidRDefault="001D23E3" w:rsidP="001D23E3">
      <w:r w:rsidRPr="001D23E3">
        <w:t>Microservices can also support large organisations where multiple teams need to work on different business capabilities without constantly blocking one another. However, this benefit depends on the service boundaries being correct enough to reduce coordination rather than merely relocate it. Poorly chosen services do not remove coordination. They turn coordination into service calls, queues, data reconciliation, duplicated models, and incident management.</w:t>
      </w:r>
    </w:p>
    <w:p w14:paraId="60E8A6AF" w14:textId="77777777" w:rsidR="001D23E3" w:rsidRDefault="001D23E3" w:rsidP="00A92B53">
      <w:pPr>
        <w:pStyle w:val="Heading1"/>
      </w:pPr>
      <w:bookmarkStart w:id="9" w:name="_Toc232343203"/>
      <w:r w:rsidRPr="001D23E3">
        <w:t>What Microservices Are Not</w:t>
      </w:r>
      <w:bookmarkEnd w:id="9"/>
    </w:p>
    <w:p w14:paraId="74F4E7A4" w14:textId="77777777" w:rsidR="00F171C0" w:rsidRDefault="00F171C0" w:rsidP="00F171C0">
      <w:pPr>
        <w:pStyle w:val="BodyText"/>
        <w:keepNext/>
        <w:jc w:val="center"/>
      </w:pPr>
      <w:r>
        <w:rPr>
          <w:noProof/>
        </w:rPr>
        <w:drawing>
          <wp:inline distT="0" distB="0" distL="0" distR="0" wp14:anchorId="18602090" wp14:editId="774380D0">
            <wp:extent cx="3286125" cy="2366010"/>
            <wp:effectExtent l="0" t="0" r="9525" b="0"/>
            <wp:docPr id="439500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2874" cy="2370869"/>
                    </a:xfrm>
                    <a:prstGeom prst="rect">
                      <a:avLst/>
                    </a:prstGeom>
                    <a:noFill/>
                    <a:ln>
                      <a:noFill/>
                    </a:ln>
                  </pic:spPr>
                </pic:pic>
              </a:graphicData>
            </a:graphic>
          </wp:inline>
        </w:drawing>
      </w:r>
    </w:p>
    <w:p w14:paraId="1B36CD91" w14:textId="00D1E5F3" w:rsidR="0039078D" w:rsidRPr="0039078D" w:rsidRDefault="00F171C0" w:rsidP="00F171C0">
      <w:pPr>
        <w:pStyle w:val="Caption"/>
        <w:jc w:val="center"/>
      </w:pPr>
      <w:bookmarkStart w:id="10" w:name="_Toc232344458"/>
      <w:r>
        <w:t xml:space="preserve">Figure </w:t>
      </w:r>
      <w:r>
        <w:fldChar w:fldCharType="begin"/>
      </w:r>
      <w:r>
        <w:instrText xml:space="preserve"> SEQ Figure \* ARABIC </w:instrText>
      </w:r>
      <w:r>
        <w:fldChar w:fldCharType="separate"/>
      </w:r>
      <w:r>
        <w:rPr>
          <w:noProof/>
        </w:rPr>
        <w:t>1</w:t>
      </w:r>
      <w:r>
        <w:fldChar w:fldCharType="end"/>
      </w:r>
      <w:r>
        <w:t>: Monolithic versus Microservices</w:t>
      </w:r>
      <w:bookmarkEnd w:id="10"/>
    </w:p>
    <w:p w14:paraId="584F7591" w14:textId="77777777" w:rsidR="001D23E3" w:rsidRPr="001D23E3" w:rsidRDefault="001D23E3" w:rsidP="001D23E3">
      <w:r w:rsidRPr="001D23E3">
        <w:t>Microservices are not a remedy for poor analysis. If the organisation does not understand its business capabilities, information flows, ownership boundaries, state transitions, and operational responsibilities, it is unlikely to produce good microservice boundaries.</w:t>
      </w:r>
    </w:p>
    <w:p w14:paraId="628E65C2" w14:textId="77777777" w:rsidR="0072750C" w:rsidRDefault="0072750C">
      <w:pPr>
        <w:rPr>
          <w:kern w:val="2"/>
          <w:lang w:eastAsia="en-NZ"/>
          <w14:ligatures w14:val="standardContextual"/>
        </w:rPr>
      </w:pPr>
      <w:r>
        <w:t xml:space="preserve">Microservices are not a remedy for poor coding discipline. A poorly structured codebase can become a poorly structured service estate. Brian Foote and Joseph Yoder described this condition as a </w:t>
      </w:r>
      <w:r>
        <w:rPr>
          <w:i/>
          <w:iCs/>
        </w:rPr>
        <w:t>“Big Ball of Mud”</w:t>
      </w:r>
      <w:r>
        <w:t>: a system with weak internal structure, accidental dependencies, and ad hoc growth. Microservices do not cure that condition. They can distribute it. [Foote and Yoder, 1997]</w:t>
      </w:r>
    </w:p>
    <w:p w14:paraId="67268FB0" w14:textId="77777777" w:rsidR="001D23E3" w:rsidRPr="001D23E3" w:rsidRDefault="001D23E3" w:rsidP="001D23E3">
      <w:r w:rsidRPr="001D23E3">
        <w:t>Microservices are not a remedy for weak delivery practice. Independent deployment only helps when deployment is automated, tested, observable, and reversible. Without those disciplines, microservices multiply release risk.</w:t>
      </w:r>
    </w:p>
    <w:p w14:paraId="4D63395D" w14:textId="77777777" w:rsidR="001D23E3" w:rsidRPr="001D23E3" w:rsidRDefault="001D23E3" w:rsidP="001D23E3">
      <w:r w:rsidRPr="001D23E3">
        <w:t>Microservices are not a remedy for unclear ownership. A service that no team truly owns becomes another orphaned asset. A service owned by a team without authority over its data, contracts, dependencies, and support obligations becomes a coordination burden.</w:t>
      </w:r>
    </w:p>
    <w:p w14:paraId="729C8A3C" w14:textId="77777777" w:rsidR="001D23E3" w:rsidRPr="001D23E3" w:rsidRDefault="001D23E3" w:rsidP="001D23E3">
      <w:r w:rsidRPr="001D23E3">
        <w:t>Microservices are not inherently cheaper. They may reduce cost for specific scaling patterns, especially where one high-demand capability can be scaled independently. However, they also increase the cost of infrastructure, deployment, monitoring, security, integration, testing, incident response, and specialist capability.</w:t>
      </w:r>
    </w:p>
    <w:p w14:paraId="12F77B86" w14:textId="77777777" w:rsidR="009A3E2C" w:rsidRPr="001D23E3" w:rsidRDefault="009A3E2C" w:rsidP="009A3E2C">
      <w:pPr>
        <w:pStyle w:val="Heading1"/>
      </w:pPr>
      <w:bookmarkStart w:id="11" w:name="_Toc232343204"/>
      <w:r w:rsidRPr="001D23E3">
        <w:t>The Cost Model</w:t>
      </w:r>
      <w:bookmarkEnd w:id="11"/>
    </w:p>
    <w:p w14:paraId="3B4A756F" w14:textId="77777777" w:rsidR="009A3E2C" w:rsidRPr="001D23E3" w:rsidRDefault="009A3E2C" w:rsidP="009A3E2C">
      <w:r w:rsidRPr="001D23E3">
        <w:t>The cost of microservices is not primarily the cost of writing small services. The cost is the operating model required to make independently deployed services safe and useful.</w:t>
      </w:r>
    </w:p>
    <w:p w14:paraId="3287EE2E" w14:textId="77777777" w:rsidR="009A3E2C" w:rsidRPr="001D23E3" w:rsidRDefault="009A3E2C" w:rsidP="009A3E2C">
      <w:r w:rsidRPr="001D23E3">
        <w:t>Each service needs a clear contract, a deployment path, health checks, logging, monitoring, alerting, security configuration, configuration management, secrets management, versioning, backup or recovery arrangements where data is owned, and support ownership. Each service also introduces potential latency, partial failure, inconsistent data, retry behaviour, idempotency concerns, and diagnostic complexity.</w:t>
      </w:r>
    </w:p>
    <w:p w14:paraId="23C91FCC" w14:textId="77777777" w:rsidR="009A3E2C" w:rsidRPr="001D23E3" w:rsidRDefault="009A3E2C" w:rsidP="009A3E2C">
      <w:r w:rsidRPr="001D23E3">
        <w:t>Some costs are duplicated. Authentication, authorisation, diagnostics, configuration, storage access, caching, validation, error handling, logging, tracing, and operational dashboards may need to be repeated or standardised across services. Standardisation reduces variation, but it also requires platform engineering capability. Without that capability, each team tends to solve common problems differently. This increases maintenance cost and makes support harder over time.</w:t>
      </w:r>
    </w:p>
    <w:p w14:paraId="75D59AB7" w14:textId="77777777" w:rsidR="009A3E2C" w:rsidRPr="001D23E3" w:rsidRDefault="009A3E2C" w:rsidP="009A3E2C">
      <w:r w:rsidRPr="001D23E3">
        <w:t>Some costs are delayed. A new service may appear cheap when it is first created. The cost emerges later, when it must be upgraded, patched, monitored, secured, migrated, documented, tested against changed dependencies, or supported during an incident. A system with many services also needs people who understand not just each service, but the behaviour of the whole distributed estate.</w:t>
      </w:r>
    </w:p>
    <w:p w14:paraId="1E9D54DF" w14:textId="77777777" w:rsidR="009A3E2C" w:rsidRPr="001D23E3" w:rsidRDefault="009A3E2C" w:rsidP="009A3E2C">
      <w:r w:rsidRPr="001D23E3">
        <w:t>The organisation should therefore distinguish between build cost and service-life cost. A pattern that appears fast during initial development may be expensive over the longer service lifespan if it increases infrastructure, coordination, integration, security, support, and recovery obligations.</w:t>
      </w:r>
    </w:p>
    <w:p w14:paraId="14CDA231" w14:textId="77777777" w:rsidR="009A3E2C" w:rsidRDefault="009A3E2C" w:rsidP="009A3E2C">
      <w:pPr>
        <w:rPr>
          <w:kern w:val="2"/>
          <w:lang w:eastAsia="en-NZ"/>
          <w14:ligatures w14:val="standardContextual"/>
        </w:rPr>
      </w:pPr>
      <w:r>
        <w:t>This cost is higher again where enterprise integration practices are weak. A microservice architecture presumes that interfaces are deliberately designed, governed, versioned, discoverable, secured, and supportable across teams. Where the organisation instead has only a small number of stable application programming interfaces, relies heavily on direct point-to-point connections, or uses managed mediation platforms to coordinate many otherwise tightly coupled integrations, the supposed reuse value of microservices is usually overstated. Reuse that cannot be safely discovered, understood, adopted, and supported by other teams is not meaningful reuse. It is complexity purchased in advance of the capability needed to benefit from it.</w:t>
      </w:r>
    </w:p>
    <w:p w14:paraId="1EC367E0" w14:textId="77777777" w:rsidR="006A077C" w:rsidRDefault="006A077C">
      <w:pPr>
        <w:pStyle w:val="Heading1"/>
        <w:rPr>
          <w:kern w:val="36"/>
          <w:lang w:eastAsia="en-NZ"/>
          <w14:ligatures w14:val="standardContextual"/>
        </w:rPr>
      </w:pPr>
      <w:bookmarkStart w:id="12" w:name="_Toc232343205"/>
      <w:r>
        <w:t>The Decision Problem</w:t>
      </w:r>
      <w:bookmarkEnd w:id="12"/>
    </w:p>
    <w:p w14:paraId="1F73B58C" w14:textId="77777777" w:rsidR="006A077C" w:rsidRDefault="006A077C">
      <w:pPr>
        <w:rPr>
          <w:kern w:val="2"/>
          <w:lang w:eastAsia="en-NZ"/>
          <w14:ligatures w14:val="standardContextual"/>
        </w:rPr>
      </w:pPr>
      <w:r>
        <w:t>The architectural decision should not be framed as a simplistic choice between monolith and microservices. That framing is inadequate for governance purposes because it encourages a false contrast between something presumed dated and something presumed modern, when the real concern is whether the system has been designed with coherent boundaries, clear ownership, and an operating model the organisation can sustain.</w:t>
      </w:r>
    </w:p>
    <w:p w14:paraId="324AE27B" w14:textId="77777777" w:rsidR="006A077C" w:rsidRDefault="006A077C">
      <w:pPr>
        <w:rPr>
          <w:kern w:val="2"/>
          <w:lang w:eastAsia="en-NZ"/>
          <w14:ligatures w14:val="standardContextual"/>
        </w:rPr>
      </w:pPr>
      <w:r>
        <w:t>The more valuable decision is whether the system should be one deployable application with strong internal modularity, or whether some parts of the system genuinely need to become independently deployed services.</w:t>
      </w:r>
    </w:p>
    <w:p w14:paraId="4557BEB5" w14:textId="77777777" w:rsidR="006A077C" w:rsidRDefault="006A077C">
      <w:pPr>
        <w:rPr>
          <w:kern w:val="2"/>
          <w:lang w:eastAsia="en-NZ"/>
          <w14:ligatures w14:val="standardContextual"/>
        </w:rPr>
      </w:pPr>
      <w:r>
        <w:t>This matters because service boundaries are expensive to develop and operate. A boundary inside one deployable application can often be adjusted, tightened, refactored, or restructured with comparatively low operational cost. A boundary between independently deployed services is harder to change. It must be governed through contracts, versioning, messaging, monitoring, deployment sequencing, support ownership, and incident response.</w:t>
      </w:r>
    </w:p>
    <w:p w14:paraId="7778DF41" w14:textId="77777777" w:rsidR="006A077C" w:rsidRDefault="006A077C">
      <w:pPr>
        <w:rPr>
          <w:kern w:val="2"/>
          <w:lang w:eastAsia="en-NZ"/>
          <w14:ligatures w14:val="standardContextual"/>
        </w:rPr>
      </w:pPr>
      <w:r>
        <w:t>For this reason, the burden of proof should sit with the proposed separation. Keeping related logic together is not architectural cowardice. It is often the responsible starting point. Separation should be approved when it solves a demonstrated problem that cannot be adequately solved through modularity inside a single deployable system.</w:t>
      </w:r>
    </w:p>
    <w:p w14:paraId="11310217" w14:textId="77777777" w:rsidR="00145E75" w:rsidRDefault="00145E75" w:rsidP="00145E75">
      <w:pPr>
        <w:pStyle w:val="Heading1"/>
        <w:rPr>
          <w:kern w:val="36"/>
          <w:lang w:eastAsia="en-NZ"/>
          <w14:ligatures w14:val="standardContextual"/>
        </w:rPr>
      </w:pPr>
      <w:bookmarkStart w:id="13" w:name="_Toc232343206"/>
      <w:r>
        <w:t>Industry Guidance</w:t>
      </w:r>
      <w:bookmarkEnd w:id="13"/>
    </w:p>
    <w:p w14:paraId="0FD732F0" w14:textId="77777777" w:rsidR="006D65A5" w:rsidRDefault="006D65A5" w:rsidP="00A81717">
      <w:pPr>
        <w:pStyle w:val="Heading2"/>
        <w:rPr>
          <w:kern w:val="2"/>
          <w:lang w:eastAsia="en-NZ"/>
          <w14:ligatures w14:val="standardContextual"/>
        </w:rPr>
      </w:pPr>
      <w:bookmarkStart w:id="14" w:name="_Toc232343207"/>
      <w:r>
        <w:t>Recognised practitioners</w:t>
      </w:r>
      <w:bookmarkEnd w:id="14"/>
    </w:p>
    <w:p w14:paraId="6FA2BB40" w14:textId="77777777" w:rsidR="006A077C" w:rsidRDefault="006A077C">
      <w:pPr>
        <w:rPr>
          <w:kern w:val="2"/>
          <w:lang w:eastAsia="en-NZ"/>
          <w14:ligatures w14:val="standardContextual"/>
        </w:rPr>
      </w:pPr>
      <w:r>
        <w:t xml:space="preserve">Martin Fowler is relevant here because he is both a major enterprise software author, known especially for </w:t>
      </w:r>
      <w:r>
        <w:rPr>
          <w:i/>
          <w:iCs/>
        </w:rPr>
        <w:t>Patterns of Enterprise Application Architecture</w:t>
      </w:r>
      <w:r>
        <w:t xml:space="preserve"> and </w:t>
      </w:r>
      <w:r>
        <w:rPr>
          <w:i/>
          <w:iCs/>
        </w:rPr>
        <w:t>Refactoring</w:t>
      </w:r>
      <w:r>
        <w:t>, and one of the earliest widely cited writers to define and popularise microservices. His views therefore matter not as borrowed authority for this paper, but as recognised practitioner guidance from someone closely associated with the pattern itself.</w:t>
      </w:r>
    </w:p>
    <w:p w14:paraId="152EF9C0" w14:textId="77777777" w:rsidR="0072750C" w:rsidRDefault="0072750C">
      <w:pPr>
        <w:rPr>
          <w:kern w:val="2"/>
          <w:lang w:eastAsia="en-NZ"/>
          <w14:ligatures w14:val="standardContextual"/>
        </w:rPr>
      </w:pPr>
      <w:r>
        <w:t xml:space="preserve">Fowler is especially relevant because he is not an opponent of microservices. He helped popularise the term through the widely cited article written with James Lewis. Their definition remains useful because it is descriptive rather than slogan-driven: </w:t>
      </w:r>
      <w:r>
        <w:rPr>
          <w:i/>
          <w:iCs/>
        </w:rPr>
        <w:t>“the microservice architectural style is an approach to developing a single application as a suite of small services, each running in its own process and communicating with lightweight mechanisms”</w:t>
      </w:r>
      <w:r>
        <w:t xml:space="preserve">. The same definition also states that these services are </w:t>
      </w:r>
      <w:r>
        <w:rPr>
          <w:i/>
          <w:iCs/>
        </w:rPr>
        <w:t>“built around business capabilities and independently deployable by fully automated deployment machinery”</w:t>
      </w:r>
      <w:r>
        <w:t>. This is important because it shows that microservices are not merely small code units. They assume business-aligned boundaries and strong delivery automation. [Lewis and Fowler, 2014]</w:t>
      </w:r>
    </w:p>
    <w:p w14:paraId="6B8975D8" w14:textId="77777777" w:rsidR="006A077C" w:rsidRDefault="006A077C">
      <w:pPr>
        <w:rPr>
          <w:kern w:val="2"/>
          <w:lang w:eastAsia="en-NZ"/>
          <w14:ligatures w14:val="standardContextual"/>
        </w:rPr>
      </w:pPr>
      <w:r>
        <w:t>That matters because Fowler’s cautions cannot easily be dismissed as resistance to microservices. His position is more precise. Microservices have value, but they come with a premium. They should not be the default starting point for most systems.</w:t>
      </w:r>
    </w:p>
    <w:p w14:paraId="533CEEEC" w14:textId="77777777" w:rsidR="0072750C" w:rsidRDefault="0072750C">
      <w:pPr>
        <w:rPr>
          <w:kern w:val="2"/>
          <w:lang w:eastAsia="en-NZ"/>
          <w14:ligatures w14:val="standardContextual"/>
        </w:rPr>
      </w:pPr>
      <w:r>
        <w:t xml:space="preserve">In </w:t>
      </w:r>
      <w:r>
        <w:rPr>
          <w:i/>
          <w:iCs/>
        </w:rPr>
        <w:t>Microservice Premium</w:t>
      </w:r>
      <w:r>
        <w:t xml:space="preserve">, Fowler makes the caution explicit: </w:t>
      </w:r>
      <w:r>
        <w:rPr>
          <w:i/>
          <w:iCs/>
        </w:rPr>
        <w:t>“don’t even consider microservices unless you have a system that’s too complex to manage as a monolith”</w:t>
      </w:r>
      <w:r>
        <w:t xml:space="preserve">. He then states the position even more directly: </w:t>
      </w:r>
      <w:r>
        <w:rPr>
          <w:i/>
          <w:iCs/>
        </w:rPr>
        <w:t>“The majority of software systems should be built as a single monolithic application.”</w:t>
      </w:r>
      <w:r>
        <w:t xml:space="preserve"> That is not an anti-modern position. It is a statement that the cost of distribution is real and should only be accepted where complexity genuinely demands it. [Fowler, 2015a]</w:t>
      </w:r>
    </w:p>
    <w:p w14:paraId="2027AD97" w14:textId="77777777" w:rsidR="0072750C" w:rsidRDefault="0072750C">
      <w:pPr>
        <w:rPr>
          <w:kern w:val="2"/>
          <w:lang w:eastAsia="en-NZ"/>
          <w14:ligatures w14:val="standardContextual"/>
        </w:rPr>
      </w:pPr>
      <w:r>
        <w:t xml:space="preserve">In </w:t>
      </w:r>
      <w:r>
        <w:rPr>
          <w:i/>
          <w:iCs/>
        </w:rPr>
        <w:t>Monolith First</w:t>
      </w:r>
      <w:r>
        <w:t xml:space="preserve">, Fowler argues that teams usually discover service boundaries properly only after they have learned more about the domain. He notes that </w:t>
      </w:r>
      <w:r>
        <w:rPr>
          <w:i/>
          <w:iCs/>
        </w:rPr>
        <w:t>“Almost all the successful microservice stories have started with a monolith that got too big and was broken up”</w:t>
      </w:r>
      <w:r>
        <w:t>, while many systems built as microservices from the outset ended up in serious trouble. He also argues that a monolith-first approach allows the team to determine better boundaries before distribution adds friction, and to develop the operational capabilities that microservices require. [Fowler, 2015b]</w:t>
      </w:r>
    </w:p>
    <w:p w14:paraId="48FA05A2" w14:textId="77777777" w:rsidR="0072750C" w:rsidRDefault="0072750C">
      <w:pPr>
        <w:rPr>
          <w:kern w:val="2"/>
          <w:lang w:eastAsia="en-NZ"/>
          <w14:ligatures w14:val="standardContextual"/>
        </w:rPr>
      </w:pPr>
      <w:r>
        <w:t xml:space="preserve">In </w:t>
      </w:r>
      <w:r>
        <w:rPr>
          <w:i/>
          <w:iCs/>
        </w:rPr>
        <w:t>Microservice Prerequisites</w:t>
      </w:r>
      <w:r>
        <w:t xml:space="preserve">, Fowler warns that the pattern assumes operational competence that many organisations do not yet have. He states plainly that </w:t>
      </w:r>
      <w:r>
        <w:rPr>
          <w:i/>
          <w:iCs/>
        </w:rPr>
        <w:t>“if you don't have certain baseline competencies, you shouldn't consider using the microservice style”</w:t>
      </w:r>
      <w:r>
        <w:t>. He then identifies capabilities such as rapid provisioning, basic monitoring, rapid application deployment, and close collaboration between development and operations. This reinforces a key governance point: microservices are not simply a decomposition choice. They are an operating-model commitment. [Fowler, 2014]</w:t>
      </w:r>
    </w:p>
    <w:p w14:paraId="3EEC0108" w14:textId="77777777" w:rsidR="006A077C" w:rsidRDefault="006A077C">
      <w:pPr>
        <w:rPr>
          <w:kern w:val="2"/>
          <w:lang w:eastAsia="en-NZ"/>
          <w14:ligatures w14:val="standardContextual"/>
        </w:rPr>
      </w:pPr>
      <w:r>
        <w:t>The practical implication is simple. If an organisation cannot create a well-structured modular monolith, it should not assume that microservices will create structure for it. Distribution does not create understanding. Network boundaries do not create good analysis. Separate repositories do not create coherent domain ownership. Separate deployment pipelines do not create a well-designed system.</w:t>
      </w:r>
    </w:p>
    <w:p w14:paraId="31855696" w14:textId="77777777" w:rsidR="006A077C" w:rsidRDefault="006A077C">
      <w:pPr>
        <w:rPr>
          <w:kern w:val="2"/>
          <w:lang w:eastAsia="en-NZ"/>
          <w14:ligatures w14:val="standardContextual"/>
        </w:rPr>
      </w:pPr>
      <w:r>
        <w:t>This can be expressed as a useful rule for project governance: if the proposed service boundary cannot be explained clearly as a module boundary within a modular monolith, it is not yet ready to become a microservice boundary.</w:t>
      </w:r>
    </w:p>
    <w:p w14:paraId="37AD89E3" w14:textId="77777777" w:rsidR="00CD4C2C" w:rsidRDefault="00CD4C2C" w:rsidP="00A81717">
      <w:pPr>
        <w:pStyle w:val="Heading2"/>
        <w:rPr>
          <w:kern w:val="2"/>
          <w:lang w:eastAsia="en-NZ"/>
          <w14:ligatures w14:val="standardContextual"/>
        </w:rPr>
      </w:pPr>
      <w:bookmarkStart w:id="15" w:name="_Toc232343208"/>
      <w:r>
        <w:t>Vendor documentation</w:t>
      </w:r>
      <w:bookmarkEnd w:id="15"/>
    </w:p>
    <w:p w14:paraId="178FA508" w14:textId="77777777" w:rsidR="00CD4C2C" w:rsidRDefault="00CD4C2C" w:rsidP="00CD4C2C">
      <w:pPr>
        <w:rPr>
          <w:kern w:val="2"/>
          <w:lang w:eastAsia="en-NZ"/>
          <w14:ligatures w14:val="standardContextual"/>
        </w:rPr>
      </w:pPr>
      <w:r>
        <w:t xml:space="preserve">While vendor documentation is not specific to microservices, it is directly relevant to this paper because proposals for microservices are often justified by reference to cloud-platform patterns, reference architectures, and vendor examples. The organisation therefore needs a clear position on how such material should be used in architecture decisions. </w:t>
      </w:r>
      <w:proofErr w:type="gramStart"/>
      <w:r>
        <w:t>A brief summary</w:t>
      </w:r>
      <w:proofErr w:type="gramEnd"/>
      <w:r>
        <w:t xml:space="preserve"> is sufficient here, even though the topic is broader than this paper and could justify its own guidance note. Within this section, the distinction is between architecture judgement and platform promotion. Vendor material from organisations such as Microsoft and AWS has a legitimate place in architecture work, but that place must be understood correctly. It is useful for learning how a platform works, what services exist, how components are expected to interact on that platform, what constraints apply, and what patterns the vendor is prepared to support. It is not, by itself, sufficient evidence that those patterns are the best architectural choice for every organisation or every problem.</w:t>
      </w:r>
    </w:p>
    <w:p w14:paraId="7CBAD608" w14:textId="77777777" w:rsidR="00CD4C2C" w:rsidRDefault="00CD4C2C" w:rsidP="00CD4C2C">
      <w:pPr>
        <w:rPr>
          <w:kern w:val="2"/>
          <w:lang w:eastAsia="en-NZ"/>
          <w14:ligatures w14:val="standardContextual"/>
        </w:rPr>
      </w:pPr>
      <w:r>
        <w:t>This is not a criticism of vendors for doing something improper. It is simply a recognition of purpose. Vendor documentation is written to explain, encourage, and normalise the use of the vendor’s own capabilities. It necessarily illustrates what can be done with that platform. It does not carry a duty to optimise for another organisation’s long-term maintainability, organisational capability, procurement constraints, sovereign control, or exit planning. Those responsibilities remain with the organisation making the design decision.</w:t>
      </w:r>
    </w:p>
    <w:p w14:paraId="26B1DE9A" w14:textId="77777777" w:rsidR="00CD4C2C" w:rsidRDefault="00CD4C2C" w:rsidP="00CD4C2C">
      <w:pPr>
        <w:rPr>
          <w:kern w:val="2"/>
          <w:lang w:eastAsia="en-NZ"/>
          <w14:ligatures w14:val="standardContextual"/>
        </w:rPr>
      </w:pPr>
      <w:r>
        <w:t>For that reason, vendor patterns should be treated as platform-specific implementation guidance, not as universal architecture doctrine. They may be entirely appropriate when the organisation has already decided that the operating model, maturity, and dependency profile are acceptable. They are not a substitute for deciding whether that operating model is appropriate in the first place. In governance terms, vendor documentation can help explain how to implement a chosen approach, but it should not be taken as sufficient proof that the approach ought to be chosen.</w:t>
      </w:r>
    </w:p>
    <w:p w14:paraId="10B590CA" w14:textId="77777777" w:rsidR="00CD4C2C" w:rsidRDefault="00CD4C2C" w:rsidP="00CD4C2C">
      <w:pPr>
        <w:rPr>
          <w:kern w:val="2"/>
          <w:lang w:eastAsia="en-NZ"/>
          <w14:ligatures w14:val="standardContextual"/>
        </w:rPr>
      </w:pPr>
      <w:r>
        <w:t>This distinction matters because architecture decisions are often justified with reference to what a platform makes easy rather than what the organisation genuinely needs. Ease of implementation can be relevant, but it is not the same as strategic suitability. A pattern that is efficient for a vendor-hosted digital platform with large autonomous engineering teams may be unsuitable for a centrally governed enterprise system maintained by a small long-lived support team. A sound decision process must therefore separate platform convenience from architecture necessity.</w:t>
      </w:r>
    </w:p>
    <w:p w14:paraId="541E9741" w14:textId="77777777" w:rsidR="0072750C" w:rsidRDefault="0072750C">
      <w:pPr>
        <w:rPr>
          <w:kern w:val="2"/>
          <w:lang w:eastAsia="en-NZ"/>
          <w14:ligatures w14:val="standardContextual"/>
        </w:rPr>
      </w:pPr>
      <w:bookmarkStart w:id="16" w:name="_Toc232343209"/>
      <w:r>
        <w:t>The lesson is not that a platform tier is inherently bad. The lesson is that moving logic into a different tier does not make it better logic. Application responsibility should sit where it can be most clearly understood, tested, governed, secured, changed, and operated. Microservices should therefore be treated as one possible deployment and operating model, not as a substitute for design.</w:t>
      </w:r>
    </w:p>
    <w:p w14:paraId="3D5EBDE3" w14:textId="77777777" w:rsidR="001D23E3" w:rsidRPr="001D23E3" w:rsidRDefault="001D23E3" w:rsidP="00B95078">
      <w:pPr>
        <w:pStyle w:val="Heading1"/>
      </w:pPr>
      <w:r w:rsidRPr="001D23E3">
        <w:t>Evidence Base: Consolidation, Not Abandonment</w:t>
      </w:r>
      <w:bookmarkEnd w:id="16"/>
    </w:p>
    <w:p w14:paraId="76A78CC5" w14:textId="77777777" w:rsidR="001D23E3" w:rsidRPr="001D23E3" w:rsidRDefault="001D23E3" w:rsidP="001D23E3">
      <w:r w:rsidRPr="001D23E3">
        <w:t>The current evidence does not support the simplistic claim that microservices are dead. It supports a more useful conclusion: many organisations are correcting from over-distribution towards selective consolidation, coarser service boundaries, and modular monoliths.</w:t>
      </w:r>
    </w:p>
    <w:p w14:paraId="3E6984A4" w14:textId="77777777" w:rsidR="0072750C" w:rsidRDefault="0072750C">
      <w:pPr>
        <w:rPr>
          <w:kern w:val="2"/>
          <w:lang w:eastAsia="en-NZ"/>
          <w14:ligatures w14:val="standardContextual"/>
        </w:rPr>
      </w:pPr>
      <w:r>
        <w:t xml:space="preserve">Recent industry reporting, including </w:t>
      </w:r>
      <w:proofErr w:type="spellStart"/>
      <w:r>
        <w:t>SoftwareSeni’s</w:t>
      </w:r>
      <w:proofErr w:type="spellEnd"/>
      <w:r>
        <w:t xml:space="preserve"> “The Great Microservices Consolidation”, states that the CNCF 2025 Annual Survey found that 42% of organisations that adopted microservices are consolidating services back into larger deployable units. The article presents this as selective correction rather than abandonment: some organisations are merging tightly coupled services, some are consolidating groups of services, and some are moving parts of their estates back towards monoliths or modular monoliths. [CNCF, 2025]</w:t>
      </w:r>
    </w:p>
    <w:p w14:paraId="19889136" w14:textId="77777777" w:rsidR="001D23E3" w:rsidRPr="001D23E3" w:rsidRDefault="001D23E3" w:rsidP="001D23E3">
      <w:r w:rsidRPr="001D23E3">
        <w:t>The same report states that cloud-native adoption remains high, with Kubernetes and containers still widely used in production. This is important because it prevents the wrong conclusion. The shift is not away from cloud-native architecture as such. The shift is away from treating very small independently deployed services as the default unit of design.</w:t>
      </w:r>
    </w:p>
    <w:p w14:paraId="7433A120" w14:textId="77777777" w:rsidR="0072750C" w:rsidRDefault="0072750C">
      <w:pPr>
        <w:rPr>
          <w:kern w:val="2"/>
          <w:lang w:eastAsia="en-NZ"/>
          <w14:ligatures w14:val="standardContextual"/>
        </w:rPr>
      </w:pPr>
      <w:r>
        <w:t xml:space="preserve">The directly available CNCF and </w:t>
      </w:r>
      <w:proofErr w:type="spellStart"/>
      <w:r>
        <w:t>SlashData</w:t>
      </w:r>
      <w:proofErr w:type="spellEnd"/>
      <w:r>
        <w:t xml:space="preserve"> material also supports the broader direction. The 2025 State of Cloud Native Development report states that service mesh adoption among backend developers declined from a peak of 18% in Q3 2023 to 8% in Q3 2025. The report suggests possible explanations including organisational reconsideration of cloud deployment approaches, CPU demands associated with service meshes, the integration of service-mesh capabilities into other tools, and the movement of service-mesh responsibility to platform teams. [CNCF and </w:t>
      </w:r>
      <w:proofErr w:type="spellStart"/>
      <w:r>
        <w:t>SlashData</w:t>
      </w:r>
      <w:proofErr w:type="spellEnd"/>
      <w:r>
        <w:t>, 2025]</w:t>
      </w:r>
    </w:p>
    <w:p w14:paraId="2FB0664F" w14:textId="77777777" w:rsidR="0072750C" w:rsidRDefault="0072750C">
      <w:pPr>
        <w:rPr>
          <w:kern w:val="2"/>
          <w:lang w:eastAsia="en-NZ"/>
          <w14:ligatures w14:val="standardContextual"/>
        </w:rPr>
      </w:pPr>
      <w:r>
        <w:t>Academic and multivocal research points in the same direction. The 2024 paper “From Microservice to Monolith: A Multivocal Literature Review” found four documented cases of switching back from microservice to monolith: Istio control plane, Amazon Prime Video monitoring service, Segment, and InVision. It identified five main reasons for switching back: cost, complexity, scalability, performance, and organisation. It also identified six practical activities involved in switching back: stopping the creation of more services, consolidating and testing paths, unifying data storage, implementing message bus principles, reducing unnecessary technology diversity, and learning to use modular design principles. [Su, Li and Taibi, 2024]</w:t>
      </w:r>
    </w:p>
    <w:p w14:paraId="1B76DDF1" w14:textId="77777777" w:rsidR="0072750C" w:rsidRDefault="0072750C">
      <w:pPr>
        <w:rPr>
          <w:kern w:val="2"/>
          <w:lang w:eastAsia="en-NZ"/>
          <w14:ligatures w14:val="standardContextual"/>
        </w:rPr>
      </w:pPr>
      <w:r>
        <w:t>O’Reilly’s survey material provides a useful balancing point. It shows that many organisations reported at least partial success with microservices, especially where teams owned the full build-test-deploy-maintain lifecycle. However, the same survey analysis also shows that a substantial minority had only modest or mixed success, and that success was strongly associated with engineering maturity, containers, lifecycle ownership, and culture. This supports the central position of this paper: microservices are not a shortcut around maturity; they depend on it. [O’Reilly survey analysis]</w:t>
      </w:r>
    </w:p>
    <w:p w14:paraId="1FA4D8C3" w14:textId="77777777" w:rsidR="0072750C" w:rsidRDefault="0072750C">
      <w:pPr>
        <w:rPr>
          <w:kern w:val="2"/>
          <w:lang w:eastAsia="en-NZ"/>
          <w14:ligatures w14:val="standardContextual"/>
        </w:rPr>
      </w:pPr>
      <w:r>
        <w:t>The enterprise case studies are particularly important because they show that rollback is not merely theoretical. Amazon Prime Video’s 2023 engineering case study reported that moving its audio/video monitoring service from a distributed serverless design to a more consolidated monolithic design reduced infrastructure cost by over 90%. Segment publicly described moving from more than 140 microservices back towards a monolith because the microservice estate had damaged developer productivity and made coordinated changes across repositories difficult. Istio and InVision are also cited in the multivocal literature as cases where fine-grained service structures were reconsidered because the operational and organisational cost outweighed the benefit. [Kolny, 2023; Noonan, 2018; Su, Li and Taibi, 2024]</w:t>
      </w:r>
    </w:p>
    <w:p w14:paraId="1D4DEB1A" w14:textId="77777777" w:rsidR="001D23E3" w:rsidRPr="001D23E3" w:rsidRDefault="001D23E3" w:rsidP="001D23E3">
      <w:r w:rsidRPr="001D23E3">
        <w:t>The practical conclusion is that consolidation is not architectural regression. It is architecture becoming more honest about cost. A module boundary should remain inside a larger deployable unit unless there is a clear reason to turn it into an independently deployed service. Microservices remain valid where independent deployment, scaling, ownership, or failure isolation create value greater than the cost of distribution. They should not be used merely because a system is large, a codebase is messy, or teams want to avoid the discipline of shared modular design.</w:t>
      </w:r>
    </w:p>
    <w:p w14:paraId="327050C1" w14:textId="77777777" w:rsidR="00D347A8" w:rsidRDefault="00D347A8" w:rsidP="00D347A8">
      <w:pPr>
        <w:pStyle w:val="Heading1"/>
        <w:rPr>
          <w:kern w:val="36"/>
          <w:lang w:eastAsia="en-NZ"/>
          <w14:ligatures w14:val="standardContextual"/>
        </w:rPr>
      </w:pPr>
      <w:bookmarkStart w:id="17" w:name="_Toc232343210"/>
      <w:r>
        <w:t>Recommendations</w:t>
      </w:r>
      <w:bookmarkEnd w:id="17"/>
    </w:p>
    <w:p w14:paraId="3D25A980" w14:textId="77777777" w:rsidR="00D347A8" w:rsidRDefault="00D347A8">
      <w:pPr>
        <w:rPr>
          <w:kern w:val="2"/>
          <w:lang w:eastAsia="en-NZ"/>
          <w14:ligatures w14:val="standardContextual"/>
        </w:rPr>
      </w:pPr>
      <w:r>
        <w:t>The organisation should adopt modular monolith as the default starting architecture for most new systems. Projects should be expected to prove modularity, ownership, deployment discipline, and operational clarity inside one coherent deployable system before proposing independently deployed services.</w:t>
      </w:r>
    </w:p>
    <w:p w14:paraId="1C79967B" w14:textId="77777777" w:rsidR="000D03EA" w:rsidRDefault="000D03EA">
      <w:pPr>
        <w:rPr>
          <w:kern w:val="2"/>
          <w:lang w:eastAsia="en-NZ"/>
          <w14:ligatures w14:val="standardContextual"/>
        </w:rPr>
      </w:pPr>
      <w:r>
        <w:t xml:space="preserve">Microservices should only be approved where a project can demonstrate </w:t>
      </w:r>
      <w:proofErr w:type="gramStart"/>
      <w:r>
        <w:t>all of</w:t>
      </w:r>
      <w:proofErr w:type="gramEnd"/>
      <w:r>
        <w:t xml:space="preserve"> the following: a stable business capability boundary, clear data ownership, a credible need for independent deployment or materially different scaling, mature delivery automation, mature operational support, and a mature integration environment capable of governing reusable interfaces across teams. Where that integration capability does not exist, microservices should not be attempted.</w:t>
      </w:r>
    </w:p>
    <w:p w14:paraId="6E9401AB" w14:textId="77777777" w:rsidR="00D347A8" w:rsidRDefault="00D347A8">
      <w:pPr>
        <w:rPr>
          <w:kern w:val="2"/>
          <w:lang w:eastAsia="en-NZ"/>
          <w14:ligatures w14:val="standardContextual"/>
        </w:rPr>
      </w:pPr>
      <w:r>
        <w:t>Microservices should not be approved to compensate for poor analysis, weak modularity, messy code, unclear ownership, immature integration practice, weak delivery automation, or a desire for technical autonomy without operational accountability. Distribution should solve a demonstrated structural problem. It should not be used to hide an undisciplined design.</w:t>
      </w:r>
    </w:p>
    <w:p w14:paraId="4605FAA4" w14:textId="77777777" w:rsidR="00D347A8" w:rsidRDefault="00D347A8">
      <w:pPr>
        <w:rPr>
          <w:kern w:val="2"/>
          <w:lang w:eastAsia="en-NZ"/>
          <w14:ligatures w14:val="standardContextual"/>
        </w:rPr>
      </w:pPr>
      <w:r>
        <w:t>The organisation should treat service-life cost as more important than initial build cost. Architectural approval should consider the long-term cost of operation, security, recovery, integration, observability, maintenance, and future change, not merely the speed with which services can first be created.</w:t>
      </w:r>
    </w:p>
    <w:p w14:paraId="49EE82D7" w14:textId="77777777" w:rsidR="00D347A8" w:rsidRDefault="00D347A8">
      <w:pPr>
        <w:rPr>
          <w:kern w:val="2"/>
          <w:lang w:eastAsia="en-NZ"/>
          <w14:ligatures w14:val="standardContextual"/>
        </w:rPr>
      </w:pPr>
      <w:r>
        <w:t>Vendor examples, cloud reference architectures, and platform convenience should inform implementation only after the architectural choice has been justified on organisational grounds. Architecture judgement must remain separate from platform promotion.</w:t>
      </w:r>
    </w:p>
    <w:p w14:paraId="735CBB55" w14:textId="77777777" w:rsidR="00D347A8" w:rsidRDefault="00D347A8">
      <w:pPr>
        <w:rPr>
          <w:kern w:val="2"/>
          <w:lang w:eastAsia="en-NZ"/>
          <w14:ligatures w14:val="standardContextual"/>
        </w:rPr>
      </w:pPr>
      <w:r>
        <w:t>The governing rule should be simple: prove the module before approving the service. If a proposed service boundary cannot be explained clearly, governed confidently, and operated sustainably inside one system, it is not ready to become a network boundary.</w:t>
      </w:r>
    </w:p>
    <w:p w14:paraId="0925970A" w14:textId="77777777" w:rsidR="00D347A8" w:rsidRDefault="00D347A8">
      <w:pPr>
        <w:pStyle w:val="Heading1"/>
        <w:rPr>
          <w:kern w:val="36"/>
          <w:lang w:eastAsia="en-NZ"/>
          <w14:ligatures w14:val="standardContextual"/>
        </w:rPr>
      </w:pPr>
      <w:bookmarkStart w:id="18" w:name="_Toc232343211"/>
      <w:r>
        <w:t>Conclusion</w:t>
      </w:r>
      <w:bookmarkEnd w:id="18"/>
    </w:p>
    <w:p w14:paraId="09450565" w14:textId="77777777" w:rsidR="00D347A8" w:rsidRDefault="00D347A8">
      <w:pPr>
        <w:rPr>
          <w:kern w:val="2"/>
          <w:lang w:eastAsia="en-NZ"/>
          <w14:ligatures w14:val="standardContextual"/>
        </w:rPr>
      </w:pPr>
      <w:r>
        <w:t>Microservices are not the modern default for enterprise systems. They are a specialised operating model with a real premium. The responsible default is a well-structured modular monolith unless and until a project can justify the additional cost and complexity of independent services.</w:t>
      </w:r>
    </w:p>
    <w:p w14:paraId="3A3955FC" w14:textId="77777777" w:rsidR="00D347A8" w:rsidRDefault="00D347A8">
      <w:pPr>
        <w:rPr>
          <w:kern w:val="2"/>
          <w:lang w:eastAsia="en-NZ"/>
          <w14:ligatures w14:val="standardContextual"/>
        </w:rPr>
      </w:pPr>
      <w:r>
        <w:t>This paper therefore sets a simple governance position: design for modularity first, prove the module before approving the service, and do not externalise disorganisation into a distributed estate. The aim is not to reject microservices where they are genuinely needed. It is to stop repeating an expensive mistake where they are not.</w:t>
      </w:r>
    </w:p>
    <w:p w14:paraId="189D06E5" w14:textId="77777777" w:rsidR="001D23E3" w:rsidRPr="001D23E3" w:rsidRDefault="001D23E3" w:rsidP="001D23E3"/>
    <w:p w14:paraId="21A7206A" w14:textId="675A91EC" w:rsidR="00A35493" w:rsidRDefault="00A35493" w:rsidP="007942F2">
      <w:pPr>
        <w:pStyle w:val="Heading2"/>
      </w:pPr>
      <w:r>
        <w:br w:type="page"/>
      </w:r>
    </w:p>
    <w:p w14:paraId="0CEDF4A5" w14:textId="77777777" w:rsidR="005255FC" w:rsidRDefault="005255FC" w:rsidP="005255FC">
      <w:pPr>
        <w:pStyle w:val="Appendices"/>
      </w:pPr>
      <w:bookmarkStart w:id="19" w:name="Location_Appendices"/>
      <w:bookmarkStart w:id="20" w:name="_Toc145049430"/>
      <w:bookmarkStart w:id="21" w:name="_Toc232343212"/>
      <w:bookmarkEnd w:id="19"/>
      <w:r>
        <w:t>Appendices</w:t>
      </w:r>
      <w:bookmarkEnd w:id="20"/>
      <w:bookmarkEnd w:id="21"/>
    </w:p>
    <w:p w14:paraId="2F89881E" w14:textId="1FCDE4B2" w:rsidR="000D0A25" w:rsidRDefault="005255FC" w:rsidP="005C7C13">
      <w:pPr>
        <w:pStyle w:val="Appendix"/>
      </w:pPr>
      <w:bookmarkStart w:id="22" w:name="_Toc145049431"/>
      <w:bookmarkStart w:id="23" w:name="_Toc232343213"/>
      <w:r w:rsidRPr="005C7C13">
        <w:t xml:space="preserve">Appendix A - </w:t>
      </w:r>
      <w:r w:rsidR="008C39DC" w:rsidRPr="005C7C13">
        <w:t>Document</w:t>
      </w:r>
      <w:r w:rsidR="00DA59D0" w:rsidRPr="005C7C13">
        <w:t xml:space="preserve"> Information</w:t>
      </w:r>
      <w:bookmarkEnd w:id="22"/>
      <w:bookmarkEnd w:id="23"/>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24" w:name="_Toc232343214"/>
      <w:r>
        <w:t>Versions</w:t>
      </w:r>
      <w:bookmarkEnd w:id="24"/>
    </w:p>
    <w:p w14:paraId="23C75878" w14:textId="77777777" w:rsidR="0072750C" w:rsidRDefault="0072750C" w:rsidP="0072750C">
      <w:pPr>
        <w:pStyle w:val="BodyText"/>
        <w:numPr>
          <w:ilvl w:val="1"/>
          <w:numId w:val="3"/>
        </w:numPr>
        <w:rPr>
          <w:kern w:val="2"/>
          <w:lang w:eastAsia="en-NZ"/>
          <w14:ligatures w14:val="standardContextual"/>
        </w:rPr>
      </w:pPr>
      <w:r>
        <w:t>0.1 Initial draft</w:t>
      </w:r>
    </w:p>
    <w:p w14:paraId="3199ADF7" w14:textId="77777777" w:rsidR="0072750C" w:rsidRDefault="0072750C" w:rsidP="0072750C">
      <w:pPr>
        <w:pStyle w:val="BodyText"/>
        <w:numPr>
          <w:ilvl w:val="1"/>
          <w:numId w:val="3"/>
        </w:numPr>
      </w:pPr>
      <w:r>
        <w:t>0.2 Added platform considerations</w:t>
      </w:r>
    </w:p>
    <w:p w14:paraId="6FB3A34F" w14:textId="77777777" w:rsidR="0072750C" w:rsidRDefault="0072750C" w:rsidP="0072750C">
      <w:pPr>
        <w:pStyle w:val="BodyText"/>
        <w:numPr>
          <w:ilvl w:val="1"/>
          <w:numId w:val="3"/>
        </w:numPr>
      </w:pPr>
      <w:r>
        <w:t>0.3 Reordered and tightened structure</w:t>
      </w:r>
    </w:p>
    <w:p w14:paraId="598D11F2" w14:textId="77777777" w:rsidR="0072750C" w:rsidRDefault="0072750C" w:rsidP="0072750C">
      <w:pPr>
        <w:pStyle w:val="BodyText"/>
        <w:numPr>
          <w:ilvl w:val="1"/>
          <w:numId w:val="3"/>
        </w:numPr>
      </w:pPr>
      <w:r>
        <w:t>0.4 Incorporated industry guidance and evidence</w:t>
      </w:r>
    </w:p>
    <w:p w14:paraId="13F661AF" w14:textId="77777777" w:rsidR="0072750C" w:rsidRDefault="0072750C" w:rsidP="0072750C">
      <w:pPr>
        <w:pStyle w:val="BodyText"/>
        <w:numPr>
          <w:ilvl w:val="1"/>
          <w:numId w:val="3"/>
        </w:numPr>
      </w:pPr>
      <w:r>
        <w:t>0.5 Strengthened recommendations and governance position</w:t>
      </w:r>
    </w:p>
    <w:p w14:paraId="6E0E3835" w14:textId="77777777" w:rsidR="0072750C" w:rsidRDefault="0072750C" w:rsidP="0072750C">
      <w:pPr>
        <w:pStyle w:val="BodyText"/>
        <w:numPr>
          <w:ilvl w:val="1"/>
          <w:numId w:val="3"/>
        </w:numPr>
      </w:pPr>
      <w:r>
        <w:t>0.6 Submission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5" w:name="_Toc232343215"/>
      <w:r>
        <w:t>Images</w:t>
      </w:r>
      <w:bookmarkEnd w:id="25"/>
    </w:p>
    <w:p w14:paraId="580B1119" w14:textId="05780F3E" w:rsidR="00F171C0"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2344458" w:history="1">
        <w:r w:rsidR="00F171C0" w:rsidRPr="00141F94">
          <w:rPr>
            <w:rStyle w:val="Hyperlink"/>
            <w:noProof/>
          </w:rPr>
          <w:t>Figure 1: Monolithic versus Microservices</w:t>
        </w:r>
        <w:r w:rsidR="00F171C0">
          <w:rPr>
            <w:noProof/>
            <w:webHidden/>
          </w:rPr>
          <w:tab/>
        </w:r>
        <w:r w:rsidR="00F171C0">
          <w:rPr>
            <w:noProof/>
            <w:webHidden/>
          </w:rPr>
          <w:fldChar w:fldCharType="begin"/>
        </w:r>
        <w:r w:rsidR="00F171C0">
          <w:rPr>
            <w:noProof/>
            <w:webHidden/>
          </w:rPr>
          <w:instrText xml:space="preserve"> PAGEREF _Toc232344458 \h </w:instrText>
        </w:r>
        <w:r w:rsidR="00F171C0">
          <w:rPr>
            <w:noProof/>
            <w:webHidden/>
          </w:rPr>
        </w:r>
        <w:r w:rsidR="00F171C0">
          <w:rPr>
            <w:noProof/>
            <w:webHidden/>
          </w:rPr>
          <w:fldChar w:fldCharType="separate"/>
        </w:r>
        <w:r w:rsidR="00F171C0">
          <w:rPr>
            <w:noProof/>
            <w:webHidden/>
          </w:rPr>
          <w:t>6</w:t>
        </w:r>
        <w:r w:rsidR="00F171C0">
          <w:rPr>
            <w:noProof/>
            <w:webHidden/>
          </w:rPr>
          <w:fldChar w:fldCharType="end"/>
        </w:r>
      </w:hyperlink>
    </w:p>
    <w:p w14:paraId="2DD82614" w14:textId="3B9BD894" w:rsidR="008C39DC" w:rsidRDefault="008C39DC" w:rsidP="008C39DC">
      <w:r>
        <w:fldChar w:fldCharType="end"/>
      </w:r>
    </w:p>
    <w:p w14:paraId="5ED594EB" w14:textId="18C9D77A" w:rsidR="008C39DC" w:rsidRPr="001E2299" w:rsidRDefault="008C39DC" w:rsidP="001E2299">
      <w:pPr>
        <w:pStyle w:val="Heading3"/>
      </w:pPr>
      <w:bookmarkStart w:id="26" w:name="_Toc232343216"/>
      <w:r w:rsidRPr="001E2299">
        <w:t>Tables</w:t>
      </w:r>
      <w:bookmarkEnd w:id="26"/>
    </w:p>
    <w:p w14:paraId="2F5652EC" w14:textId="77777777" w:rsidR="0072750C" w:rsidRDefault="0072750C">
      <w:pPr>
        <w:rPr>
          <w:kern w:val="2"/>
          <w:lang w:eastAsia="en-NZ"/>
          <w14:ligatures w14:val="standardContextual"/>
        </w:rPr>
      </w:pPr>
      <w:bookmarkStart w:id="27" w:name="_Toc232343217"/>
      <w:r>
        <w:t>No tables.</w:t>
      </w:r>
    </w:p>
    <w:p w14:paraId="16A93B8E" w14:textId="77777777" w:rsidR="00D347A8" w:rsidRDefault="00D347A8" w:rsidP="00D347A8">
      <w:pPr>
        <w:pStyle w:val="Heading1"/>
        <w:rPr>
          <w:kern w:val="36"/>
          <w:lang w:eastAsia="en-NZ"/>
          <w14:ligatures w14:val="standardContextual"/>
        </w:rPr>
      </w:pPr>
      <w:r>
        <w:t>References</w:t>
      </w:r>
      <w:bookmarkEnd w:id="27"/>
    </w:p>
    <w:p w14:paraId="755E75BF" w14:textId="77777777" w:rsidR="00D347A8" w:rsidRDefault="00D347A8" w:rsidP="00D347A8">
      <w:pPr>
        <w:rPr>
          <w:kern w:val="2"/>
          <w:lang w:eastAsia="en-NZ"/>
          <w14:ligatures w14:val="standardContextual"/>
        </w:rPr>
      </w:pPr>
      <w:r>
        <w:t xml:space="preserve">Conway, M. E. 1968. How Do Committees Invent? </w:t>
      </w:r>
      <w:proofErr w:type="spellStart"/>
      <w:r>
        <w:t>Datamation</w:t>
      </w:r>
      <w:proofErr w:type="spellEnd"/>
      <w:r>
        <w:t xml:space="preserve"> 14(4), pp. 28–31.</w:t>
      </w:r>
    </w:p>
    <w:p w14:paraId="43D8254F" w14:textId="77777777" w:rsidR="00D347A8" w:rsidRDefault="00D347A8" w:rsidP="00D347A8">
      <w:pPr>
        <w:rPr>
          <w:kern w:val="2"/>
          <w:lang w:eastAsia="en-NZ"/>
          <w14:ligatures w14:val="standardContextual"/>
        </w:rPr>
      </w:pPr>
      <w:r>
        <w:t>Foote, B. and Yoder, J. 1997. Big Ball of Mud. Proceedings of the Fourth Conference on Pattern Languages of Programs.</w:t>
      </w:r>
    </w:p>
    <w:p w14:paraId="561C2A87" w14:textId="77777777" w:rsidR="00D347A8" w:rsidRDefault="00D347A8" w:rsidP="00D347A8">
      <w:pPr>
        <w:rPr>
          <w:kern w:val="2"/>
          <w:lang w:eastAsia="en-NZ"/>
          <w14:ligatures w14:val="standardContextual"/>
        </w:rPr>
      </w:pPr>
      <w:r>
        <w:t>Lewis, J. and Fowler, M. 2014. Microservices. Available at: https://www.martinfowler.com/articles/microservices.html</w:t>
      </w:r>
    </w:p>
    <w:p w14:paraId="11986D4A" w14:textId="77777777" w:rsidR="00D347A8" w:rsidRDefault="00D347A8" w:rsidP="00D347A8">
      <w:pPr>
        <w:rPr>
          <w:kern w:val="2"/>
          <w:lang w:eastAsia="en-NZ"/>
          <w14:ligatures w14:val="standardContextual"/>
        </w:rPr>
      </w:pPr>
      <w:r>
        <w:t>Fowler, M. 2014. Microservice Prerequisites. Available at: https://martinfowler.com/bliki/MicroservicePrerequisites.html</w:t>
      </w:r>
    </w:p>
    <w:p w14:paraId="1FA5671B" w14:textId="77777777" w:rsidR="00D347A8" w:rsidRDefault="00D347A8" w:rsidP="00D347A8">
      <w:pPr>
        <w:rPr>
          <w:kern w:val="2"/>
          <w:lang w:eastAsia="en-NZ"/>
          <w14:ligatures w14:val="standardContextual"/>
        </w:rPr>
      </w:pPr>
      <w:r>
        <w:t>Fowler, M. 2015. Microservice Premium. Available at: https://martinfowler.com/bliki/MicroservicePremium.html</w:t>
      </w:r>
    </w:p>
    <w:p w14:paraId="27714BA1" w14:textId="77777777" w:rsidR="00D347A8" w:rsidRDefault="00D347A8" w:rsidP="00D347A8">
      <w:pPr>
        <w:rPr>
          <w:kern w:val="2"/>
          <w:lang w:eastAsia="en-NZ"/>
          <w14:ligatures w14:val="standardContextual"/>
        </w:rPr>
      </w:pPr>
      <w:r>
        <w:t>Fowler, M. 2015. Monolith First. Available at: https://martinfowler.com/bliki/MonolithFirst.html</w:t>
      </w:r>
    </w:p>
    <w:p w14:paraId="406F2AA4" w14:textId="77777777" w:rsidR="00D347A8" w:rsidRDefault="00D347A8" w:rsidP="00D347A8">
      <w:pPr>
        <w:rPr>
          <w:kern w:val="2"/>
          <w:lang w:eastAsia="en-NZ"/>
          <w14:ligatures w14:val="standardContextual"/>
        </w:rPr>
      </w:pPr>
      <w:r>
        <w:t xml:space="preserve">CNCF and </w:t>
      </w:r>
      <w:proofErr w:type="spellStart"/>
      <w:r>
        <w:t>SlashData</w:t>
      </w:r>
      <w:proofErr w:type="spellEnd"/>
      <w:r>
        <w:t>. 2025. State of Cloud Native Development Q3 2025.</w:t>
      </w:r>
    </w:p>
    <w:p w14:paraId="03C3B68A" w14:textId="77777777" w:rsidR="00D347A8" w:rsidRDefault="00D347A8" w:rsidP="00D347A8">
      <w:pPr>
        <w:rPr>
          <w:kern w:val="2"/>
          <w:lang w:eastAsia="en-NZ"/>
          <w14:ligatures w14:val="standardContextual"/>
        </w:rPr>
      </w:pPr>
      <w:r>
        <w:t xml:space="preserve">CNCF. 2025. CNCF and </w:t>
      </w:r>
      <w:proofErr w:type="spellStart"/>
      <w:r>
        <w:t>SlashData</w:t>
      </w:r>
      <w:proofErr w:type="spellEnd"/>
      <w:r>
        <w:t xml:space="preserve"> Survey Finds Cloud Native Ecosystem Surges to 15.6M Developers.</w:t>
      </w:r>
    </w:p>
    <w:p w14:paraId="063E8143" w14:textId="77777777" w:rsidR="00D347A8" w:rsidRDefault="00D347A8" w:rsidP="00D347A8">
      <w:pPr>
        <w:rPr>
          <w:kern w:val="2"/>
          <w:lang w:eastAsia="en-NZ"/>
          <w14:ligatures w14:val="standardContextual"/>
        </w:rPr>
      </w:pPr>
      <w:r>
        <w:t>Su, R., Li, X. and Taibi, D. 2024. From Microservice to Monolith: A Multivocal Literature Review. Electronics.</w:t>
      </w:r>
    </w:p>
    <w:p w14:paraId="26F19280" w14:textId="77777777" w:rsidR="00D347A8" w:rsidRDefault="00D347A8" w:rsidP="00D347A8">
      <w:pPr>
        <w:rPr>
          <w:kern w:val="2"/>
          <w:lang w:eastAsia="en-NZ"/>
          <w14:ligatures w14:val="standardContextual"/>
        </w:rPr>
      </w:pPr>
      <w:r>
        <w:t>Kolny, M. 2023. Scaling up the Prime Video audio/video monitoring service and reducing costs by 90%. Prime Video Tech.</w:t>
      </w:r>
    </w:p>
    <w:p w14:paraId="1C8E03F5" w14:textId="77777777" w:rsidR="00D347A8" w:rsidRDefault="00D347A8" w:rsidP="00D347A8">
      <w:pPr>
        <w:rPr>
          <w:kern w:val="2"/>
          <w:lang w:eastAsia="en-NZ"/>
          <w14:ligatures w14:val="standardContextual"/>
        </w:rPr>
      </w:pPr>
      <w:r>
        <w:t>Noonan, A. 2018. Goodbye Microservices: From 100s of problem children to 1 superstar. Segment Engineering / Twilio.</w:t>
      </w:r>
    </w:p>
    <w:p w14:paraId="0F3A7E1C" w14:textId="77777777" w:rsidR="00D347A8" w:rsidRDefault="00D347A8" w:rsidP="00D347A8">
      <w:pPr>
        <w:rPr>
          <w:kern w:val="2"/>
          <w:lang w:eastAsia="en-NZ"/>
          <w14:ligatures w14:val="standardContextual"/>
        </w:rPr>
      </w:pPr>
      <w:r>
        <w:t xml:space="preserve">Tilkov, S. 2015. Don’t Start with a Monolith. </w:t>
      </w:r>
      <w:proofErr w:type="spellStart"/>
      <w:r>
        <w:t>innoQ</w:t>
      </w:r>
      <w:proofErr w:type="spellEnd"/>
      <w:r>
        <w:t>.</w:t>
      </w:r>
    </w:p>
    <w:p w14:paraId="16640890" w14:textId="6E08A9E5" w:rsidR="00D347A8" w:rsidRPr="00D347A8" w:rsidRDefault="00D347A8" w:rsidP="00D347A8">
      <w:pPr>
        <w:rPr>
          <w:kern w:val="2"/>
          <w:lang w:eastAsia="en-NZ"/>
          <w14:ligatures w14:val="standardContextual"/>
        </w:rPr>
      </w:pPr>
      <w:r>
        <w:t xml:space="preserve">Additional vendor documentation from Microsoft Azure Architecture </w:t>
      </w:r>
      <w:proofErr w:type="spellStart"/>
      <w:r>
        <w:t>Center</w:t>
      </w:r>
      <w:proofErr w:type="spellEnd"/>
      <w:r>
        <w:t xml:space="preserve"> and AWS Architecture </w:t>
      </w:r>
      <w:proofErr w:type="spellStart"/>
      <w:r>
        <w:t>Center</w:t>
      </w:r>
      <w:proofErr w:type="spellEnd"/>
      <w:r>
        <w:t xml:space="preserve"> may be cited where implementation trade-offs are described, but such material should be used as platform-specific guidance rather than primary normative authority for architecture selection.</w:t>
      </w:r>
    </w:p>
    <w:p w14:paraId="677B4FFE" w14:textId="10F7543F" w:rsidR="002031CE" w:rsidRDefault="002031CE" w:rsidP="00660C49">
      <w:pPr>
        <w:pStyle w:val="Heading3"/>
      </w:pPr>
      <w:bookmarkStart w:id="28" w:name="_Toc232343218"/>
      <w:r>
        <w:t>Review Distribution</w:t>
      </w:r>
      <w:bookmarkEnd w:id="28"/>
    </w:p>
    <w:p w14:paraId="4F9BF1AC" w14:textId="77777777" w:rsidR="0072750C" w:rsidRDefault="0072750C">
      <w:pPr>
        <w:pStyle w:val="BodyText"/>
        <w:rPr>
          <w:kern w:val="2"/>
          <w:lang w:eastAsia="en-NZ"/>
          <w14:ligatures w14:val="standardContextual"/>
        </w:rPr>
      </w:pPr>
      <w:bookmarkStart w:id="29" w:name="_Hlk145229633"/>
      <w:r>
        <w:t>The document was distributed for review to the following people.</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BA1946">
            <w:pPr>
              <w:pStyle w:val="BodyText"/>
            </w:pPr>
            <w:r>
              <w:t>Identity</w:t>
            </w:r>
          </w:p>
        </w:tc>
        <w:tc>
          <w:tcPr>
            <w:tcW w:w="4846" w:type="dxa"/>
          </w:tcPr>
          <w:p w14:paraId="0D067053" w14:textId="1879522F" w:rsidR="002031CE" w:rsidRDefault="006646CD" w:rsidP="00BA1946">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495FB573" w:rsidR="002031CE" w:rsidRDefault="009B0B5D" w:rsidP="00BA1946">
            <w:pPr>
              <w:pStyle w:val="BodyText"/>
            </w:pPr>
            <w:r>
              <w:t>Duncan Watson, Enterprise Architect</w:t>
            </w:r>
          </w:p>
        </w:tc>
        <w:tc>
          <w:tcPr>
            <w:tcW w:w="4846" w:type="dxa"/>
          </w:tcPr>
          <w:p w14:paraId="237C2F24" w14:textId="77777777" w:rsidR="002031CE" w:rsidRDefault="002031CE" w:rsidP="00BA1946">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16F70F18" w:rsidR="002031CE" w:rsidRDefault="0017483D" w:rsidP="00BA1946">
            <w:pPr>
              <w:pStyle w:val="BodyText"/>
            </w:pPr>
            <w:r>
              <w:t>Ken Matheson, Enterprise Architect</w:t>
            </w:r>
          </w:p>
        </w:tc>
        <w:tc>
          <w:tcPr>
            <w:tcW w:w="4846" w:type="dxa"/>
          </w:tcPr>
          <w:p w14:paraId="584BF39F" w14:textId="77777777" w:rsidR="002031CE" w:rsidRDefault="002031CE" w:rsidP="00BA1946">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6BB2075A" w:rsidR="002031CE" w:rsidRDefault="0017483D" w:rsidP="00BA1946">
            <w:pPr>
              <w:pStyle w:val="BodyText"/>
            </w:pPr>
            <w:r>
              <w:t>Carl Klitscher, Senior Solution Architect</w:t>
            </w:r>
          </w:p>
        </w:tc>
        <w:tc>
          <w:tcPr>
            <w:tcW w:w="4846" w:type="dxa"/>
          </w:tcPr>
          <w:p w14:paraId="0D83ED85" w14:textId="77777777" w:rsidR="002031CE" w:rsidRDefault="002031CE" w:rsidP="00BA1946">
            <w:pPr>
              <w:pStyle w:val="BodyText"/>
            </w:pPr>
          </w:p>
        </w:tc>
      </w:tr>
      <w:tr w:rsidR="008815DD" w14:paraId="0710A913"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48A50FF9" w14:textId="2B8F1607" w:rsidR="008815DD" w:rsidRDefault="008815DD" w:rsidP="00BA1946">
            <w:pPr>
              <w:pStyle w:val="BodyText"/>
            </w:pPr>
            <w:r>
              <w:t>Vincent W</w:t>
            </w:r>
            <w:r w:rsidR="009379AD">
              <w:t>ie</w:t>
            </w:r>
            <w:r>
              <w:t>rdsma</w:t>
            </w:r>
            <w:r w:rsidR="009379AD">
              <w:t>, Lead Developer</w:t>
            </w:r>
          </w:p>
        </w:tc>
        <w:tc>
          <w:tcPr>
            <w:tcW w:w="4846" w:type="dxa"/>
          </w:tcPr>
          <w:p w14:paraId="7F62A995" w14:textId="77777777" w:rsidR="008815DD" w:rsidRDefault="008815DD" w:rsidP="00BA1946">
            <w:pPr>
              <w:pStyle w:val="BodyText"/>
            </w:pPr>
          </w:p>
        </w:tc>
      </w:tr>
      <w:tr w:rsidR="009379AD" w14:paraId="0B6354DC"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63398BA0" w14:textId="6EBFDAF6" w:rsidR="009379AD" w:rsidRDefault="009379AD" w:rsidP="00BA1946">
            <w:pPr>
              <w:pStyle w:val="BodyText"/>
            </w:pPr>
            <w:r>
              <w:t>Peter Martin, Lead Developer</w:t>
            </w:r>
          </w:p>
        </w:tc>
        <w:tc>
          <w:tcPr>
            <w:tcW w:w="4846" w:type="dxa"/>
          </w:tcPr>
          <w:p w14:paraId="31AE6B9E" w14:textId="77777777" w:rsidR="009379AD" w:rsidRDefault="009379AD" w:rsidP="00BA1946">
            <w:pPr>
              <w:pStyle w:val="BodyText"/>
            </w:pPr>
          </w:p>
        </w:tc>
      </w:tr>
      <w:tr w:rsidR="00B11C38" w14:paraId="26628787"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4DF8ED9B" w14:textId="1C58760D" w:rsidR="00B11C38" w:rsidRDefault="00665B92" w:rsidP="00BA1946">
            <w:pPr>
              <w:pStyle w:val="BodyText"/>
            </w:pPr>
            <w:r>
              <w:t>Leonard Wood, Cloud System Engineer</w:t>
            </w:r>
          </w:p>
        </w:tc>
        <w:tc>
          <w:tcPr>
            <w:tcW w:w="4846" w:type="dxa"/>
          </w:tcPr>
          <w:p w14:paraId="61C03949" w14:textId="77777777" w:rsidR="00B11C38" w:rsidRDefault="00B11C38" w:rsidP="00BA1946">
            <w:pPr>
              <w:pStyle w:val="BodyText"/>
            </w:pPr>
          </w:p>
        </w:tc>
      </w:tr>
      <w:tr w:rsidR="00665B92" w14:paraId="417DD344"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DB9091F" w14:textId="5E187076" w:rsidR="00665B92" w:rsidRDefault="00665B92" w:rsidP="00BA1946">
            <w:pPr>
              <w:pStyle w:val="BodyText"/>
            </w:pPr>
            <w:r>
              <w:t xml:space="preserve">Varun </w:t>
            </w:r>
            <w:r w:rsidR="00654A45">
              <w:t>Gaur, DevOps Engineer</w:t>
            </w:r>
          </w:p>
        </w:tc>
        <w:tc>
          <w:tcPr>
            <w:tcW w:w="4846" w:type="dxa"/>
          </w:tcPr>
          <w:p w14:paraId="2E9FBF62" w14:textId="77777777" w:rsidR="00665B92" w:rsidRDefault="00665B92" w:rsidP="00BA1946">
            <w:pPr>
              <w:pStyle w:val="BodyText"/>
            </w:pPr>
          </w:p>
        </w:tc>
      </w:tr>
      <w:tr w:rsidR="0017483D" w14:paraId="4961BA99"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47465281" w14:textId="7CF01270" w:rsidR="0017483D" w:rsidRDefault="008815DD" w:rsidP="00BA1946">
            <w:pPr>
              <w:pStyle w:val="BodyText"/>
            </w:pPr>
            <w:r>
              <w:t>Michael Pocock, Business Change Advisor</w:t>
            </w:r>
          </w:p>
        </w:tc>
        <w:tc>
          <w:tcPr>
            <w:tcW w:w="4846" w:type="dxa"/>
          </w:tcPr>
          <w:p w14:paraId="6FD7EB10" w14:textId="77777777" w:rsidR="0017483D" w:rsidRDefault="0017483D" w:rsidP="00BA1946">
            <w:pPr>
              <w:pStyle w:val="BodyText"/>
            </w:pPr>
          </w:p>
        </w:tc>
      </w:tr>
    </w:tbl>
    <w:p w14:paraId="4E821DAB" w14:textId="33F56047" w:rsidR="00660C49" w:rsidRDefault="00660C49" w:rsidP="00660C49">
      <w:pPr>
        <w:pStyle w:val="Heading3"/>
      </w:pPr>
      <w:bookmarkStart w:id="30" w:name="_Toc232343219"/>
      <w:bookmarkEnd w:id="29"/>
      <w:r>
        <w:t>Audience</w:t>
      </w:r>
      <w:bookmarkEnd w:id="30"/>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1" w:name="_Toc232343220"/>
      <w:r>
        <w:t>Structure</w:t>
      </w:r>
      <w:bookmarkEnd w:id="31"/>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2" w:name="_Toc232343221"/>
      <w:r>
        <w:t>Diagrams</w:t>
      </w:r>
      <w:bookmarkEnd w:id="32"/>
    </w:p>
    <w:p w14:paraId="65008B06" w14:textId="1507D50E" w:rsidR="00660C49" w:rsidRDefault="00660C49" w:rsidP="008C39DC">
      <w:pPr>
        <w:pStyle w:val="BodyText"/>
      </w:pPr>
      <w:bookmarkStart w:id="33"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34" w:name="_Hlk174689663"/>
      <w:bookmarkStart w:id="35" w:name="_Toc232343222"/>
      <w:bookmarkEnd w:id="33"/>
      <w:r>
        <w:t>Acronyms</w:t>
      </w:r>
      <w:bookmarkEnd w:id="35"/>
    </w:p>
    <w:p w14:paraId="3FF05247" w14:textId="77777777" w:rsidR="00A8163B" w:rsidRPr="00A8163B" w:rsidRDefault="00A8163B" w:rsidP="006D133E">
      <w:pPr>
        <w:pStyle w:val="Term-Def"/>
        <w:rPr>
          <w:vanish/>
          <w:specVanish/>
        </w:rPr>
      </w:pPr>
      <w:bookmarkStart w:id="36" w:name="Acronym_API"/>
      <w:bookmarkEnd w:id="36"/>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37" w:name="Acronym_GUI"/>
      <w:bookmarkEnd w:id="37"/>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38" w:name="Acronym_UI"/>
      <w:bookmarkStart w:id="39" w:name="Acronym_ICT"/>
      <w:bookmarkEnd w:id="38"/>
      <w:bookmarkEnd w:id="39"/>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40" w:name="Acronym_IT"/>
      <w:bookmarkEnd w:id="40"/>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41" w:name="_Toc232343223"/>
      <w:r>
        <w:t>Terms</w:t>
      </w:r>
      <w:bookmarkEnd w:id="41"/>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42" w:name="Term_ApplicationProgrammingInterface"/>
      <w:bookmarkEnd w:id="42"/>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43" w:name="Term_User"/>
      <w:bookmarkEnd w:id="43"/>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44" w:name="Term_UserInterface"/>
      <w:bookmarkEnd w:id="44"/>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34"/>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58DE0828" w14:textId="77777777" w:rsidR="008C711E" w:rsidRDefault="008C711E">
      <w:pPr>
        <w:pStyle w:val="Appendix"/>
        <w:rPr>
          <w:kern w:val="2"/>
          <w:lang w:eastAsia="en-NZ"/>
          <w14:ligatures w14:val="standardContextual"/>
        </w:rPr>
      </w:pPr>
      <w:bookmarkStart w:id="45" w:name="_Toc232343224"/>
      <w:r>
        <w:t>Appendix B - Intuitive Comparisons</w:t>
      </w:r>
      <w:bookmarkEnd w:id="45"/>
    </w:p>
    <w:p w14:paraId="3853BECE" w14:textId="77777777" w:rsidR="008C711E" w:rsidRDefault="008C711E">
      <w:pPr>
        <w:pStyle w:val="Heading3"/>
        <w:rPr>
          <w:kern w:val="2"/>
          <w:lang w:eastAsia="en-NZ"/>
          <w14:ligatures w14:val="standardContextual"/>
        </w:rPr>
      </w:pPr>
      <w:bookmarkStart w:id="46" w:name="_Toc232343225"/>
      <w:r>
        <w:t>A coherent device versus separated parts</w:t>
      </w:r>
      <w:bookmarkEnd w:id="46"/>
    </w:p>
    <w:p w14:paraId="2B0D1BF5" w14:textId="77777777" w:rsidR="008C711E" w:rsidRDefault="008C711E">
      <w:pPr>
        <w:pStyle w:val="BodyText"/>
        <w:rPr>
          <w:kern w:val="2"/>
          <w:lang w:eastAsia="en-NZ"/>
          <w14:ligatures w14:val="standardContextual"/>
        </w:rPr>
      </w:pPr>
      <w:r>
        <w:t>A mobile phone is a useful comparison because it is a highly modular system presented as one coherent device. It contains many components, applications, services, sensors, and interfaces, but the value comes from the fact that these parts work together within a single operational boundary. The user does not need to coordinate separate fragments of the device through slower and more fragile external connections. In the same way, a well-designed application can be internally modular without being split into independently deployed networked services.</w:t>
      </w:r>
    </w:p>
    <w:p w14:paraId="4D4AFDA0" w14:textId="77777777" w:rsidR="008C711E" w:rsidRDefault="008C711E">
      <w:pPr>
        <w:pStyle w:val="Heading3"/>
        <w:rPr>
          <w:kern w:val="2"/>
          <w:lang w:eastAsia="en-NZ"/>
          <w14:ligatures w14:val="standardContextual"/>
        </w:rPr>
      </w:pPr>
      <w:bookmarkStart w:id="47" w:name="_Toc232343226"/>
      <w:r>
        <w:t>Extension cords across the warehouse floor</w:t>
      </w:r>
      <w:bookmarkEnd w:id="47"/>
    </w:p>
    <w:p w14:paraId="575DD390" w14:textId="77777777" w:rsidR="008C711E" w:rsidRDefault="008C711E">
      <w:pPr>
        <w:pStyle w:val="BodyText"/>
        <w:rPr>
          <w:kern w:val="2"/>
          <w:lang w:eastAsia="en-NZ"/>
          <w14:ligatures w14:val="standardContextual"/>
        </w:rPr>
      </w:pPr>
      <w:r>
        <w:t xml:space="preserve">A distributed service estate can be compared to arranging many rented machines across a warehouse floor in a modern data centre and then wiring them together with cables running back and forth between them. The building may be </w:t>
      </w:r>
      <w:proofErr w:type="gramStart"/>
      <w:r>
        <w:t>impressive</w:t>
      </w:r>
      <w:proofErr w:type="gramEnd"/>
      <w:r>
        <w:t xml:space="preserve"> and the rented equipment may be new, but the practical burden is still in the connections. Every cable introduces distance, delay, points of failure, and something else to manage. It is easier to trip over the wiring, harder to see the whole arrangement clearly, and more demanding to keep everything working together. Each item also has its own lifecycle, replacement pattern, and operating requirements. The team ends up moving constantly between parts, coordinating changes, and keeping multiple dependencies in motion at once. In software terms, the attractive infrastructure does not remove the cost of distributed coordination; it often makes that coordination the main engineering task.</w:t>
      </w:r>
    </w:p>
    <w:p w14:paraId="4B7D52D3" w14:textId="77777777" w:rsidR="008C711E" w:rsidRDefault="008C711E">
      <w:pPr>
        <w:pStyle w:val="Heading3"/>
        <w:rPr>
          <w:kern w:val="2"/>
          <w:lang w:eastAsia="en-NZ"/>
          <w14:ligatures w14:val="standardContextual"/>
        </w:rPr>
      </w:pPr>
      <w:bookmarkStart w:id="48" w:name="_Toc232343227"/>
      <w:r>
        <w:t>Logic moved outside the box</w:t>
      </w:r>
      <w:bookmarkEnd w:id="48"/>
    </w:p>
    <w:p w14:paraId="09875D54" w14:textId="77777777" w:rsidR="008C711E" w:rsidRDefault="008C711E">
      <w:pPr>
        <w:pStyle w:val="BodyText"/>
        <w:rPr>
          <w:kern w:val="2"/>
          <w:lang w:eastAsia="en-NZ"/>
          <w14:ligatures w14:val="standardContextual"/>
        </w:rPr>
      </w:pPr>
      <w:r>
        <w:t>When logic remains inside one well-structured application, it sits in the part of the system where development tools, type checking, debugging, automated tests, static analysis, and change control are usually strongest. When logic is pushed out between services, more of the system’s real behaviour starts to live in contracts, payload mappings, retries, queues, orchestration, sequencing, and infrastructure configuration. That logic is not impossible to manage, but it is usually more expensive to build, test, reason about, and support because it sits in the spaces between components rather than within a single controlled boundary. This is one reason why distribution should be justified carefully: it can move complexity into parts of the estate where fewer development safeguards naturally exist.</w:t>
      </w:r>
    </w:p>
    <w:p w14:paraId="315A225E" w14:textId="77777777" w:rsidR="00552E58" w:rsidRDefault="00552E58">
      <w:pPr>
        <w:pStyle w:val="Appendix"/>
        <w:rPr>
          <w:kern w:val="2"/>
          <w:lang w:eastAsia="en-NZ"/>
          <w14:ligatures w14:val="standardContextual"/>
        </w:rPr>
      </w:pPr>
      <w:bookmarkStart w:id="49" w:name="_Toc232343228"/>
      <w:r>
        <w:t>Appendix C - Historical Patterns in Architectural Overreach</w:t>
      </w:r>
      <w:bookmarkEnd w:id="49"/>
    </w:p>
    <w:p w14:paraId="7D2BBC53" w14:textId="77777777" w:rsidR="00552E58" w:rsidRDefault="00552E58">
      <w:pPr>
        <w:pStyle w:val="Heading3"/>
        <w:rPr>
          <w:kern w:val="2"/>
          <w:lang w:eastAsia="en-NZ"/>
          <w14:ligatures w14:val="standardContextual"/>
        </w:rPr>
      </w:pPr>
      <w:bookmarkStart w:id="50" w:name="_Toc232343229"/>
      <w:r>
        <w:t>Historical Pattern: Moving Logic to the Wrong Tier</w:t>
      </w:r>
      <w:bookmarkEnd w:id="50"/>
    </w:p>
    <w:p w14:paraId="5D49A492" w14:textId="77777777" w:rsidR="00552E58" w:rsidRDefault="00552E58">
      <w:pPr>
        <w:pStyle w:val="BodyText"/>
        <w:rPr>
          <w:kern w:val="2"/>
          <w:lang w:eastAsia="en-NZ"/>
          <w14:ligatures w14:val="standardContextual"/>
        </w:rPr>
      </w:pPr>
      <w:r>
        <w:t>Software history contains a recurring pattern. A technology is introduced to solve a narrow and legitimate problem. Over time, the sales story expands. The technology is then used to absorb responsibilities that properly belong elsewhere in the architecture.</w:t>
      </w:r>
    </w:p>
    <w:p w14:paraId="025DA162" w14:textId="77777777" w:rsidR="00552E58" w:rsidRDefault="00552E58">
      <w:pPr>
        <w:pStyle w:val="BodyText"/>
        <w:rPr>
          <w:kern w:val="2"/>
          <w:lang w:eastAsia="en-NZ"/>
          <w14:ligatures w14:val="standardContextual"/>
        </w:rPr>
      </w:pPr>
      <w:r>
        <w:t>Stored procedures provide one example. Placing some logic close to the data can be reasonable, particularly for data integrity, set-based operations, and carefully controlled database-side behaviour. However, when large amounts of application and security logic are moved into the database tier, the result can be difficult to test, difficult to version, difficult to refactor, and difficult to reason about. The issue is not that stored procedures are always wrong. The issue is that the database tier is not usually the right place for broad application behaviour.</w:t>
      </w:r>
    </w:p>
    <w:p w14:paraId="7682DED8" w14:textId="77777777" w:rsidR="00552E58" w:rsidRDefault="00552E58">
      <w:pPr>
        <w:pStyle w:val="BodyText"/>
        <w:rPr>
          <w:kern w:val="2"/>
          <w:lang w:eastAsia="en-NZ"/>
          <w14:ligatures w14:val="standardContextual"/>
        </w:rPr>
      </w:pPr>
      <w:r>
        <w:t>Browser-side JavaScript provides another example. Client-side scripting was initially useful for improving responsiveness and reducing unnecessary round trips between browser and server. Over time, richer client-side application models developed, and in some cases the browser was treated as the primary application runtime, with the server reduced to a data feed. That can be a valid architectural choice, especially for rich interactive applications. However, it also moves more responsibility into a variable client environment and can complicate security, performance, accessibility, and maintainability.</w:t>
      </w:r>
    </w:p>
    <w:p w14:paraId="4527892E" w14:textId="77777777" w:rsidR="00552E58" w:rsidRDefault="00552E58">
      <w:pPr>
        <w:pStyle w:val="BodyText"/>
        <w:rPr>
          <w:kern w:val="2"/>
          <w:lang w:eastAsia="en-NZ"/>
          <w14:ligatures w14:val="standardContextual"/>
        </w:rPr>
      </w:pPr>
      <w:r>
        <w:t>Server-side web frameworks provide a third example. Early server-side frameworks brought application logic back onto the server and simplified web development for many teams. Some also encouraged heavy abstractions, server-managed page lifecycles, and patterns that later became awkward for modern web application design. Again, the issue is not that server-side frameworks are wrong. The issue is that framework convenience can distort architectural responsibility.</w:t>
      </w:r>
    </w:p>
    <w:p w14:paraId="3DBAEDE2" w14:textId="77777777" w:rsidR="00552E58" w:rsidRDefault="00552E58">
      <w:pPr>
        <w:pStyle w:val="BodyText"/>
        <w:rPr>
          <w:kern w:val="2"/>
          <w:lang w:eastAsia="en-NZ"/>
          <w14:ligatures w14:val="standardContextual"/>
        </w:rPr>
      </w:pPr>
      <w:r>
        <w:t>Cloud platforms and microservice patterns provide a fourth example. Managed infrastructure services such as queues, gateways, functions, event buses, orchestration engines, databases, and observability tools can be extremely useful. However, they can also encourage organisations to express application coordination through infrastructure before the application’s own modular structure is well understood. This may turn a design problem into a runtime coordination problem.</w:t>
      </w:r>
    </w:p>
    <w:p w14:paraId="0A33D4F0" w14:textId="77777777" w:rsidR="00552E58" w:rsidRDefault="00552E58">
      <w:pPr>
        <w:pStyle w:val="BodyText"/>
        <w:rPr>
          <w:kern w:val="2"/>
          <w:lang w:eastAsia="en-NZ"/>
          <w14:ligatures w14:val="standardContextual"/>
        </w:rPr>
      </w:pPr>
      <w:r>
        <w:t xml:space="preserve">The spread of microservices through the wider industry also reflects a familiar pattern of influence. Amazon’s small-team and service-ownership practices became highly visible because they were associated with speed, scale, and organisational accountability in a very large platform business. Those practices addressed real pressures in that environment. However, patterns that arise within a hyperscale provider do not automatically transfer to organisations with different structures, funding models, delivery constraints, and operational capability. As these ideas spread, they were also reinforced by cloud vendors and service providers whose commercial interests aligned with architectures that increase platform consumption, service proliferation, specialised tooling, and long-term dependency on </w:t>
      </w:r>
      <w:proofErr w:type="gramStart"/>
      <w:r>
        <w:t>particular operational</w:t>
      </w:r>
      <w:proofErr w:type="gramEnd"/>
      <w:r>
        <w:t xml:space="preserve"> ecosystems. This does not make the patterns invalid. It does mean they should be adopted with informed scepticism rather than treated as context-free design doctrine.</w:t>
      </w:r>
    </w:p>
    <w:p w14:paraId="4ED008F8" w14:textId="662DF6AB" w:rsidR="0012615C" w:rsidRPr="008C39DC" w:rsidRDefault="0012615C" w:rsidP="008C39DC">
      <w:pPr>
        <w:pStyle w:val="BodyText"/>
      </w:pPr>
    </w:p>
    <w:sectPr w:rsidR="0012615C" w:rsidRPr="008C39DC" w:rsidSect="00A2102D">
      <w:headerReference w:type="even" r:id="rId13"/>
      <w:headerReference w:type="default" r:id="rId14"/>
      <w:footerReference w:type="even" r:id="rId15"/>
      <w:footerReference w:type="default" r:id="rId16"/>
      <w:headerReference w:type="first" r:id="rId17"/>
      <w:footerReference w:type="first" r:id="rId18"/>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F551" w14:textId="77777777" w:rsidR="002F011C" w:rsidRDefault="002F011C" w:rsidP="0021141C">
      <w:pPr>
        <w:spacing w:before="0" w:after="0" w:line="240" w:lineRule="auto"/>
      </w:pPr>
      <w:r>
        <w:separator/>
      </w:r>
    </w:p>
    <w:p w14:paraId="7F29F7E4" w14:textId="77777777" w:rsidR="002F011C" w:rsidRDefault="002F011C"/>
  </w:endnote>
  <w:endnote w:type="continuationSeparator" w:id="0">
    <w:p w14:paraId="19E03BA3" w14:textId="77777777" w:rsidR="002F011C" w:rsidRDefault="002F011C" w:rsidP="0021141C">
      <w:pPr>
        <w:spacing w:before="0" w:after="0" w:line="240" w:lineRule="auto"/>
      </w:pPr>
      <w:r>
        <w:continuationSeparator/>
      </w:r>
    </w:p>
    <w:p w14:paraId="4A5C9190" w14:textId="77777777" w:rsidR="002F011C" w:rsidRDefault="002F011C"/>
  </w:endnote>
  <w:endnote w:type="continuationNotice" w:id="1">
    <w:p w14:paraId="7D86631C" w14:textId="77777777" w:rsidR="002F011C" w:rsidRDefault="002F011C">
      <w:pPr>
        <w:spacing w:before="0" w:after="0" w:line="240" w:lineRule="auto"/>
      </w:pPr>
    </w:p>
    <w:p w14:paraId="27952721" w14:textId="77777777" w:rsidR="002F011C" w:rsidRDefault="002F01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244"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5"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3"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AD77" w14:textId="77777777" w:rsidR="002F011C" w:rsidRDefault="002F011C" w:rsidP="0021141C">
      <w:pPr>
        <w:spacing w:before="0" w:after="0" w:line="240" w:lineRule="auto"/>
      </w:pPr>
      <w:r>
        <w:separator/>
      </w:r>
    </w:p>
    <w:p w14:paraId="717D9448" w14:textId="77777777" w:rsidR="002F011C" w:rsidRDefault="002F011C"/>
  </w:footnote>
  <w:footnote w:type="continuationSeparator" w:id="0">
    <w:p w14:paraId="36D4E58C" w14:textId="77777777" w:rsidR="002F011C" w:rsidRDefault="002F011C" w:rsidP="0021141C">
      <w:pPr>
        <w:spacing w:before="0" w:after="0" w:line="240" w:lineRule="auto"/>
      </w:pPr>
      <w:r>
        <w:continuationSeparator/>
      </w:r>
    </w:p>
    <w:p w14:paraId="20770E18" w14:textId="77777777" w:rsidR="002F011C" w:rsidRDefault="002F011C"/>
  </w:footnote>
  <w:footnote w:type="continuationNotice" w:id="1">
    <w:p w14:paraId="30D8812C" w14:textId="77777777" w:rsidR="002F011C" w:rsidRDefault="002F011C">
      <w:pPr>
        <w:spacing w:before="0" w:after="0" w:line="240" w:lineRule="auto"/>
      </w:pPr>
    </w:p>
    <w:p w14:paraId="7CE046CD" w14:textId="77777777" w:rsidR="002F011C" w:rsidRDefault="002F01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8241"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8242"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8240"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BA1946">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823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4C6747BC"/>
    <w:multiLevelType w:val="multilevel"/>
    <w:tmpl w:val="8906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4"/>
  </w:num>
  <w:num w:numId="3" w16cid:durableId="2007513129">
    <w:abstractNumId w:val="2"/>
  </w:num>
  <w:num w:numId="4" w16cid:durableId="1956790793">
    <w:abstractNumId w:val="3"/>
  </w:num>
  <w:num w:numId="5" w16cid:durableId="13900860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71500"/>
    <w:rsid w:val="00087BBD"/>
    <w:rsid w:val="00092DFD"/>
    <w:rsid w:val="00095D25"/>
    <w:rsid w:val="000B104B"/>
    <w:rsid w:val="000C59D1"/>
    <w:rsid w:val="000D03EA"/>
    <w:rsid w:val="000D0A25"/>
    <w:rsid w:val="000F10AE"/>
    <w:rsid w:val="00106AA0"/>
    <w:rsid w:val="0011016B"/>
    <w:rsid w:val="00114111"/>
    <w:rsid w:val="00117A5F"/>
    <w:rsid w:val="00120B89"/>
    <w:rsid w:val="0012441D"/>
    <w:rsid w:val="00126099"/>
    <w:rsid w:val="0012615C"/>
    <w:rsid w:val="00145E75"/>
    <w:rsid w:val="0017483D"/>
    <w:rsid w:val="00184008"/>
    <w:rsid w:val="00185846"/>
    <w:rsid w:val="001927A5"/>
    <w:rsid w:val="001A233C"/>
    <w:rsid w:val="001A5907"/>
    <w:rsid w:val="001B51F2"/>
    <w:rsid w:val="001D23E3"/>
    <w:rsid w:val="001E1230"/>
    <w:rsid w:val="001E1564"/>
    <w:rsid w:val="001E2299"/>
    <w:rsid w:val="001F35A9"/>
    <w:rsid w:val="001F5EF1"/>
    <w:rsid w:val="001F62DD"/>
    <w:rsid w:val="00201C1F"/>
    <w:rsid w:val="002031CE"/>
    <w:rsid w:val="0021141C"/>
    <w:rsid w:val="00211429"/>
    <w:rsid w:val="00213DAA"/>
    <w:rsid w:val="0021547D"/>
    <w:rsid w:val="00223763"/>
    <w:rsid w:val="00233BDC"/>
    <w:rsid w:val="0024225D"/>
    <w:rsid w:val="00242D7F"/>
    <w:rsid w:val="00245E6E"/>
    <w:rsid w:val="00252D75"/>
    <w:rsid w:val="002653CC"/>
    <w:rsid w:val="0029311E"/>
    <w:rsid w:val="002A0BC0"/>
    <w:rsid w:val="002A26D7"/>
    <w:rsid w:val="002A52D1"/>
    <w:rsid w:val="002B1109"/>
    <w:rsid w:val="002B7AFC"/>
    <w:rsid w:val="002C004F"/>
    <w:rsid w:val="002D18E9"/>
    <w:rsid w:val="002D1D53"/>
    <w:rsid w:val="002E5B94"/>
    <w:rsid w:val="002F011C"/>
    <w:rsid w:val="00305836"/>
    <w:rsid w:val="0031118F"/>
    <w:rsid w:val="00331BC9"/>
    <w:rsid w:val="00335A4A"/>
    <w:rsid w:val="00342833"/>
    <w:rsid w:val="0035542B"/>
    <w:rsid w:val="00356787"/>
    <w:rsid w:val="003767EB"/>
    <w:rsid w:val="003900D6"/>
    <w:rsid w:val="0039078D"/>
    <w:rsid w:val="003A4FD7"/>
    <w:rsid w:val="003B5D52"/>
    <w:rsid w:val="003C3370"/>
    <w:rsid w:val="003D736B"/>
    <w:rsid w:val="003F5014"/>
    <w:rsid w:val="0040025F"/>
    <w:rsid w:val="00400A3B"/>
    <w:rsid w:val="004028EC"/>
    <w:rsid w:val="00406FE9"/>
    <w:rsid w:val="00423249"/>
    <w:rsid w:val="00441793"/>
    <w:rsid w:val="00450AD9"/>
    <w:rsid w:val="0045306F"/>
    <w:rsid w:val="004552B2"/>
    <w:rsid w:val="00457123"/>
    <w:rsid w:val="00463A83"/>
    <w:rsid w:val="0048213F"/>
    <w:rsid w:val="00486B4D"/>
    <w:rsid w:val="00491255"/>
    <w:rsid w:val="00491649"/>
    <w:rsid w:val="00494AFA"/>
    <w:rsid w:val="004B03AD"/>
    <w:rsid w:val="004B386F"/>
    <w:rsid w:val="004D1F0C"/>
    <w:rsid w:val="004D5390"/>
    <w:rsid w:val="0050196C"/>
    <w:rsid w:val="005255FC"/>
    <w:rsid w:val="005432E3"/>
    <w:rsid w:val="00552E58"/>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54A45"/>
    <w:rsid w:val="00660C49"/>
    <w:rsid w:val="006646CD"/>
    <w:rsid w:val="00664D7C"/>
    <w:rsid w:val="00665B92"/>
    <w:rsid w:val="00674A30"/>
    <w:rsid w:val="00675068"/>
    <w:rsid w:val="0069602E"/>
    <w:rsid w:val="006A077C"/>
    <w:rsid w:val="006A2843"/>
    <w:rsid w:val="006B1311"/>
    <w:rsid w:val="006C4C9A"/>
    <w:rsid w:val="006D133E"/>
    <w:rsid w:val="006D5B4C"/>
    <w:rsid w:val="006D65A5"/>
    <w:rsid w:val="006E0BDE"/>
    <w:rsid w:val="00702ADE"/>
    <w:rsid w:val="0071118C"/>
    <w:rsid w:val="0072750C"/>
    <w:rsid w:val="007409DD"/>
    <w:rsid w:val="007414F0"/>
    <w:rsid w:val="00753774"/>
    <w:rsid w:val="0077333E"/>
    <w:rsid w:val="00777D1C"/>
    <w:rsid w:val="00784B4F"/>
    <w:rsid w:val="00784C1E"/>
    <w:rsid w:val="007942F2"/>
    <w:rsid w:val="007D13C5"/>
    <w:rsid w:val="007D7BF7"/>
    <w:rsid w:val="007E0184"/>
    <w:rsid w:val="007E7720"/>
    <w:rsid w:val="007F740A"/>
    <w:rsid w:val="008022E2"/>
    <w:rsid w:val="00802A1E"/>
    <w:rsid w:val="008059D9"/>
    <w:rsid w:val="00813161"/>
    <w:rsid w:val="008173B1"/>
    <w:rsid w:val="00821494"/>
    <w:rsid w:val="00840295"/>
    <w:rsid w:val="00855420"/>
    <w:rsid w:val="00873F86"/>
    <w:rsid w:val="008815DD"/>
    <w:rsid w:val="00882316"/>
    <w:rsid w:val="00887DCB"/>
    <w:rsid w:val="008948E7"/>
    <w:rsid w:val="008B382F"/>
    <w:rsid w:val="008C39DC"/>
    <w:rsid w:val="008C711E"/>
    <w:rsid w:val="008C7EE4"/>
    <w:rsid w:val="008E13CD"/>
    <w:rsid w:val="008F1CA3"/>
    <w:rsid w:val="009116EA"/>
    <w:rsid w:val="00914742"/>
    <w:rsid w:val="00921365"/>
    <w:rsid w:val="00921A51"/>
    <w:rsid w:val="00930A36"/>
    <w:rsid w:val="0093558D"/>
    <w:rsid w:val="009379AD"/>
    <w:rsid w:val="00942F16"/>
    <w:rsid w:val="009824E0"/>
    <w:rsid w:val="009966BF"/>
    <w:rsid w:val="009A1FC1"/>
    <w:rsid w:val="009A3E2C"/>
    <w:rsid w:val="009B0B5D"/>
    <w:rsid w:val="009B7FDD"/>
    <w:rsid w:val="009C4360"/>
    <w:rsid w:val="009D62A4"/>
    <w:rsid w:val="009E05F6"/>
    <w:rsid w:val="009E0DA1"/>
    <w:rsid w:val="00A053C8"/>
    <w:rsid w:val="00A1189D"/>
    <w:rsid w:val="00A15219"/>
    <w:rsid w:val="00A2026B"/>
    <w:rsid w:val="00A2102D"/>
    <w:rsid w:val="00A24ACD"/>
    <w:rsid w:val="00A24D68"/>
    <w:rsid w:val="00A35493"/>
    <w:rsid w:val="00A452E3"/>
    <w:rsid w:val="00A50624"/>
    <w:rsid w:val="00A518F7"/>
    <w:rsid w:val="00A666E1"/>
    <w:rsid w:val="00A66ADD"/>
    <w:rsid w:val="00A8163B"/>
    <w:rsid w:val="00A81717"/>
    <w:rsid w:val="00A85DA6"/>
    <w:rsid w:val="00A92B53"/>
    <w:rsid w:val="00A940C5"/>
    <w:rsid w:val="00A9559B"/>
    <w:rsid w:val="00A978EF"/>
    <w:rsid w:val="00AB1636"/>
    <w:rsid w:val="00AB55CB"/>
    <w:rsid w:val="00AB7E1E"/>
    <w:rsid w:val="00AC1216"/>
    <w:rsid w:val="00AD0A7D"/>
    <w:rsid w:val="00AD66BD"/>
    <w:rsid w:val="00AE292B"/>
    <w:rsid w:val="00AE2E49"/>
    <w:rsid w:val="00AE6B61"/>
    <w:rsid w:val="00B02745"/>
    <w:rsid w:val="00B11C38"/>
    <w:rsid w:val="00B250AB"/>
    <w:rsid w:val="00B367A2"/>
    <w:rsid w:val="00B46438"/>
    <w:rsid w:val="00B6302C"/>
    <w:rsid w:val="00B815E4"/>
    <w:rsid w:val="00B847C1"/>
    <w:rsid w:val="00B9271A"/>
    <w:rsid w:val="00B95078"/>
    <w:rsid w:val="00BA1946"/>
    <w:rsid w:val="00BA5D9F"/>
    <w:rsid w:val="00BA65BB"/>
    <w:rsid w:val="00BB0D70"/>
    <w:rsid w:val="00BB4E57"/>
    <w:rsid w:val="00BC480D"/>
    <w:rsid w:val="00BD3E51"/>
    <w:rsid w:val="00BE4015"/>
    <w:rsid w:val="00BF3DB7"/>
    <w:rsid w:val="00C041E3"/>
    <w:rsid w:val="00C06696"/>
    <w:rsid w:val="00C074FC"/>
    <w:rsid w:val="00C11A66"/>
    <w:rsid w:val="00C13001"/>
    <w:rsid w:val="00C242AF"/>
    <w:rsid w:val="00C343D3"/>
    <w:rsid w:val="00C43885"/>
    <w:rsid w:val="00C512D1"/>
    <w:rsid w:val="00C534A1"/>
    <w:rsid w:val="00C559C1"/>
    <w:rsid w:val="00C60968"/>
    <w:rsid w:val="00C72A06"/>
    <w:rsid w:val="00C736AE"/>
    <w:rsid w:val="00C919E0"/>
    <w:rsid w:val="00CA0CF5"/>
    <w:rsid w:val="00CA1319"/>
    <w:rsid w:val="00CA1795"/>
    <w:rsid w:val="00CB7D5E"/>
    <w:rsid w:val="00CC05A0"/>
    <w:rsid w:val="00CD4C2C"/>
    <w:rsid w:val="00CD5A39"/>
    <w:rsid w:val="00CD7647"/>
    <w:rsid w:val="00CE4FBF"/>
    <w:rsid w:val="00D227BE"/>
    <w:rsid w:val="00D27A89"/>
    <w:rsid w:val="00D347A8"/>
    <w:rsid w:val="00D37061"/>
    <w:rsid w:val="00D44A12"/>
    <w:rsid w:val="00D7253D"/>
    <w:rsid w:val="00D812C7"/>
    <w:rsid w:val="00D84665"/>
    <w:rsid w:val="00D8584C"/>
    <w:rsid w:val="00D85D97"/>
    <w:rsid w:val="00DA3544"/>
    <w:rsid w:val="00DA59D0"/>
    <w:rsid w:val="00DC2141"/>
    <w:rsid w:val="00DC254E"/>
    <w:rsid w:val="00DD01A9"/>
    <w:rsid w:val="00DD40E3"/>
    <w:rsid w:val="00DD4CA2"/>
    <w:rsid w:val="00DE19E5"/>
    <w:rsid w:val="00DE349E"/>
    <w:rsid w:val="00DE3CCB"/>
    <w:rsid w:val="00DF4C84"/>
    <w:rsid w:val="00DF7966"/>
    <w:rsid w:val="00E07FDB"/>
    <w:rsid w:val="00E14448"/>
    <w:rsid w:val="00E16041"/>
    <w:rsid w:val="00E33E50"/>
    <w:rsid w:val="00E41A30"/>
    <w:rsid w:val="00E5045D"/>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171C0"/>
    <w:rsid w:val="00F30649"/>
    <w:rsid w:val="00F4564E"/>
    <w:rsid w:val="00F67433"/>
    <w:rsid w:val="00F71BB9"/>
    <w:rsid w:val="00F726DE"/>
    <w:rsid w:val="00F756BB"/>
    <w:rsid w:val="00F76F66"/>
    <w:rsid w:val="00F83AA9"/>
    <w:rsid w:val="00F929E7"/>
    <w:rsid w:val="00F9649C"/>
    <w:rsid w:val="00FA49FE"/>
    <w:rsid w:val="00FA5E8D"/>
    <w:rsid w:val="00FC621C"/>
    <w:rsid w:val="00FD7CB5"/>
    <w:rsid w:val="00FF1C92"/>
    <w:rsid w:val="00FF45B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D0D84BFF-4FEA-4888-AAB8-D340B3B1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3429</TotalTime>
  <Pages>1</Pages>
  <Words>6479</Words>
  <Characters>36936</Characters>
  <Application>Microsoft Office Word</Application>
  <DocSecurity>4</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99</cp:revision>
  <cp:lastPrinted>2026-06-14T22:55:00Z</cp:lastPrinted>
  <dcterms:created xsi:type="dcterms:W3CDTF">2023-09-07T22:51:00Z</dcterms:created>
  <dcterms:modified xsi:type="dcterms:W3CDTF">2026-06-14T19:14:00Z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