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SELF Repository Order</w:t>
      </w:r>
    </w:p>
    <w:p>
      <w:pPr>
        <w:jc w:val="left"/>
      </w:pPr>
      <w:r>
        <w:rPr>
          <w:i/>
          <w:sz w:val="24"/>
        </w:rPr>
        <w:t>A filesystem profile for documents and their supporting media</w:t>
      </w:r>
    </w:p>
    <w:p>
      <w:r>
        <w:t>This document proposes a simpler repository order derived from the Service Enablement and Lifecycle Framework. It preserves lifecycle recognition and work-order sorting while reducing ambiguous identifiers, excessive filename length, and separation of documents from their supporting diagrams and images. It is a proposal for agreement before any existing files are moved.</w:t>
      </w:r>
    </w:p>
    <w:p>
      <w:pPr>
        <w:pStyle w:val="Heading1"/>
      </w:pPr>
      <w:r>
        <w:t>Recommendation</w:t>
      </w:r>
    </w:p>
    <w:p>
      <w:r>
        <w:t>Use decimal, dot-separated identifiers. Organise the repository first by broad lifecycle group, then by subject. Treat documents as the primary contents of each subject folder. Place supporting diagrams, source drawings, and exported images in a reserved _media folder immediately beneath the subject folder.</w:t>
      </w:r>
    </w:p>
    <w:p>
      <w:pPr>
        <w:pStyle w:val="ListBullet"/>
      </w:pPr>
      <w:r>
        <w:t>Retain dots as the semantic separator, for example 50.20.010.</w:t>
      </w:r>
    </w:p>
    <w:p>
      <w:pPr>
        <w:pStyle w:val="ListBullet"/>
      </w:pPr>
      <w:r>
        <w:t>Use decimal numbers only. Do not use letters as overflow digits.</w:t>
      </w:r>
    </w:p>
    <w:p>
      <w:pPr>
        <w:pStyle w:val="ListBullet"/>
      </w:pPr>
      <w:r>
        <w:t>Pad each level according to its expected growth.</w:t>
      </w:r>
    </w:p>
    <w:p>
      <w:pPr>
        <w:pStyle w:val="ListBullet"/>
      </w:pPr>
      <w:r>
        <w:t>Use numbering to control work order, not alphabetical order.</w:t>
      </w:r>
    </w:p>
    <w:p>
      <w:pPr>
        <w:pStyle w:val="ListBullet"/>
      </w:pPr>
      <w:r>
        <w:t>Keep full descriptive titles inside documents; keep filesystem names concise.</w:t>
      </w:r>
    </w:p>
    <w:p>
      <w:pPr>
        <w:pStyle w:val="ListBullet"/>
      </w:pPr>
      <w:r>
        <w:t>Allow nesting when it prevents unrelated material from being mixed, but do not repeat information already supplied by a parent path.</w:t>
      </w:r>
    </w:p>
    <w:p>
      <w:pPr>
        <w:pStyle w:val="Heading1"/>
      </w:pPr>
      <w:r>
        <w:t>Identifier structure</w:t>
      </w:r>
    </w:p>
    <w:p>
      <w:r>
        <w:t>The proposed identifier has three useful levels, with a fourth available only when a subject genuinely requires subdivision.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656"/>
            <w:vAlign w:val="center"/>
            <w:tcMar>
              <w:top w:w="100" w:type="dxa"/>
              <w:start w:w="120" w:type="dxa"/>
              <w:bottom w:w="100" w:type="dxa"/>
              <w:end w:w="120" w:type="dxa"/>
            </w:tcMar>
            <w:shd w:fill="1F4E78"/>
          </w:tcPr>
          <w:p>
            <w:pPr>
              <w:spacing w:after="40" w:before="40"/>
            </w:pPr>
            <w:r>
              <w:rPr>
                <w:b/>
                <w:color w:val="FFFFFF"/>
                <w:sz w:val="18"/>
              </w:rPr>
              <w:t>Level</w:t>
            </w:r>
          </w:p>
        </w:tc>
        <w:tc>
          <w:tcPr>
            <w:tcW w:type="dxa" w:w="1656"/>
            <w:vAlign w:val="center"/>
            <w:tcMar>
              <w:top w:w="100" w:type="dxa"/>
              <w:start w:w="120" w:type="dxa"/>
              <w:bottom w:w="100" w:type="dxa"/>
              <w:end w:w="120" w:type="dxa"/>
            </w:tcMar>
            <w:shd w:fill="1F4E78"/>
          </w:tcPr>
          <w:p>
            <w:pPr>
              <w:spacing w:after="40" w:before="40"/>
            </w:pPr>
            <w:r>
              <w:rPr>
                <w:b/>
                <w:color w:val="FFFFFF"/>
                <w:sz w:val="18"/>
              </w:rPr>
              <w:t>Pattern</w:t>
            </w:r>
          </w:p>
        </w:tc>
        <w:tc>
          <w:tcPr>
            <w:tcW w:type="dxa" w:w="3528"/>
            <w:vAlign w:val="center"/>
            <w:tcMar>
              <w:top w:w="100" w:type="dxa"/>
              <w:start w:w="120" w:type="dxa"/>
              <w:bottom w:w="100" w:type="dxa"/>
              <w:end w:w="120" w:type="dxa"/>
            </w:tcMar>
            <w:shd w:fill="1F4E78"/>
          </w:tcPr>
          <w:p>
            <w:pPr>
              <w:spacing w:after="40" w:before="40"/>
            </w:pPr>
            <w:r>
              <w:rPr>
                <w:b/>
                <w:color w:val="FFFFFF"/>
                <w:sz w:val="18"/>
              </w:rPr>
              <w:t>Purpose</w:t>
            </w:r>
          </w:p>
        </w:tc>
        <w:tc>
          <w:tcPr>
            <w:tcW w:type="dxa" w:w="3240"/>
            <w:vAlign w:val="center"/>
            <w:tcMar>
              <w:top w:w="100" w:type="dxa"/>
              <w:start w:w="120" w:type="dxa"/>
              <w:bottom w:w="100" w:type="dxa"/>
              <w:end w:w="120" w:type="dxa"/>
            </w:tcMar>
            <w:shd w:fill="1F4E78"/>
          </w:tcPr>
          <w:p>
            <w:pPr>
              <w:spacing w:after="40" w:before="40"/>
            </w:pPr>
            <w:r>
              <w:rPr>
                <w:b/>
                <w:color w:val="FFFFFF"/>
                <w:sz w:val="18"/>
              </w:rPr>
              <w:t>Example</w:t>
            </w:r>
          </w:p>
        </w:tc>
      </w:tr>
      <w:tr>
        <w:tc>
          <w:tcPr>
            <w:tcW w:type="dxa" w:w="1656"/>
            <w:vAlign w:val="center"/>
            <w:tcMar>
              <w:top w:w="100" w:type="dxa"/>
              <w:start w:w="120" w:type="dxa"/>
              <w:bottom w:w="100" w:type="dxa"/>
              <w:end w:w="120" w:type="dxa"/>
            </w:tcMar>
          </w:tcPr>
          <w:p>
            <w:pPr>
              <w:spacing w:after="40" w:before="40"/>
            </w:pPr>
            <w:r>
              <w:rPr>
                <w:sz w:val="18"/>
              </w:rPr>
              <w:t>Lifecycle group</w:t>
            </w:r>
          </w:p>
        </w:tc>
        <w:tc>
          <w:tcPr>
            <w:tcW w:type="dxa" w:w="1656"/>
            <w:vAlign w:val="center"/>
            <w:tcMar>
              <w:top w:w="100" w:type="dxa"/>
              <w:start w:w="120" w:type="dxa"/>
              <w:bottom w:w="100" w:type="dxa"/>
              <w:end w:w="120" w:type="dxa"/>
            </w:tcMar>
          </w:tcPr>
          <w:p>
            <w:pPr>
              <w:spacing w:after="40" w:before="40"/>
            </w:pPr>
            <w:r>
              <w:rPr>
                <w:sz w:val="18"/>
              </w:rPr>
              <w:t>NN</w:t>
            </w:r>
          </w:p>
        </w:tc>
        <w:tc>
          <w:tcPr>
            <w:tcW w:type="dxa" w:w="3528"/>
            <w:vAlign w:val="center"/>
            <w:tcMar>
              <w:top w:w="100" w:type="dxa"/>
              <w:start w:w="120" w:type="dxa"/>
              <w:bottom w:w="100" w:type="dxa"/>
              <w:end w:w="120" w:type="dxa"/>
            </w:tcMar>
          </w:tcPr>
          <w:p>
            <w:pPr>
              <w:spacing w:after="40" w:before="40"/>
            </w:pPr>
            <w:r>
              <w:rPr>
                <w:sz w:val="18"/>
              </w:rPr>
              <w:t>Recognisable phase family</w:t>
            </w:r>
          </w:p>
        </w:tc>
        <w:tc>
          <w:tcPr>
            <w:tcW w:type="dxa" w:w="3240"/>
            <w:vAlign w:val="center"/>
            <w:tcMar>
              <w:top w:w="100" w:type="dxa"/>
              <w:start w:w="120" w:type="dxa"/>
              <w:bottom w:w="100" w:type="dxa"/>
              <w:end w:w="120" w:type="dxa"/>
            </w:tcMar>
          </w:tcPr>
          <w:p>
            <w:pPr>
              <w:spacing w:after="40" w:before="40"/>
            </w:pPr>
            <w:r>
              <w:rPr>
                <w:sz w:val="18"/>
              </w:rPr>
              <w:t>50 Solution Design</w:t>
            </w:r>
          </w:p>
        </w:tc>
      </w:tr>
      <w:tr>
        <w:tc>
          <w:tcPr>
            <w:tcW w:type="dxa" w:w="1656"/>
            <w:vAlign w:val="center"/>
            <w:tcMar>
              <w:top w:w="100" w:type="dxa"/>
              <w:start w:w="120" w:type="dxa"/>
              <w:bottom w:w="100" w:type="dxa"/>
              <w:end w:w="120" w:type="dxa"/>
            </w:tcMar>
            <w:shd w:fill="EAF2F8"/>
          </w:tcPr>
          <w:p>
            <w:pPr>
              <w:spacing w:after="40" w:before="40"/>
            </w:pPr>
            <w:r>
              <w:rPr>
                <w:sz w:val="18"/>
              </w:rPr>
              <w:t>Subject</w:t>
            </w:r>
          </w:p>
        </w:tc>
        <w:tc>
          <w:tcPr>
            <w:tcW w:type="dxa" w:w="1656"/>
            <w:vAlign w:val="center"/>
            <w:tcMar>
              <w:top w:w="100" w:type="dxa"/>
              <w:start w:w="120" w:type="dxa"/>
              <w:bottom w:w="100" w:type="dxa"/>
              <w:end w:w="120" w:type="dxa"/>
            </w:tcMar>
            <w:shd w:fill="EAF2F8"/>
          </w:tcPr>
          <w:p>
            <w:pPr>
              <w:spacing w:after="40" w:before="40"/>
            </w:pPr>
            <w:r>
              <w:rPr>
                <w:sz w:val="18"/>
              </w:rPr>
              <w:t>NN.NN</w:t>
            </w:r>
          </w:p>
        </w:tc>
        <w:tc>
          <w:tcPr>
            <w:tcW w:type="dxa" w:w="3528"/>
            <w:vAlign w:val="center"/>
            <w:tcMar>
              <w:top w:w="100" w:type="dxa"/>
              <w:start w:w="120" w:type="dxa"/>
              <w:bottom w:w="100" w:type="dxa"/>
              <w:end w:w="120" w:type="dxa"/>
            </w:tcMar>
            <w:shd w:fill="EAF2F8"/>
          </w:tcPr>
          <w:p>
            <w:pPr>
              <w:spacing w:after="40" w:before="40"/>
            </w:pPr>
            <w:r>
              <w:rPr>
                <w:sz w:val="18"/>
              </w:rPr>
              <w:t>Ordered body of related work</w:t>
            </w:r>
          </w:p>
        </w:tc>
        <w:tc>
          <w:tcPr>
            <w:tcW w:type="dxa" w:w="3240"/>
            <w:vAlign w:val="center"/>
            <w:tcMar>
              <w:top w:w="100" w:type="dxa"/>
              <w:start w:w="120" w:type="dxa"/>
              <w:bottom w:w="100" w:type="dxa"/>
              <w:end w:w="120" w:type="dxa"/>
            </w:tcMar>
            <w:shd w:fill="EAF2F8"/>
          </w:tcPr>
          <w:p>
            <w:pPr>
              <w:spacing w:after="40" w:before="40"/>
            </w:pPr>
            <w:r>
              <w:rPr>
                <w:sz w:val="18"/>
              </w:rPr>
              <w:t>50.20 Information Modelling</w:t>
            </w:r>
          </w:p>
        </w:tc>
      </w:tr>
      <w:tr>
        <w:tc>
          <w:tcPr>
            <w:tcW w:type="dxa" w:w="1656"/>
            <w:vAlign w:val="center"/>
            <w:tcMar>
              <w:top w:w="100" w:type="dxa"/>
              <w:start w:w="120" w:type="dxa"/>
              <w:bottom w:w="100" w:type="dxa"/>
              <w:end w:w="120" w:type="dxa"/>
            </w:tcMar>
          </w:tcPr>
          <w:p>
            <w:pPr>
              <w:spacing w:after="40" w:before="40"/>
            </w:pPr>
            <w:r>
              <w:rPr>
                <w:sz w:val="18"/>
              </w:rPr>
              <w:t>Document</w:t>
            </w:r>
          </w:p>
        </w:tc>
        <w:tc>
          <w:tcPr>
            <w:tcW w:type="dxa" w:w="1656"/>
            <w:vAlign w:val="center"/>
            <w:tcMar>
              <w:top w:w="100" w:type="dxa"/>
              <w:start w:w="120" w:type="dxa"/>
              <w:bottom w:w="100" w:type="dxa"/>
              <w:end w:w="120" w:type="dxa"/>
            </w:tcMar>
          </w:tcPr>
          <w:p>
            <w:pPr>
              <w:spacing w:after="40" w:before="40"/>
            </w:pPr>
            <w:r>
              <w:rPr>
                <w:sz w:val="18"/>
              </w:rPr>
              <w:t>NN.NN.NNN</w:t>
            </w:r>
          </w:p>
        </w:tc>
        <w:tc>
          <w:tcPr>
            <w:tcW w:type="dxa" w:w="3528"/>
            <w:vAlign w:val="center"/>
            <w:tcMar>
              <w:top w:w="100" w:type="dxa"/>
              <w:start w:w="120" w:type="dxa"/>
              <w:bottom w:w="100" w:type="dxa"/>
              <w:end w:w="120" w:type="dxa"/>
            </w:tcMar>
          </w:tcPr>
          <w:p>
            <w:pPr>
              <w:spacing w:after="40" w:before="40"/>
            </w:pPr>
            <w:r>
              <w:rPr>
                <w:sz w:val="18"/>
              </w:rPr>
              <w:t>Ordered primary document</w:t>
            </w:r>
          </w:p>
        </w:tc>
        <w:tc>
          <w:tcPr>
            <w:tcW w:type="dxa" w:w="3240"/>
            <w:vAlign w:val="center"/>
            <w:tcMar>
              <w:top w:w="100" w:type="dxa"/>
              <w:start w:w="120" w:type="dxa"/>
              <w:bottom w:w="100" w:type="dxa"/>
              <w:end w:w="120" w:type="dxa"/>
            </w:tcMar>
          </w:tcPr>
          <w:p>
            <w:pPr>
              <w:spacing w:after="40" w:before="40"/>
            </w:pPr>
            <w:r>
              <w:rPr>
                <w:sz w:val="18"/>
              </w:rPr>
              <w:t>50.20.010 Data Modelling Guidance.docx</w:t>
            </w:r>
          </w:p>
        </w:tc>
      </w:tr>
      <w:tr>
        <w:tc>
          <w:tcPr>
            <w:tcW w:type="dxa" w:w="1656"/>
            <w:vAlign w:val="center"/>
            <w:tcMar>
              <w:top w:w="100" w:type="dxa"/>
              <w:start w:w="120" w:type="dxa"/>
              <w:bottom w:w="100" w:type="dxa"/>
              <w:end w:w="120" w:type="dxa"/>
            </w:tcMar>
            <w:shd w:fill="EAF2F8"/>
          </w:tcPr>
          <w:p>
            <w:pPr>
              <w:spacing w:after="40" w:before="40"/>
            </w:pPr>
            <w:r>
              <w:rPr>
                <w:sz w:val="18"/>
              </w:rPr>
              <w:t>Optional subdivision</w:t>
            </w:r>
          </w:p>
        </w:tc>
        <w:tc>
          <w:tcPr>
            <w:tcW w:type="dxa" w:w="1656"/>
            <w:vAlign w:val="center"/>
            <w:tcMar>
              <w:top w:w="100" w:type="dxa"/>
              <w:start w:w="120" w:type="dxa"/>
              <w:bottom w:w="100" w:type="dxa"/>
              <w:end w:w="120" w:type="dxa"/>
            </w:tcMar>
            <w:shd w:fill="EAF2F8"/>
          </w:tcPr>
          <w:p>
            <w:pPr>
              <w:spacing w:after="40" w:before="40"/>
            </w:pPr>
            <w:r>
              <w:rPr>
                <w:sz w:val="18"/>
              </w:rPr>
              <w:t>NN.NN.NN.NNN</w:t>
            </w:r>
          </w:p>
        </w:tc>
        <w:tc>
          <w:tcPr>
            <w:tcW w:type="dxa" w:w="3528"/>
            <w:vAlign w:val="center"/>
            <w:tcMar>
              <w:top w:w="100" w:type="dxa"/>
              <w:start w:w="120" w:type="dxa"/>
              <w:bottom w:w="100" w:type="dxa"/>
              <w:end w:w="120" w:type="dxa"/>
            </w:tcMar>
            <w:shd w:fill="EAF2F8"/>
          </w:tcPr>
          <w:p>
            <w:pPr>
              <w:spacing w:after="40" w:before="40"/>
            </w:pPr>
            <w:r>
              <w:rPr>
                <w:sz w:val="18"/>
              </w:rPr>
              <w:t>Use only for a substantial subdomain</w:t>
            </w:r>
          </w:p>
        </w:tc>
        <w:tc>
          <w:tcPr>
            <w:tcW w:type="dxa" w:w="3240"/>
            <w:vAlign w:val="center"/>
            <w:tcMar>
              <w:top w:w="100" w:type="dxa"/>
              <w:start w:w="120" w:type="dxa"/>
              <w:bottom w:w="100" w:type="dxa"/>
              <w:end w:w="120" w:type="dxa"/>
            </w:tcMar>
            <w:shd w:fill="EAF2F8"/>
          </w:tcPr>
          <w:p>
            <w:pPr>
              <w:spacing w:after="40" w:before="40"/>
            </w:pPr>
            <w:r>
              <w:rPr>
                <w:sz w:val="18"/>
              </w:rPr>
              <w:t>50.20.30.010 Logical Model Guidance.docx</w:t>
            </w:r>
          </w:p>
        </w:tc>
      </w:tr>
    </w:tbl>
    <w:p/>
    <w:p>
      <w:pPr>
        <w:pStyle w:val="Heading2"/>
      </w:pPr>
      <w:r>
        <w:t>Padding and insertion rules</w:t>
      </w:r>
    </w:p>
    <w:p>
      <w:r>
        <w:t>Padding should reflect probable growth rather than applying the same capacity everywhere. Lifecycle groups and subjects use two digits. Documents use three digits because document sets are more likely to grow and to need insertions.</w:t>
      </w:r>
    </w:p>
    <w:p>
      <w:pPr>
        <w:pStyle w:val="ListBullet"/>
      </w:pPr>
      <w:r>
        <w:t>Create ordinary document sequences in steps of 10: 010, 020, 030.</w:t>
      </w:r>
    </w:p>
    <w:p>
      <w:pPr>
        <w:pStyle w:val="ListBullet"/>
      </w:pPr>
      <w:r>
        <w:t>For a subject expected to grow heavily, begin in steps of 20 or 50: 050, 100, 150.</w:t>
      </w:r>
    </w:p>
    <w:p>
      <w:pPr>
        <w:pStyle w:val="ListBullet"/>
      </w:pPr>
      <w:r>
        <w:t>For a stable subject expected to remain small, steps of 10 are sufficient.</w:t>
      </w:r>
    </w:p>
    <w:p>
      <w:pPr>
        <w:pStyle w:val="ListBullet"/>
      </w:pPr>
      <w:r>
        <w:t>Insert a document between 020 and 030 as 025. Do not renumber established identifiers merely to remove gaps.</w:t>
      </w:r>
    </w:p>
    <w:p>
      <w:pPr>
        <w:pStyle w:val="ListBullet"/>
      </w:pPr>
      <w:r>
        <w:t>Use the number as an ordering address, not as a count of how many items exist.</w:t>
      </w:r>
    </w:p>
    <w:p>
      <w:pPr>
        <w:pStyle w:val="Heading1"/>
      </w:pPr>
      <w:r>
        <w:t>Proposed lifecycle order</w:t>
      </w:r>
    </w:p>
    <w:p>
      <w:r>
        <w:t>The tens digit distinguishes major communities and phases. Early strategy, investment, discovery, procurement, design, delivery, transition, and operation therefore have visibly different ranges. This makes it easier for contributors to recognise where their work belongs and where subsequent work begins.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936"/>
            <w:vAlign w:val="center"/>
            <w:tcMar>
              <w:top w:w="100" w:type="dxa"/>
              <w:start w:w="120" w:type="dxa"/>
              <w:bottom w:w="100" w:type="dxa"/>
              <w:end w:w="120" w:type="dxa"/>
            </w:tcMar>
            <w:shd w:fill="1F4E78"/>
          </w:tcPr>
          <w:p>
            <w:pPr>
              <w:spacing w:after="40" w:before="40"/>
            </w:pPr>
            <w:r>
              <w:rPr>
                <w:b/>
                <w:color w:val="FFFFFF"/>
                <w:sz w:val="18"/>
              </w:rPr>
              <w:t>Range</w:t>
            </w:r>
          </w:p>
        </w:tc>
        <w:tc>
          <w:tcPr>
            <w:tcW w:type="dxa" w:w="3240"/>
            <w:vAlign w:val="center"/>
            <w:tcMar>
              <w:top w:w="100" w:type="dxa"/>
              <w:start w:w="120" w:type="dxa"/>
              <w:bottom w:w="100" w:type="dxa"/>
              <w:end w:w="120" w:type="dxa"/>
            </w:tcMar>
            <w:shd w:fill="1F4E78"/>
          </w:tcPr>
          <w:p>
            <w:pPr>
              <w:spacing w:after="40" w:before="40"/>
            </w:pPr>
            <w:r>
              <w:rPr>
                <w:b/>
                <w:color w:val="FFFFFF"/>
                <w:sz w:val="18"/>
              </w:rPr>
              <w:t>Lifecycle group</w:t>
            </w:r>
          </w:p>
        </w:tc>
        <w:tc>
          <w:tcPr>
            <w:tcW w:type="dxa" w:w="5904"/>
            <w:vAlign w:val="center"/>
            <w:tcMar>
              <w:top w:w="100" w:type="dxa"/>
              <w:start w:w="120" w:type="dxa"/>
              <w:bottom w:w="100" w:type="dxa"/>
              <w:end w:w="120" w:type="dxa"/>
            </w:tcMar>
            <w:shd w:fill="1F4E78"/>
          </w:tcPr>
          <w:p>
            <w:pPr>
              <w:spacing w:after="40" w:before="40"/>
            </w:pPr>
            <w:r>
              <w:rPr>
                <w:b/>
                <w:color w:val="FFFFFF"/>
                <w:sz w:val="18"/>
              </w:rPr>
              <w:t>Scope</w:t>
            </w:r>
          </w:p>
        </w:tc>
      </w:tr>
      <w:tr>
        <w:tc>
          <w:tcPr>
            <w:tcW w:type="dxa" w:w="936"/>
            <w:vAlign w:val="center"/>
            <w:tcMar>
              <w:top w:w="100" w:type="dxa"/>
              <w:start w:w="120" w:type="dxa"/>
              <w:bottom w:w="100" w:type="dxa"/>
              <w:end w:w="120" w:type="dxa"/>
            </w:tcMar>
          </w:tcPr>
          <w:p>
            <w:pPr>
              <w:spacing w:after="40" w:before="40"/>
            </w:pPr>
            <w:r>
              <w:rPr>
                <w:sz w:val="18"/>
              </w:rPr>
              <w:t>00</w:t>
            </w:r>
          </w:p>
        </w:tc>
        <w:tc>
          <w:tcPr>
            <w:tcW w:type="dxa" w:w="3240"/>
            <w:vAlign w:val="center"/>
            <w:tcMar>
              <w:top w:w="100" w:type="dxa"/>
              <w:start w:w="120" w:type="dxa"/>
              <w:bottom w:w="100" w:type="dxa"/>
              <w:end w:w="120" w:type="dxa"/>
            </w:tcMar>
          </w:tcPr>
          <w:p>
            <w:pPr>
              <w:spacing w:after="40" w:before="40"/>
            </w:pPr>
            <w:r>
              <w:rPr>
                <w:sz w:val="18"/>
              </w:rPr>
              <w:t>Repository and cross-cutting management</w:t>
            </w:r>
          </w:p>
        </w:tc>
        <w:tc>
          <w:tcPr>
            <w:tcW w:type="dxa" w:w="5904"/>
            <w:vAlign w:val="center"/>
            <w:tcMar>
              <w:top w:w="100" w:type="dxa"/>
              <w:start w:w="120" w:type="dxa"/>
              <w:bottom w:w="100" w:type="dxa"/>
              <w:end w:w="120" w:type="dxa"/>
            </w:tcMar>
          </w:tcPr>
          <w:p>
            <w:pPr>
              <w:spacing w:after="40" w:before="40"/>
            </w:pPr>
            <w:r>
              <w:rPr>
                <w:sz w:val="18"/>
              </w:rPr>
              <w:t>Index, conventions, governance, registers, decisions, risks and shared management material</w:t>
            </w:r>
          </w:p>
        </w:tc>
      </w:tr>
      <w:tr>
        <w:tc>
          <w:tcPr>
            <w:tcW w:type="dxa" w:w="936"/>
            <w:vAlign w:val="center"/>
            <w:tcMar>
              <w:top w:w="100" w:type="dxa"/>
              <w:start w:w="120" w:type="dxa"/>
              <w:bottom w:w="100" w:type="dxa"/>
              <w:end w:w="120" w:type="dxa"/>
            </w:tcMar>
            <w:shd w:fill="EAF2F8"/>
          </w:tcPr>
          <w:p>
            <w:pPr>
              <w:spacing w:after="40" w:before="40"/>
            </w:pPr>
            <w:r>
              <w:rPr>
                <w:sz w:val="18"/>
              </w:rPr>
              <w:t>10</w:t>
            </w:r>
          </w:p>
        </w:tc>
        <w:tc>
          <w:tcPr>
            <w:tcW w:type="dxa" w:w="3240"/>
            <w:vAlign w:val="center"/>
            <w:tcMar>
              <w:top w:w="100" w:type="dxa"/>
              <w:start w:w="120" w:type="dxa"/>
              <w:bottom w:w="100" w:type="dxa"/>
              <w:end w:w="120" w:type="dxa"/>
            </w:tcMar>
            <w:shd w:fill="EAF2F8"/>
          </w:tcPr>
          <w:p>
            <w:pPr>
              <w:spacing w:after="40" w:before="40"/>
            </w:pPr>
            <w:r>
              <w:rPr>
                <w:sz w:val="18"/>
              </w:rPr>
              <w:t>Environmental sensing and strategic direction</w:t>
            </w:r>
          </w:p>
        </w:tc>
        <w:tc>
          <w:tcPr>
            <w:tcW w:type="dxa" w:w="5904"/>
            <w:vAlign w:val="center"/>
            <w:tcMar>
              <w:top w:w="100" w:type="dxa"/>
              <w:start w:w="120" w:type="dxa"/>
              <w:bottom w:w="100" w:type="dxa"/>
              <w:end w:w="120" w:type="dxa"/>
            </w:tcMar>
            <w:shd w:fill="EAF2F8"/>
          </w:tcPr>
          <w:p>
            <w:pPr>
              <w:spacing w:after="40" w:before="40"/>
            </w:pPr>
            <w:r>
              <w:rPr>
                <w:sz w:val="18"/>
              </w:rPr>
              <w:t>External drivers, opportunities, problems, policy direction, outcomes and strategic framing</w:t>
            </w:r>
          </w:p>
        </w:tc>
      </w:tr>
      <w:tr>
        <w:tc>
          <w:tcPr>
            <w:tcW w:type="dxa" w:w="936"/>
            <w:vAlign w:val="center"/>
            <w:tcMar>
              <w:top w:w="100" w:type="dxa"/>
              <w:start w:w="120" w:type="dxa"/>
              <w:bottom w:w="100" w:type="dxa"/>
              <w:end w:w="120" w:type="dxa"/>
            </w:tcMar>
          </w:tcPr>
          <w:p>
            <w:pPr>
              <w:spacing w:after="40" w:before="40"/>
            </w:pPr>
            <w:r>
              <w:rPr>
                <w:sz w:val="18"/>
              </w:rPr>
              <w:t>20</w:t>
            </w:r>
          </w:p>
        </w:tc>
        <w:tc>
          <w:tcPr>
            <w:tcW w:type="dxa" w:w="3240"/>
            <w:vAlign w:val="center"/>
            <w:tcMar>
              <w:top w:w="100" w:type="dxa"/>
              <w:start w:w="120" w:type="dxa"/>
              <w:bottom w:w="100" w:type="dxa"/>
              <w:end w:w="120" w:type="dxa"/>
            </w:tcMar>
          </w:tcPr>
          <w:p>
            <w:pPr>
              <w:spacing w:after="40" w:before="40"/>
            </w:pPr>
            <w:r>
              <w:rPr>
                <w:sz w:val="18"/>
              </w:rPr>
              <w:t>Investment and project initiation</w:t>
            </w:r>
          </w:p>
        </w:tc>
        <w:tc>
          <w:tcPr>
            <w:tcW w:type="dxa" w:w="5904"/>
            <w:vAlign w:val="center"/>
            <w:tcMar>
              <w:top w:w="100" w:type="dxa"/>
              <w:start w:w="120" w:type="dxa"/>
              <w:bottom w:w="100" w:type="dxa"/>
              <w:end w:w="120" w:type="dxa"/>
            </w:tcMar>
          </w:tcPr>
          <w:p>
            <w:pPr>
              <w:spacing w:after="40" w:before="40"/>
            </w:pPr>
            <w:r>
              <w:rPr>
                <w:sz w:val="18"/>
              </w:rPr>
              <w:t>Funding, business cases, sponsorship, mandates, project preparation and governance setup</w:t>
            </w:r>
          </w:p>
        </w:tc>
      </w:tr>
      <w:tr>
        <w:tc>
          <w:tcPr>
            <w:tcW w:type="dxa" w:w="936"/>
            <w:vAlign w:val="center"/>
            <w:tcMar>
              <w:top w:w="100" w:type="dxa"/>
              <w:start w:w="120" w:type="dxa"/>
              <w:bottom w:w="100" w:type="dxa"/>
              <w:end w:w="120" w:type="dxa"/>
            </w:tcMar>
            <w:shd w:fill="EAF2F8"/>
          </w:tcPr>
          <w:p>
            <w:pPr>
              <w:spacing w:after="40" w:before="40"/>
            </w:pPr>
            <w:r>
              <w:rPr>
                <w:sz w:val="18"/>
              </w:rPr>
              <w:t>30</w:t>
            </w:r>
          </w:p>
        </w:tc>
        <w:tc>
          <w:tcPr>
            <w:tcW w:type="dxa" w:w="3240"/>
            <w:vAlign w:val="center"/>
            <w:tcMar>
              <w:top w:w="100" w:type="dxa"/>
              <w:start w:w="120" w:type="dxa"/>
              <w:bottom w:w="100" w:type="dxa"/>
              <w:end w:w="120" w:type="dxa"/>
            </w:tcMar>
            <w:shd w:fill="EAF2F8"/>
          </w:tcPr>
          <w:p>
            <w:pPr>
              <w:spacing w:after="40" w:before="40"/>
            </w:pPr>
            <w:r>
              <w:rPr>
                <w:sz w:val="18"/>
              </w:rPr>
              <w:t>Discovery and solution definition</w:t>
            </w:r>
          </w:p>
        </w:tc>
        <w:tc>
          <w:tcPr>
            <w:tcW w:type="dxa" w:w="5904"/>
            <w:vAlign w:val="center"/>
            <w:tcMar>
              <w:top w:w="100" w:type="dxa"/>
              <w:start w:w="120" w:type="dxa"/>
              <w:bottom w:w="100" w:type="dxa"/>
              <w:end w:w="120" w:type="dxa"/>
            </w:tcMar>
            <w:shd w:fill="EAF2F8"/>
          </w:tcPr>
          <w:p>
            <w:pPr>
              <w:spacing w:after="40" w:before="40"/>
            </w:pPr>
            <w:r>
              <w:rPr>
                <w:sz w:val="18"/>
              </w:rPr>
              <w:t>Context, stakeholders, needs, requirements, capabilities, constraints and definition of the problem</w:t>
            </w:r>
          </w:p>
        </w:tc>
      </w:tr>
      <w:tr>
        <w:tc>
          <w:tcPr>
            <w:tcW w:type="dxa" w:w="936"/>
            <w:vAlign w:val="center"/>
            <w:tcMar>
              <w:top w:w="100" w:type="dxa"/>
              <w:start w:w="120" w:type="dxa"/>
              <w:bottom w:w="100" w:type="dxa"/>
              <w:end w:w="120" w:type="dxa"/>
            </w:tcMar>
          </w:tcPr>
          <w:p>
            <w:pPr>
              <w:spacing w:after="40" w:before="40"/>
            </w:pPr>
            <w:r>
              <w:rPr>
                <w:sz w:val="18"/>
              </w:rPr>
              <w:t>40</w:t>
            </w:r>
          </w:p>
        </w:tc>
        <w:tc>
          <w:tcPr>
            <w:tcW w:type="dxa" w:w="3240"/>
            <w:vAlign w:val="center"/>
            <w:tcMar>
              <w:top w:w="100" w:type="dxa"/>
              <w:start w:w="120" w:type="dxa"/>
              <w:bottom w:w="100" w:type="dxa"/>
              <w:end w:w="120" w:type="dxa"/>
            </w:tcMar>
          </w:tcPr>
          <w:p>
            <w:pPr>
              <w:spacing w:after="40" w:before="40"/>
            </w:pPr>
            <w:r>
              <w:rPr>
                <w:sz w:val="18"/>
              </w:rPr>
              <w:t>Procurement and selection</w:t>
            </w:r>
          </w:p>
        </w:tc>
        <w:tc>
          <w:tcPr>
            <w:tcW w:type="dxa" w:w="5904"/>
            <w:vAlign w:val="center"/>
            <w:tcMar>
              <w:top w:w="100" w:type="dxa"/>
              <w:start w:w="120" w:type="dxa"/>
              <w:bottom w:w="100" w:type="dxa"/>
              <w:end w:w="120" w:type="dxa"/>
            </w:tcMar>
          </w:tcPr>
          <w:p>
            <w:pPr>
              <w:spacing w:after="40" w:before="40"/>
            </w:pPr>
            <w:r>
              <w:rPr>
                <w:sz w:val="18"/>
              </w:rPr>
              <w:t>Procurement preparation, market engagement, response evaluation, selection and contracting</w:t>
            </w:r>
          </w:p>
        </w:tc>
      </w:tr>
      <w:tr>
        <w:tc>
          <w:tcPr>
            <w:tcW w:type="dxa" w:w="936"/>
            <w:vAlign w:val="center"/>
            <w:tcMar>
              <w:top w:w="100" w:type="dxa"/>
              <w:start w:w="120" w:type="dxa"/>
              <w:bottom w:w="100" w:type="dxa"/>
              <w:end w:w="120" w:type="dxa"/>
            </w:tcMar>
            <w:shd w:fill="EAF2F8"/>
          </w:tcPr>
          <w:p>
            <w:pPr>
              <w:spacing w:after="40" w:before="40"/>
            </w:pPr>
            <w:r>
              <w:rPr>
                <w:sz w:val="18"/>
              </w:rPr>
              <w:t>50</w:t>
            </w:r>
          </w:p>
        </w:tc>
        <w:tc>
          <w:tcPr>
            <w:tcW w:type="dxa" w:w="3240"/>
            <w:vAlign w:val="center"/>
            <w:tcMar>
              <w:top w:w="100" w:type="dxa"/>
              <w:start w:w="120" w:type="dxa"/>
              <w:bottom w:w="100" w:type="dxa"/>
              <w:end w:w="120" w:type="dxa"/>
            </w:tcMar>
            <w:shd w:fill="EAF2F8"/>
          </w:tcPr>
          <w:p>
            <w:pPr>
              <w:spacing w:after="40" w:before="40"/>
            </w:pPr>
            <w:r>
              <w:rPr>
                <w:sz w:val="18"/>
              </w:rPr>
              <w:t>Solution design</w:t>
            </w:r>
          </w:p>
        </w:tc>
        <w:tc>
          <w:tcPr>
            <w:tcW w:type="dxa" w:w="5904"/>
            <w:vAlign w:val="center"/>
            <w:tcMar>
              <w:top w:w="100" w:type="dxa"/>
              <w:start w:w="120" w:type="dxa"/>
              <w:bottom w:w="100" w:type="dxa"/>
              <w:end w:w="120" w:type="dxa"/>
            </w:tcMar>
            <w:shd w:fill="EAF2F8"/>
          </w:tcPr>
          <w:p>
            <w:pPr>
              <w:spacing w:after="40" w:before="40"/>
            </w:pPr>
            <w:r>
              <w:rPr>
                <w:sz w:val="18"/>
              </w:rPr>
              <w:t>Architecture, information, functionality, interfaces, security, infrastructure and operability design</w:t>
            </w:r>
          </w:p>
        </w:tc>
      </w:tr>
      <w:tr>
        <w:tc>
          <w:tcPr>
            <w:tcW w:type="dxa" w:w="936"/>
            <w:vAlign w:val="center"/>
            <w:tcMar>
              <w:top w:w="100" w:type="dxa"/>
              <w:start w:w="120" w:type="dxa"/>
              <w:bottom w:w="100" w:type="dxa"/>
              <w:end w:w="120" w:type="dxa"/>
            </w:tcMar>
          </w:tcPr>
          <w:p>
            <w:pPr>
              <w:spacing w:after="40" w:before="40"/>
            </w:pPr>
            <w:r>
              <w:rPr>
                <w:sz w:val="18"/>
              </w:rPr>
              <w:t>60</w:t>
            </w:r>
          </w:p>
        </w:tc>
        <w:tc>
          <w:tcPr>
            <w:tcW w:type="dxa" w:w="3240"/>
            <w:vAlign w:val="center"/>
            <w:tcMar>
              <w:top w:w="100" w:type="dxa"/>
              <w:start w:w="120" w:type="dxa"/>
              <w:bottom w:w="100" w:type="dxa"/>
              <w:end w:w="120" w:type="dxa"/>
            </w:tcMar>
          </w:tcPr>
          <w:p>
            <w:pPr>
              <w:spacing w:after="40" w:before="40"/>
            </w:pPr>
            <w:r>
              <w:rPr>
                <w:sz w:val="18"/>
              </w:rPr>
              <w:t>Delivery and implementation</w:t>
            </w:r>
          </w:p>
        </w:tc>
        <w:tc>
          <w:tcPr>
            <w:tcW w:type="dxa" w:w="5904"/>
            <w:vAlign w:val="center"/>
            <w:tcMar>
              <w:top w:w="100" w:type="dxa"/>
              <w:start w:w="120" w:type="dxa"/>
              <w:bottom w:w="100" w:type="dxa"/>
              <w:end w:w="120" w:type="dxa"/>
            </w:tcMar>
          </w:tcPr>
          <w:p>
            <w:pPr>
              <w:spacing w:after="40" w:before="40"/>
            </w:pPr>
            <w:r>
              <w:rPr>
                <w:sz w:val="18"/>
              </w:rPr>
              <w:t>Delivery preparation, development, configuration, integration, testing, deployment and implementation</w:t>
            </w:r>
          </w:p>
        </w:tc>
      </w:tr>
      <w:tr>
        <w:tc>
          <w:tcPr>
            <w:tcW w:type="dxa" w:w="936"/>
            <w:vAlign w:val="center"/>
            <w:tcMar>
              <w:top w:w="100" w:type="dxa"/>
              <w:start w:w="120" w:type="dxa"/>
              <w:bottom w:w="100" w:type="dxa"/>
              <w:end w:w="120" w:type="dxa"/>
            </w:tcMar>
            <w:shd w:fill="EAF2F8"/>
          </w:tcPr>
          <w:p>
            <w:pPr>
              <w:spacing w:after="40" w:before="40"/>
            </w:pPr>
            <w:r>
              <w:rPr>
                <w:sz w:val="18"/>
              </w:rPr>
              <w:t>70</w:t>
            </w:r>
          </w:p>
        </w:tc>
        <w:tc>
          <w:tcPr>
            <w:tcW w:type="dxa" w:w="3240"/>
            <w:vAlign w:val="center"/>
            <w:tcMar>
              <w:top w:w="100" w:type="dxa"/>
              <w:start w:w="120" w:type="dxa"/>
              <w:bottom w:w="100" w:type="dxa"/>
              <w:end w:w="120" w:type="dxa"/>
            </w:tcMar>
            <w:shd w:fill="EAF2F8"/>
          </w:tcPr>
          <w:p>
            <w:pPr>
              <w:spacing w:after="40" w:before="40"/>
            </w:pPr>
            <w:r>
              <w:rPr>
                <w:sz w:val="18"/>
              </w:rPr>
              <w:t>Operational readiness and transition</w:t>
            </w:r>
          </w:p>
        </w:tc>
        <w:tc>
          <w:tcPr>
            <w:tcW w:type="dxa" w:w="5904"/>
            <w:vAlign w:val="center"/>
            <w:tcMar>
              <w:top w:w="100" w:type="dxa"/>
              <w:start w:w="120" w:type="dxa"/>
              <w:bottom w:w="100" w:type="dxa"/>
              <w:end w:w="120" w:type="dxa"/>
            </w:tcMar>
            <w:shd w:fill="EAF2F8"/>
          </w:tcPr>
          <w:p>
            <w:pPr>
              <w:spacing w:after="40" w:before="40"/>
            </w:pPr>
            <w:r>
              <w:rPr>
                <w:sz w:val="18"/>
              </w:rPr>
              <w:t>Readiness assessment, handover, training, release, service acceptance and transition</w:t>
            </w:r>
          </w:p>
        </w:tc>
      </w:tr>
      <w:tr>
        <w:tc>
          <w:tcPr>
            <w:tcW w:type="dxa" w:w="936"/>
            <w:vAlign w:val="center"/>
            <w:tcMar>
              <w:top w:w="100" w:type="dxa"/>
              <w:start w:w="120" w:type="dxa"/>
              <w:bottom w:w="100" w:type="dxa"/>
              <w:end w:w="120" w:type="dxa"/>
            </w:tcMar>
          </w:tcPr>
          <w:p>
            <w:pPr>
              <w:spacing w:after="40" w:before="40"/>
            </w:pPr>
            <w:r>
              <w:rPr>
                <w:sz w:val="18"/>
              </w:rPr>
              <w:t>80</w:t>
            </w:r>
          </w:p>
        </w:tc>
        <w:tc>
          <w:tcPr>
            <w:tcW w:type="dxa" w:w="3240"/>
            <w:vAlign w:val="center"/>
            <w:tcMar>
              <w:top w:w="100" w:type="dxa"/>
              <w:start w:w="120" w:type="dxa"/>
              <w:bottom w:w="100" w:type="dxa"/>
              <w:end w:w="120" w:type="dxa"/>
            </w:tcMar>
          </w:tcPr>
          <w:p>
            <w:pPr>
              <w:spacing w:after="40" w:before="40"/>
            </w:pPr>
            <w:r>
              <w:rPr>
                <w:sz w:val="18"/>
              </w:rPr>
              <w:t>Operation and improvement</w:t>
            </w:r>
          </w:p>
        </w:tc>
        <w:tc>
          <w:tcPr>
            <w:tcW w:type="dxa" w:w="5904"/>
            <w:vAlign w:val="center"/>
            <w:tcMar>
              <w:top w:w="100" w:type="dxa"/>
              <w:start w:w="120" w:type="dxa"/>
              <w:bottom w:w="100" w:type="dxa"/>
              <w:end w:w="120" w:type="dxa"/>
            </w:tcMar>
          </w:tcPr>
          <w:p>
            <w:pPr>
              <w:spacing w:after="40" w:before="40"/>
            </w:pPr>
            <w:r>
              <w:rPr>
                <w:sz w:val="18"/>
              </w:rPr>
              <w:t>Service management, monitoring, support, maintenance, benefits, evaluation and continual improvement</w:t>
            </w:r>
          </w:p>
        </w:tc>
      </w:tr>
      <w:tr>
        <w:tc>
          <w:tcPr>
            <w:tcW w:type="dxa" w:w="936"/>
            <w:vAlign w:val="center"/>
            <w:tcMar>
              <w:top w:w="100" w:type="dxa"/>
              <w:start w:w="120" w:type="dxa"/>
              <w:bottom w:w="100" w:type="dxa"/>
              <w:end w:w="120" w:type="dxa"/>
            </w:tcMar>
            <w:shd w:fill="EAF2F8"/>
          </w:tcPr>
          <w:p>
            <w:pPr>
              <w:spacing w:after="40" w:before="40"/>
            </w:pPr>
            <w:r>
              <w:rPr>
                <w:sz w:val="18"/>
              </w:rPr>
              <w:t>90</w:t>
            </w:r>
          </w:p>
        </w:tc>
        <w:tc>
          <w:tcPr>
            <w:tcW w:type="dxa" w:w="3240"/>
            <w:vAlign w:val="center"/>
            <w:tcMar>
              <w:top w:w="100" w:type="dxa"/>
              <w:start w:w="120" w:type="dxa"/>
              <w:bottom w:w="100" w:type="dxa"/>
              <w:end w:w="120" w:type="dxa"/>
            </w:tcMar>
            <w:shd w:fill="EAF2F8"/>
          </w:tcPr>
          <w:p>
            <w:pPr>
              <w:spacing w:after="40" w:before="40"/>
            </w:pPr>
            <w:r>
              <w:rPr>
                <w:sz w:val="18"/>
              </w:rPr>
              <w:t>Retirement and closure</w:t>
            </w:r>
          </w:p>
        </w:tc>
        <w:tc>
          <w:tcPr>
            <w:tcW w:type="dxa" w:w="5904"/>
            <w:vAlign w:val="center"/>
            <w:tcMar>
              <w:top w:w="100" w:type="dxa"/>
              <w:start w:w="120" w:type="dxa"/>
              <w:bottom w:w="100" w:type="dxa"/>
              <w:end w:w="120" w:type="dxa"/>
            </w:tcMar>
            <w:shd w:fill="EAF2F8"/>
          </w:tcPr>
          <w:p>
            <w:pPr>
              <w:spacing w:after="40" w:before="40"/>
            </w:pPr>
            <w:r>
              <w:rPr>
                <w:sz w:val="18"/>
              </w:rPr>
              <w:t>Replacement, migration, decommissioning, records retention, closure and lessons learned</w:t>
            </w:r>
          </w:p>
        </w:tc>
      </w:tr>
    </w:tbl>
    <w:p/>
    <w:p>
      <w:pPr>
        <w:pStyle w:val="Heading1"/>
      </w:pPr>
      <w:r>
        <w:t>Initial subject order</w:t>
      </w:r>
    </w:p>
    <w:p>
      <w:r>
        <w:t>The following subjects are an initial scaffold, not a claim that every range is complete. Unused numbers are intentionally retained for later insertion.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152"/>
            <w:vAlign w:val="center"/>
            <w:tcMar>
              <w:top w:w="100" w:type="dxa"/>
              <w:start w:w="120" w:type="dxa"/>
              <w:bottom w:w="100" w:type="dxa"/>
              <w:end w:w="120" w:type="dxa"/>
            </w:tcMar>
            <w:shd w:fill="1F4E78"/>
          </w:tcPr>
          <w:p>
            <w:pPr>
              <w:spacing w:after="40" w:before="40"/>
            </w:pPr>
            <w:r>
              <w:rPr>
                <w:b/>
                <w:color w:val="FFFFFF"/>
                <w:sz w:val="18"/>
              </w:rPr>
              <w:t>Identifier</w:t>
            </w:r>
          </w:p>
        </w:tc>
        <w:tc>
          <w:tcPr>
            <w:tcW w:type="dxa" w:w="3096"/>
            <w:vAlign w:val="center"/>
            <w:tcMar>
              <w:top w:w="100" w:type="dxa"/>
              <w:start w:w="120" w:type="dxa"/>
              <w:bottom w:w="100" w:type="dxa"/>
              <w:end w:w="120" w:type="dxa"/>
            </w:tcMar>
            <w:shd w:fill="1F4E78"/>
          </w:tcPr>
          <w:p>
            <w:pPr>
              <w:spacing w:after="40" w:before="40"/>
            </w:pPr>
            <w:r>
              <w:rPr>
                <w:b/>
                <w:color w:val="FFFFFF"/>
                <w:sz w:val="18"/>
              </w:rPr>
              <w:t>Subject</w:t>
            </w:r>
          </w:p>
        </w:tc>
        <w:tc>
          <w:tcPr>
            <w:tcW w:type="dxa" w:w="5832"/>
            <w:vAlign w:val="center"/>
            <w:tcMar>
              <w:top w:w="100" w:type="dxa"/>
              <w:start w:w="120" w:type="dxa"/>
              <w:bottom w:w="100" w:type="dxa"/>
              <w:end w:w="120" w:type="dxa"/>
            </w:tcMar>
            <w:shd w:fill="1F4E78"/>
          </w:tcPr>
          <w:p>
            <w:pPr>
              <w:spacing w:after="40" w:before="40"/>
            </w:pPr>
            <w:r>
              <w:rPr>
                <w:b/>
                <w:color w:val="FFFFFF"/>
                <w:sz w:val="18"/>
              </w:rPr>
              <w:t>Typical contents</w:t>
            </w:r>
          </w:p>
        </w:tc>
      </w:tr>
      <w:tr>
        <w:tc>
          <w:tcPr>
            <w:tcW w:type="dxa" w:w="1152"/>
            <w:vAlign w:val="center"/>
            <w:tcMar>
              <w:top w:w="100" w:type="dxa"/>
              <w:start w:w="120" w:type="dxa"/>
              <w:bottom w:w="100" w:type="dxa"/>
              <w:end w:w="120" w:type="dxa"/>
            </w:tcMar>
          </w:tcPr>
          <w:p>
            <w:pPr>
              <w:spacing w:after="40" w:before="40"/>
            </w:pPr>
            <w:r>
              <w:rPr>
                <w:sz w:val="18"/>
              </w:rPr>
              <w:t>00.10</w:t>
            </w:r>
          </w:p>
        </w:tc>
        <w:tc>
          <w:tcPr>
            <w:tcW w:type="dxa" w:w="3096"/>
            <w:vAlign w:val="center"/>
            <w:tcMar>
              <w:top w:w="100" w:type="dxa"/>
              <w:start w:w="120" w:type="dxa"/>
              <w:bottom w:w="100" w:type="dxa"/>
              <w:end w:w="120" w:type="dxa"/>
            </w:tcMar>
          </w:tcPr>
          <w:p>
            <w:pPr>
              <w:spacing w:after="40" w:before="40"/>
            </w:pPr>
            <w:r>
              <w:rPr>
                <w:sz w:val="18"/>
              </w:rPr>
              <w:t>Repository guidance</w:t>
            </w:r>
          </w:p>
        </w:tc>
        <w:tc>
          <w:tcPr>
            <w:tcW w:type="dxa" w:w="5832"/>
            <w:vAlign w:val="center"/>
            <w:tcMar>
              <w:top w:w="100" w:type="dxa"/>
              <w:start w:w="120" w:type="dxa"/>
              <w:bottom w:w="100" w:type="dxa"/>
              <w:end w:w="120" w:type="dxa"/>
            </w:tcMar>
          </w:tcPr>
          <w:p>
            <w:pPr>
              <w:spacing w:after="40" w:before="40"/>
            </w:pPr>
            <w:r>
              <w:rPr>
                <w:sz w:val="18"/>
              </w:rPr>
              <w:t>INDEX, naming rules, contribution and migration guidance</w:t>
            </w:r>
          </w:p>
        </w:tc>
      </w:tr>
      <w:tr>
        <w:tc>
          <w:tcPr>
            <w:tcW w:type="dxa" w:w="1152"/>
            <w:vAlign w:val="center"/>
            <w:tcMar>
              <w:top w:w="100" w:type="dxa"/>
              <w:start w:w="120" w:type="dxa"/>
              <w:bottom w:w="100" w:type="dxa"/>
              <w:end w:w="120" w:type="dxa"/>
            </w:tcMar>
            <w:shd w:fill="EAF2F8"/>
          </w:tcPr>
          <w:p>
            <w:pPr>
              <w:spacing w:after="40" w:before="40"/>
            </w:pPr>
            <w:r>
              <w:rPr>
                <w:sz w:val="18"/>
              </w:rPr>
              <w:t>00.20</w:t>
            </w:r>
          </w:p>
        </w:tc>
        <w:tc>
          <w:tcPr>
            <w:tcW w:type="dxa" w:w="3096"/>
            <w:vAlign w:val="center"/>
            <w:tcMar>
              <w:top w:w="100" w:type="dxa"/>
              <w:start w:w="120" w:type="dxa"/>
              <w:bottom w:w="100" w:type="dxa"/>
              <w:end w:w="120" w:type="dxa"/>
            </w:tcMar>
            <w:shd w:fill="EAF2F8"/>
          </w:tcPr>
          <w:p>
            <w:pPr>
              <w:spacing w:after="40" w:before="40"/>
            </w:pPr>
            <w:r>
              <w:rPr>
                <w:sz w:val="18"/>
              </w:rPr>
              <w:t>Governance and decisions</w:t>
            </w:r>
          </w:p>
        </w:tc>
        <w:tc>
          <w:tcPr>
            <w:tcW w:type="dxa" w:w="5832"/>
            <w:vAlign w:val="center"/>
            <w:tcMar>
              <w:top w:w="100" w:type="dxa"/>
              <w:start w:w="120" w:type="dxa"/>
              <w:bottom w:w="100" w:type="dxa"/>
              <w:end w:w="120" w:type="dxa"/>
            </w:tcMar>
            <w:shd w:fill="EAF2F8"/>
          </w:tcPr>
          <w:p>
            <w:pPr>
              <w:spacing w:after="40" w:before="40"/>
            </w:pPr>
            <w:r>
              <w:rPr>
                <w:sz w:val="18"/>
              </w:rPr>
              <w:t>Principles, decisions, reviews and approvals</w:t>
            </w:r>
          </w:p>
        </w:tc>
      </w:tr>
      <w:tr>
        <w:tc>
          <w:tcPr>
            <w:tcW w:type="dxa" w:w="1152"/>
            <w:vAlign w:val="center"/>
            <w:tcMar>
              <w:top w:w="100" w:type="dxa"/>
              <w:start w:w="120" w:type="dxa"/>
              <w:bottom w:w="100" w:type="dxa"/>
              <w:end w:w="120" w:type="dxa"/>
            </w:tcMar>
          </w:tcPr>
          <w:p>
            <w:pPr>
              <w:spacing w:after="40" w:before="40"/>
            </w:pPr>
            <w:r>
              <w:rPr>
                <w:sz w:val="18"/>
              </w:rPr>
              <w:t>00.30</w:t>
            </w:r>
          </w:p>
        </w:tc>
        <w:tc>
          <w:tcPr>
            <w:tcW w:type="dxa" w:w="3096"/>
            <w:vAlign w:val="center"/>
            <w:tcMar>
              <w:top w:w="100" w:type="dxa"/>
              <w:start w:w="120" w:type="dxa"/>
              <w:bottom w:w="100" w:type="dxa"/>
              <w:end w:w="120" w:type="dxa"/>
            </w:tcMar>
          </w:tcPr>
          <w:p>
            <w:pPr>
              <w:spacing w:after="40" w:before="40"/>
            </w:pPr>
            <w:r>
              <w:rPr>
                <w:sz w:val="18"/>
              </w:rPr>
              <w:t>Management registers</w:t>
            </w:r>
          </w:p>
        </w:tc>
        <w:tc>
          <w:tcPr>
            <w:tcW w:type="dxa" w:w="5832"/>
            <w:vAlign w:val="center"/>
            <w:tcMar>
              <w:top w:w="100" w:type="dxa"/>
              <w:start w:w="120" w:type="dxa"/>
              <w:bottom w:w="100" w:type="dxa"/>
              <w:end w:w="120" w:type="dxa"/>
            </w:tcMar>
          </w:tcPr>
          <w:p>
            <w:pPr>
              <w:spacing w:after="40" w:before="40"/>
            </w:pPr>
            <w:r>
              <w:rPr>
                <w:sz w:val="18"/>
              </w:rPr>
              <w:t>Risks, issues, dependencies, contacts and commitments</w:t>
            </w:r>
          </w:p>
        </w:tc>
      </w:tr>
      <w:tr>
        <w:tc>
          <w:tcPr>
            <w:tcW w:type="dxa" w:w="1152"/>
            <w:vAlign w:val="center"/>
            <w:tcMar>
              <w:top w:w="100" w:type="dxa"/>
              <w:start w:w="120" w:type="dxa"/>
              <w:bottom w:w="100" w:type="dxa"/>
              <w:end w:w="120" w:type="dxa"/>
            </w:tcMar>
            <w:shd w:fill="EAF2F8"/>
          </w:tcPr>
          <w:p>
            <w:pPr>
              <w:spacing w:after="40" w:before="40"/>
            </w:pPr>
            <w:r>
              <w:rPr>
                <w:sz w:val="18"/>
              </w:rPr>
              <w:t>10.10</w:t>
            </w:r>
          </w:p>
        </w:tc>
        <w:tc>
          <w:tcPr>
            <w:tcW w:type="dxa" w:w="3096"/>
            <w:vAlign w:val="center"/>
            <w:tcMar>
              <w:top w:w="100" w:type="dxa"/>
              <w:start w:w="120" w:type="dxa"/>
              <w:bottom w:w="100" w:type="dxa"/>
              <w:end w:w="120" w:type="dxa"/>
            </w:tcMar>
            <w:shd w:fill="EAF2F8"/>
          </w:tcPr>
          <w:p>
            <w:pPr>
              <w:spacing w:after="40" w:before="40"/>
            </w:pPr>
            <w:r>
              <w:rPr>
                <w:sz w:val="18"/>
              </w:rPr>
              <w:t>Environmental sensing</w:t>
            </w:r>
          </w:p>
        </w:tc>
        <w:tc>
          <w:tcPr>
            <w:tcW w:type="dxa" w:w="5832"/>
            <w:vAlign w:val="center"/>
            <w:tcMar>
              <w:top w:w="100" w:type="dxa"/>
              <w:start w:w="120" w:type="dxa"/>
              <w:bottom w:w="100" w:type="dxa"/>
              <w:end w:w="120" w:type="dxa"/>
            </w:tcMar>
            <w:shd w:fill="EAF2F8"/>
          </w:tcPr>
          <w:p>
            <w:pPr>
              <w:spacing w:after="40" w:before="40"/>
            </w:pPr>
            <w:r>
              <w:rPr>
                <w:sz w:val="18"/>
              </w:rPr>
              <w:t>Policy, market, technology and sector change</w:t>
            </w:r>
          </w:p>
        </w:tc>
      </w:tr>
      <w:tr>
        <w:tc>
          <w:tcPr>
            <w:tcW w:type="dxa" w:w="1152"/>
            <w:vAlign w:val="center"/>
            <w:tcMar>
              <w:top w:w="100" w:type="dxa"/>
              <w:start w:w="120" w:type="dxa"/>
              <w:bottom w:w="100" w:type="dxa"/>
              <w:end w:w="120" w:type="dxa"/>
            </w:tcMar>
          </w:tcPr>
          <w:p>
            <w:pPr>
              <w:spacing w:after="40" w:before="40"/>
            </w:pPr>
            <w:r>
              <w:rPr>
                <w:sz w:val="18"/>
              </w:rPr>
              <w:t>10.30</w:t>
            </w:r>
          </w:p>
        </w:tc>
        <w:tc>
          <w:tcPr>
            <w:tcW w:type="dxa" w:w="3096"/>
            <w:vAlign w:val="center"/>
            <w:tcMar>
              <w:top w:w="100" w:type="dxa"/>
              <w:start w:w="120" w:type="dxa"/>
              <w:bottom w:w="100" w:type="dxa"/>
              <w:end w:w="120" w:type="dxa"/>
            </w:tcMar>
          </w:tcPr>
          <w:p>
            <w:pPr>
              <w:spacing w:after="40" w:before="40"/>
            </w:pPr>
            <w:r>
              <w:rPr>
                <w:sz w:val="18"/>
              </w:rPr>
              <w:t>Problem and opportunity</w:t>
            </w:r>
          </w:p>
        </w:tc>
        <w:tc>
          <w:tcPr>
            <w:tcW w:type="dxa" w:w="5832"/>
            <w:vAlign w:val="center"/>
            <w:tcMar>
              <w:top w:w="100" w:type="dxa"/>
              <w:start w:w="120" w:type="dxa"/>
              <w:bottom w:w="100" w:type="dxa"/>
              <w:end w:w="120" w:type="dxa"/>
            </w:tcMar>
          </w:tcPr>
          <w:p>
            <w:pPr>
              <w:spacing w:after="40" w:before="40"/>
            </w:pPr>
            <w:r>
              <w:rPr>
                <w:sz w:val="18"/>
              </w:rPr>
              <w:t>Problem statements, opportunities and trigger events</w:t>
            </w:r>
          </w:p>
        </w:tc>
      </w:tr>
      <w:tr>
        <w:tc>
          <w:tcPr>
            <w:tcW w:type="dxa" w:w="1152"/>
            <w:vAlign w:val="center"/>
            <w:tcMar>
              <w:top w:w="100" w:type="dxa"/>
              <w:start w:w="120" w:type="dxa"/>
              <w:bottom w:w="100" w:type="dxa"/>
              <w:end w:w="120" w:type="dxa"/>
            </w:tcMar>
            <w:shd w:fill="EAF2F8"/>
          </w:tcPr>
          <w:p>
            <w:pPr>
              <w:spacing w:after="40" w:before="40"/>
            </w:pPr>
            <w:r>
              <w:rPr>
                <w:sz w:val="18"/>
              </w:rPr>
              <w:t>10.50</w:t>
            </w:r>
          </w:p>
        </w:tc>
        <w:tc>
          <w:tcPr>
            <w:tcW w:type="dxa" w:w="3096"/>
            <w:vAlign w:val="center"/>
            <w:tcMar>
              <w:top w:w="100" w:type="dxa"/>
              <w:start w:w="120" w:type="dxa"/>
              <w:bottom w:w="100" w:type="dxa"/>
              <w:end w:w="120" w:type="dxa"/>
            </w:tcMar>
            <w:shd w:fill="EAF2F8"/>
          </w:tcPr>
          <w:p>
            <w:pPr>
              <w:spacing w:after="40" w:before="40"/>
            </w:pPr>
            <w:r>
              <w:rPr>
                <w:sz w:val="18"/>
              </w:rPr>
              <w:t>Strategic framing</w:t>
            </w:r>
          </w:p>
        </w:tc>
        <w:tc>
          <w:tcPr>
            <w:tcW w:type="dxa" w:w="5832"/>
            <w:vAlign w:val="center"/>
            <w:tcMar>
              <w:top w:w="100" w:type="dxa"/>
              <w:start w:w="120" w:type="dxa"/>
              <w:bottom w:w="100" w:type="dxa"/>
              <w:end w:w="120" w:type="dxa"/>
            </w:tcMar>
            <w:shd w:fill="EAF2F8"/>
          </w:tcPr>
          <w:p>
            <w:pPr>
              <w:spacing w:after="40" w:before="40"/>
            </w:pPr>
            <w:r>
              <w:rPr>
                <w:sz w:val="18"/>
              </w:rPr>
              <w:t>Purpose, outcomes, strategic fit and scope</w:t>
            </w:r>
          </w:p>
        </w:tc>
      </w:tr>
      <w:tr>
        <w:tc>
          <w:tcPr>
            <w:tcW w:type="dxa" w:w="1152"/>
            <w:vAlign w:val="center"/>
            <w:tcMar>
              <w:top w:w="100" w:type="dxa"/>
              <w:start w:w="120" w:type="dxa"/>
              <w:bottom w:w="100" w:type="dxa"/>
              <w:end w:w="120" w:type="dxa"/>
            </w:tcMar>
          </w:tcPr>
          <w:p>
            <w:pPr>
              <w:spacing w:after="40" w:before="40"/>
            </w:pPr>
            <w:r>
              <w:rPr>
                <w:sz w:val="18"/>
              </w:rPr>
              <w:t>20.10</w:t>
            </w:r>
          </w:p>
        </w:tc>
        <w:tc>
          <w:tcPr>
            <w:tcW w:type="dxa" w:w="3096"/>
            <w:vAlign w:val="center"/>
            <w:tcMar>
              <w:top w:w="100" w:type="dxa"/>
              <w:start w:w="120" w:type="dxa"/>
              <w:bottom w:w="100" w:type="dxa"/>
              <w:end w:w="120" w:type="dxa"/>
            </w:tcMar>
          </w:tcPr>
          <w:p>
            <w:pPr>
              <w:spacing w:after="40" w:before="40"/>
            </w:pPr>
            <w:r>
              <w:rPr>
                <w:sz w:val="18"/>
              </w:rPr>
              <w:t>Investment framing</w:t>
            </w:r>
          </w:p>
        </w:tc>
        <w:tc>
          <w:tcPr>
            <w:tcW w:type="dxa" w:w="5832"/>
            <w:vAlign w:val="center"/>
            <w:tcMar>
              <w:top w:w="100" w:type="dxa"/>
              <w:start w:w="120" w:type="dxa"/>
              <w:bottom w:w="100" w:type="dxa"/>
              <w:end w:w="120" w:type="dxa"/>
            </w:tcMar>
          </w:tcPr>
          <w:p>
            <w:pPr>
              <w:spacing w:after="40" w:before="40"/>
            </w:pPr>
            <w:r>
              <w:rPr>
                <w:sz w:val="18"/>
              </w:rPr>
              <w:t>Investment logic and business case material</w:t>
            </w:r>
          </w:p>
        </w:tc>
      </w:tr>
      <w:tr>
        <w:tc>
          <w:tcPr>
            <w:tcW w:type="dxa" w:w="1152"/>
            <w:vAlign w:val="center"/>
            <w:tcMar>
              <w:top w:w="100" w:type="dxa"/>
              <w:start w:w="120" w:type="dxa"/>
              <w:bottom w:w="100" w:type="dxa"/>
              <w:end w:w="120" w:type="dxa"/>
            </w:tcMar>
            <w:shd w:fill="EAF2F8"/>
          </w:tcPr>
          <w:p>
            <w:pPr>
              <w:spacing w:after="40" w:before="40"/>
            </w:pPr>
            <w:r>
              <w:rPr>
                <w:sz w:val="18"/>
              </w:rPr>
              <w:t>20.30</w:t>
            </w:r>
          </w:p>
        </w:tc>
        <w:tc>
          <w:tcPr>
            <w:tcW w:type="dxa" w:w="3096"/>
            <w:vAlign w:val="center"/>
            <w:tcMar>
              <w:top w:w="100" w:type="dxa"/>
              <w:start w:w="120" w:type="dxa"/>
              <w:bottom w:w="100" w:type="dxa"/>
              <w:end w:w="120" w:type="dxa"/>
            </w:tcMar>
            <w:shd w:fill="EAF2F8"/>
          </w:tcPr>
          <w:p>
            <w:pPr>
              <w:spacing w:after="40" w:before="40"/>
            </w:pPr>
            <w:r>
              <w:rPr>
                <w:sz w:val="18"/>
              </w:rPr>
              <w:t>Financing</w:t>
            </w:r>
          </w:p>
        </w:tc>
        <w:tc>
          <w:tcPr>
            <w:tcW w:type="dxa" w:w="5832"/>
            <w:vAlign w:val="center"/>
            <w:tcMar>
              <w:top w:w="100" w:type="dxa"/>
              <w:start w:w="120" w:type="dxa"/>
              <w:bottom w:w="100" w:type="dxa"/>
              <w:end w:w="120" w:type="dxa"/>
            </w:tcMar>
            <w:shd w:fill="EAF2F8"/>
          </w:tcPr>
          <w:p>
            <w:pPr>
              <w:spacing w:after="40" w:before="40"/>
            </w:pPr>
            <w:r>
              <w:rPr>
                <w:sz w:val="18"/>
              </w:rPr>
              <w:t>Costing, funding and financial governance</w:t>
            </w:r>
          </w:p>
        </w:tc>
      </w:tr>
      <w:tr>
        <w:tc>
          <w:tcPr>
            <w:tcW w:type="dxa" w:w="1152"/>
            <w:vAlign w:val="center"/>
            <w:tcMar>
              <w:top w:w="100" w:type="dxa"/>
              <w:start w:w="120" w:type="dxa"/>
              <w:bottom w:w="100" w:type="dxa"/>
              <w:end w:w="120" w:type="dxa"/>
            </w:tcMar>
          </w:tcPr>
          <w:p>
            <w:pPr>
              <w:spacing w:after="40" w:before="40"/>
            </w:pPr>
            <w:r>
              <w:rPr>
                <w:sz w:val="18"/>
              </w:rPr>
              <w:t>20.50</w:t>
            </w:r>
          </w:p>
        </w:tc>
        <w:tc>
          <w:tcPr>
            <w:tcW w:type="dxa" w:w="3096"/>
            <w:vAlign w:val="center"/>
            <w:tcMar>
              <w:top w:w="100" w:type="dxa"/>
              <w:start w:w="120" w:type="dxa"/>
              <w:bottom w:w="100" w:type="dxa"/>
              <w:end w:w="120" w:type="dxa"/>
            </w:tcMar>
          </w:tcPr>
          <w:p>
            <w:pPr>
              <w:spacing w:after="40" w:before="40"/>
            </w:pPr>
            <w:r>
              <w:rPr>
                <w:sz w:val="18"/>
              </w:rPr>
              <w:t>Project initiation</w:t>
            </w:r>
          </w:p>
        </w:tc>
        <w:tc>
          <w:tcPr>
            <w:tcW w:type="dxa" w:w="5832"/>
            <w:vAlign w:val="center"/>
            <w:tcMar>
              <w:top w:w="100" w:type="dxa"/>
              <w:start w:w="120" w:type="dxa"/>
              <w:bottom w:w="100" w:type="dxa"/>
              <w:end w:w="120" w:type="dxa"/>
            </w:tcMar>
          </w:tcPr>
          <w:p>
            <w:pPr>
              <w:spacing w:after="40" w:before="40"/>
            </w:pPr>
            <w:r>
              <w:rPr>
                <w:sz w:val="18"/>
              </w:rPr>
              <w:t>Mandate, sponsorship, governance and initial planning</w:t>
            </w:r>
          </w:p>
        </w:tc>
      </w:tr>
      <w:tr>
        <w:tc>
          <w:tcPr>
            <w:tcW w:type="dxa" w:w="1152"/>
            <w:vAlign w:val="center"/>
            <w:tcMar>
              <w:top w:w="100" w:type="dxa"/>
              <w:start w:w="120" w:type="dxa"/>
              <w:bottom w:w="100" w:type="dxa"/>
              <w:end w:w="120" w:type="dxa"/>
            </w:tcMar>
            <w:shd w:fill="EAF2F8"/>
          </w:tcPr>
          <w:p>
            <w:pPr>
              <w:spacing w:after="40" w:before="40"/>
            </w:pPr>
            <w:r>
              <w:rPr>
                <w:sz w:val="18"/>
              </w:rPr>
              <w:t>30.10</w:t>
            </w:r>
          </w:p>
        </w:tc>
        <w:tc>
          <w:tcPr>
            <w:tcW w:type="dxa" w:w="3096"/>
            <w:vAlign w:val="center"/>
            <w:tcMar>
              <w:top w:w="100" w:type="dxa"/>
              <w:start w:w="120" w:type="dxa"/>
              <w:bottom w:w="100" w:type="dxa"/>
              <w:end w:w="120" w:type="dxa"/>
            </w:tcMar>
            <w:shd w:fill="EAF2F8"/>
          </w:tcPr>
          <w:p>
            <w:pPr>
              <w:spacing w:after="40" w:before="40"/>
            </w:pPr>
            <w:r>
              <w:rPr>
                <w:sz w:val="18"/>
              </w:rPr>
              <w:t>Context discovery</w:t>
            </w:r>
          </w:p>
        </w:tc>
        <w:tc>
          <w:tcPr>
            <w:tcW w:type="dxa" w:w="5832"/>
            <w:vAlign w:val="center"/>
            <w:tcMar>
              <w:top w:w="100" w:type="dxa"/>
              <w:start w:w="120" w:type="dxa"/>
              <w:bottom w:w="100" w:type="dxa"/>
              <w:end w:w="120" w:type="dxa"/>
            </w:tcMar>
            <w:shd w:fill="EAF2F8"/>
          </w:tcPr>
          <w:p>
            <w:pPr>
              <w:spacing w:after="40" w:before="40"/>
            </w:pPr>
            <w:r>
              <w:rPr>
                <w:sz w:val="18"/>
              </w:rPr>
              <w:t>Operating context, constraints, dependencies and current state</w:t>
            </w:r>
          </w:p>
        </w:tc>
      </w:tr>
      <w:tr>
        <w:tc>
          <w:tcPr>
            <w:tcW w:type="dxa" w:w="1152"/>
            <w:vAlign w:val="center"/>
            <w:tcMar>
              <w:top w:w="100" w:type="dxa"/>
              <w:start w:w="120" w:type="dxa"/>
              <w:bottom w:w="100" w:type="dxa"/>
              <w:end w:w="120" w:type="dxa"/>
            </w:tcMar>
          </w:tcPr>
          <w:p>
            <w:pPr>
              <w:spacing w:after="40" w:before="40"/>
            </w:pPr>
            <w:r>
              <w:rPr>
                <w:sz w:val="18"/>
              </w:rPr>
              <w:t>30.30</w:t>
            </w:r>
          </w:p>
        </w:tc>
        <w:tc>
          <w:tcPr>
            <w:tcW w:type="dxa" w:w="3096"/>
            <w:vAlign w:val="center"/>
            <w:tcMar>
              <w:top w:w="100" w:type="dxa"/>
              <w:start w:w="120" w:type="dxa"/>
              <w:bottom w:w="100" w:type="dxa"/>
              <w:end w:w="120" w:type="dxa"/>
            </w:tcMar>
          </w:tcPr>
          <w:p>
            <w:pPr>
              <w:spacing w:after="40" w:before="40"/>
            </w:pPr>
            <w:r>
              <w:rPr>
                <w:sz w:val="18"/>
              </w:rPr>
              <w:t>Stakeholders and users</w:t>
            </w:r>
          </w:p>
        </w:tc>
        <w:tc>
          <w:tcPr>
            <w:tcW w:type="dxa" w:w="5832"/>
            <w:vAlign w:val="center"/>
            <w:tcMar>
              <w:top w:w="100" w:type="dxa"/>
              <w:start w:w="120" w:type="dxa"/>
              <w:bottom w:w="100" w:type="dxa"/>
              <w:end w:w="120" w:type="dxa"/>
            </w:tcMar>
          </w:tcPr>
          <w:p>
            <w:pPr>
              <w:spacing w:after="40" w:before="40"/>
            </w:pPr>
            <w:r>
              <w:rPr>
                <w:sz w:val="18"/>
              </w:rPr>
              <w:t>Stakeholder groups, personas, needs and journeys</w:t>
            </w:r>
          </w:p>
        </w:tc>
      </w:tr>
      <w:tr>
        <w:tc>
          <w:tcPr>
            <w:tcW w:type="dxa" w:w="1152"/>
            <w:vAlign w:val="center"/>
            <w:tcMar>
              <w:top w:w="100" w:type="dxa"/>
              <w:start w:w="120" w:type="dxa"/>
              <w:bottom w:w="100" w:type="dxa"/>
              <w:end w:w="120" w:type="dxa"/>
            </w:tcMar>
            <w:shd w:fill="EAF2F8"/>
          </w:tcPr>
          <w:p>
            <w:pPr>
              <w:spacing w:after="40" w:before="40"/>
            </w:pPr>
            <w:r>
              <w:rPr>
                <w:sz w:val="18"/>
              </w:rPr>
              <w:t>30.50</w:t>
            </w:r>
          </w:p>
        </w:tc>
        <w:tc>
          <w:tcPr>
            <w:tcW w:type="dxa" w:w="3096"/>
            <w:vAlign w:val="center"/>
            <w:tcMar>
              <w:top w:w="100" w:type="dxa"/>
              <w:start w:w="120" w:type="dxa"/>
              <w:bottom w:w="100" w:type="dxa"/>
              <w:end w:w="120" w:type="dxa"/>
            </w:tcMar>
            <w:shd w:fill="EAF2F8"/>
          </w:tcPr>
          <w:p>
            <w:pPr>
              <w:spacing w:after="40" w:before="40"/>
            </w:pPr>
            <w:r>
              <w:rPr>
                <w:sz w:val="18"/>
              </w:rPr>
              <w:t>Requirements and capabilities</w:t>
            </w:r>
          </w:p>
        </w:tc>
        <w:tc>
          <w:tcPr>
            <w:tcW w:type="dxa" w:w="5832"/>
            <w:vAlign w:val="center"/>
            <w:tcMar>
              <w:top w:w="100" w:type="dxa"/>
              <w:start w:w="120" w:type="dxa"/>
              <w:bottom w:w="100" w:type="dxa"/>
              <w:end w:w="120" w:type="dxa"/>
            </w:tcMar>
            <w:shd w:fill="EAF2F8"/>
          </w:tcPr>
          <w:p>
            <w:pPr>
              <w:spacing w:after="40" w:before="40"/>
            </w:pPr>
            <w:r>
              <w:rPr>
                <w:sz w:val="18"/>
              </w:rPr>
              <w:t>Business, user, quality, transition and capability requirements</w:t>
            </w:r>
          </w:p>
        </w:tc>
      </w:tr>
      <w:tr>
        <w:tc>
          <w:tcPr>
            <w:tcW w:type="dxa" w:w="1152"/>
            <w:vAlign w:val="center"/>
            <w:tcMar>
              <w:top w:w="100" w:type="dxa"/>
              <w:start w:w="120" w:type="dxa"/>
              <w:bottom w:w="100" w:type="dxa"/>
              <w:end w:w="120" w:type="dxa"/>
            </w:tcMar>
          </w:tcPr>
          <w:p>
            <w:pPr>
              <w:spacing w:after="40" w:before="40"/>
            </w:pPr>
            <w:r>
              <w:rPr>
                <w:sz w:val="18"/>
              </w:rPr>
              <w:t>30.70</w:t>
            </w:r>
          </w:p>
        </w:tc>
        <w:tc>
          <w:tcPr>
            <w:tcW w:type="dxa" w:w="3096"/>
            <w:vAlign w:val="center"/>
            <w:tcMar>
              <w:top w:w="100" w:type="dxa"/>
              <w:start w:w="120" w:type="dxa"/>
              <w:bottom w:w="100" w:type="dxa"/>
              <w:end w:w="120" w:type="dxa"/>
            </w:tcMar>
          </w:tcPr>
          <w:p>
            <w:pPr>
              <w:spacing w:after="40" w:before="40"/>
            </w:pPr>
            <w:r>
              <w:rPr>
                <w:sz w:val="18"/>
              </w:rPr>
              <w:t>Solution definition</w:t>
            </w:r>
          </w:p>
        </w:tc>
        <w:tc>
          <w:tcPr>
            <w:tcW w:type="dxa" w:w="5832"/>
            <w:vAlign w:val="center"/>
            <w:tcMar>
              <w:top w:w="100" w:type="dxa"/>
              <w:start w:w="120" w:type="dxa"/>
              <w:bottom w:w="100" w:type="dxa"/>
              <w:end w:w="120" w:type="dxa"/>
            </w:tcMar>
          </w:tcPr>
          <w:p>
            <w:pPr>
              <w:spacing w:after="40" w:before="40"/>
            </w:pPr>
            <w:r>
              <w:rPr>
                <w:sz w:val="18"/>
              </w:rPr>
              <w:t>Scope, boundaries, service concepts and definition outputs</w:t>
            </w:r>
          </w:p>
        </w:tc>
      </w:tr>
      <w:tr>
        <w:tc>
          <w:tcPr>
            <w:tcW w:type="dxa" w:w="1152"/>
            <w:vAlign w:val="center"/>
            <w:tcMar>
              <w:top w:w="100" w:type="dxa"/>
              <w:start w:w="120" w:type="dxa"/>
              <w:bottom w:w="100" w:type="dxa"/>
              <w:end w:w="120" w:type="dxa"/>
            </w:tcMar>
            <w:shd w:fill="EAF2F8"/>
          </w:tcPr>
          <w:p>
            <w:pPr>
              <w:spacing w:after="40" w:before="40"/>
            </w:pPr>
            <w:r>
              <w:rPr>
                <w:sz w:val="18"/>
              </w:rPr>
              <w:t>40.10</w:t>
            </w:r>
          </w:p>
        </w:tc>
        <w:tc>
          <w:tcPr>
            <w:tcW w:type="dxa" w:w="3096"/>
            <w:vAlign w:val="center"/>
            <w:tcMar>
              <w:top w:w="100" w:type="dxa"/>
              <w:start w:w="120" w:type="dxa"/>
              <w:bottom w:w="100" w:type="dxa"/>
              <w:end w:w="120" w:type="dxa"/>
            </w:tcMar>
            <w:shd w:fill="EAF2F8"/>
          </w:tcPr>
          <w:p>
            <w:pPr>
              <w:spacing w:after="40" w:before="40"/>
            </w:pPr>
            <w:r>
              <w:rPr>
                <w:sz w:val="18"/>
              </w:rPr>
              <w:t>Procurement preparation</w:t>
            </w:r>
          </w:p>
        </w:tc>
        <w:tc>
          <w:tcPr>
            <w:tcW w:type="dxa" w:w="5832"/>
            <w:vAlign w:val="center"/>
            <w:tcMar>
              <w:top w:w="100" w:type="dxa"/>
              <w:start w:w="120" w:type="dxa"/>
              <w:bottom w:w="100" w:type="dxa"/>
              <w:end w:w="120" w:type="dxa"/>
            </w:tcMar>
            <w:shd w:fill="EAF2F8"/>
          </w:tcPr>
          <w:p>
            <w:pPr>
              <w:spacing w:after="40" w:before="40"/>
            </w:pPr>
            <w:r>
              <w:rPr>
                <w:sz w:val="18"/>
              </w:rPr>
              <w:t>Approach, requirements package and evaluation design</w:t>
            </w:r>
          </w:p>
        </w:tc>
      </w:tr>
      <w:tr>
        <w:tc>
          <w:tcPr>
            <w:tcW w:type="dxa" w:w="1152"/>
            <w:vAlign w:val="center"/>
            <w:tcMar>
              <w:top w:w="100" w:type="dxa"/>
              <w:start w:w="120" w:type="dxa"/>
              <w:bottom w:w="100" w:type="dxa"/>
              <w:end w:w="120" w:type="dxa"/>
            </w:tcMar>
          </w:tcPr>
          <w:p>
            <w:pPr>
              <w:spacing w:after="40" w:before="40"/>
            </w:pPr>
            <w:r>
              <w:rPr>
                <w:sz w:val="18"/>
              </w:rPr>
              <w:t>40.30</w:t>
            </w:r>
          </w:p>
        </w:tc>
        <w:tc>
          <w:tcPr>
            <w:tcW w:type="dxa" w:w="3096"/>
            <w:vAlign w:val="center"/>
            <w:tcMar>
              <w:top w:w="100" w:type="dxa"/>
              <w:start w:w="120" w:type="dxa"/>
              <w:bottom w:w="100" w:type="dxa"/>
              <w:end w:w="120" w:type="dxa"/>
            </w:tcMar>
          </w:tcPr>
          <w:p>
            <w:pPr>
              <w:spacing w:after="40" w:before="40"/>
            </w:pPr>
            <w:r>
              <w:rPr>
                <w:sz w:val="18"/>
              </w:rPr>
              <w:t>Market engagement</w:t>
            </w:r>
          </w:p>
        </w:tc>
        <w:tc>
          <w:tcPr>
            <w:tcW w:type="dxa" w:w="5832"/>
            <w:vAlign w:val="center"/>
            <w:tcMar>
              <w:top w:w="100" w:type="dxa"/>
              <w:start w:w="120" w:type="dxa"/>
              <w:bottom w:w="100" w:type="dxa"/>
              <w:end w:w="120" w:type="dxa"/>
            </w:tcMar>
          </w:tcPr>
          <w:p>
            <w:pPr>
              <w:spacing w:after="40" w:before="40"/>
            </w:pPr>
            <w:r>
              <w:rPr>
                <w:sz w:val="18"/>
              </w:rPr>
              <w:t>RFIs, RFQs, RFPs and communications</w:t>
            </w:r>
          </w:p>
        </w:tc>
      </w:tr>
      <w:tr>
        <w:tc>
          <w:tcPr>
            <w:tcW w:type="dxa" w:w="1152"/>
            <w:vAlign w:val="center"/>
            <w:tcMar>
              <w:top w:w="100" w:type="dxa"/>
              <w:start w:w="120" w:type="dxa"/>
              <w:bottom w:w="100" w:type="dxa"/>
              <w:end w:w="120" w:type="dxa"/>
            </w:tcMar>
            <w:shd w:fill="EAF2F8"/>
          </w:tcPr>
          <w:p>
            <w:pPr>
              <w:spacing w:after="40" w:before="40"/>
            </w:pPr>
            <w:r>
              <w:rPr>
                <w:sz w:val="18"/>
              </w:rPr>
              <w:t>40.50</w:t>
            </w:r>
          </w:p>
        </w:tc>
        <w:tc>
          <w:tcPr>
            <w:tcW w:type="dxa" w:w="3096"/>
            <w:vAlign w:val="center"/>
            <w:tcMar>
              <w:top w:w="100" w:type="dxa"/>
              <w:start w:w="120" w:type="dxa"/>
              <w:bottom w:w="100" w:type="dxa"/>
              <w:end w:w="120" w:type="dxa"/>
            </w:tcMar>
            <w:shd w:fill="EAF2F8"/>
          </w:tcPr>
          <w:p>
            <w:pPr>
              <w:spacing w:after="40" w:before="40"/>
            </w:pPr>
            <w:r>
              <w:rPr>
                <w:sz w:val="18"/>
              </w:rPr>
              <w:t>Evaluation and selection</w:t>
            </w:r>
          </w:p>
        </w:tc>
        <w:tc>
          <w:tcPr>
            <w:tcW w:type="dxa" w:w="5832"/>
            <w:vAlign w:val="center"/>
            <w:tcMar>
              <w:top w:w="100" w:type="dxa"/>
              <w:start w:w="120" w:type="dxa"/>
              <w:bottom w:w="100" w:type="dxa"/>
              <w:end w:w="120" w:type="dxa"/>
            </w:tcMar>
            <w:shd w:fill="EAF2F8"/>
          </w:tcPr>
          <w:p>
            <w:pPr>
              <w:spacing w:after="40" w:before="40"/>
            </w:pPr>
            <w:r>
              <w:rPr>
                <w:sz w:val="18"/>
              </w:rPr>
              <w:t>Responses, scoring, due diligence and recommendation</w:t>
            </w:r>
          </w:p>
        </w:tc>
      </w:tr>
      <w:tr>
        <w:tc>
          <w:tcPr>
            <w:tcW w:type="dxa" w:w="1152"/>
            <w:vAlign w:val="center"/>
            <w:tcMar>
              <w:top w:w="100" w:type="dxa"/>
              <w:start w:w="120" w:type="dxa"/>
              <w:bottom w:w="100" w:type="dxa"/>
              <w:end w:w="120" w:type="dxa"/>
            </w:tcMar>
          </w:tcPr>
          <w:p>
            <w:pPr>
              <w:spacing w:after="40" w:before="40"/>
            </w:pPr>
            <w:r>
              <w:rPr>
                <w:sz w:val="18"/>
              </w:rPr>
              <w:t>40.70</w:t>
            </w:r>
          </w:p>
        </w:tc>
        <w:tc>
          <w:tcPr>
            <w:tcW w:type="dxa" w:w="3096"/>
            <w:vAlign w:val="center"/>
            <w:tcMar>
              <w:top w:w="100" w:type="dxa"/>
              <w:start w:w="120" w:type="dxa"/>
              <w:bottom w:w="100" w:type="dxa"/>
              <w:end w:w="120" w:type="dxa"/>
            </w:tcMar>
          </w:tcPr>
          <w:p>
            <w:pPr>
              <w:spacing w:after="40" w:before="40"/>
            </w:pPr>
            <w:r>
              <w:rPr>
                <w:sz w:val="18"/>
              </w:rPr>
              <w:t>Contracting</w:t>
            </w:r>
          </w:p>
        </w:tc>
        <w:tc>
          <w:tcPr>
            <w:tcW w:type="dxa" w:w="5832"/>
            <w:vAlign w:val="center"/>
            <w:tcMar>
              <w:top w:w="100" w:type="dxa"/>
              <w:start w:w="120" w:type="dxa"/>
              <w:bottom w:w="100" w:type="dxa"/>
              <w:end w:w="120" w:type="dxa"/>
            </w:tcMar>
          </w:tcPr>
          <w:p>
            <w:pPr>
              <w:spacing w:after="40" w:before="40"/>
            </w:pPr>
            <w:r>
              <w:rPr>
                <w:sz w:val="18"/>
              </w:rPr>
              <w:t>Negotiation, contract, obligations and mobilisation</w:t>
            </w:r>
          </w:p>
        </w:tc>
      </w:tr>
      <w:tr>
        <w:tc>
          <w:tcPr>
            <w:tcW w:type="dxa" w:w="1152"/>
            <w:vAlign w:val="center"/>
            <w:tcMar>
              <w:top w:w="100" w:type="dxa"/>
              <w:start w:w="120" w:type="dxa"/>
              <w:bottom w:w="100" w:type="dxa"/>
              <w:end w:w="120" w:type="dxa"/>
            </w:tcMar>
            <w:shd w:fill="EAF2F8"/>
          </w:tcPr>
          <w:p>
            <w:pPr>
              <w:spacing w:after="40" w:before="40"/>
            </w:pPr>
            <w:r>
              <w:rPr>
                <w:sz w:val="18"/>
              </w:rPr>
              <w:t>50.10</w:t>
            </w:r>
          </w:p>
        </w:tc>
        <w:tc>
          <w:tcPr>
            <w:tcW w:type="dxa" w:w="3096"/>
            <w:vAlign w:val="center"/>
            <w:tcMar>
              <w:top w:w="100" w:type="dxa"/>
              <w:start w:w="120" w:type="dxa"/>
              <w:bottom w:w="100" w:type="dxa"/>
              <w:end w:w="120" w:type="dxa"/>
            </w:tcMar>
            <w:shd w:fill="EAF2F8"/>
          </w:tcPr>
          <w:p>
            <w:pPr>
              <w:spacing w:after="40" w:before="40"/>
            </w:pPr>
            <w:r>
              <w:rPr>
                <w:sz w:val="18"/>
              </w:rPr>
              <w:t>Architecture direction</w:t>
            </w:r>
          </w:p>
        </w:tc>
        <w:tc>
          <w:tcPr>
            <w:tcW w:type="dxa" w:w="5832"/>
            <w:vAlign w:val="center"/>
            <w:tcMar>
              <w:top w:w="100" w:type="dxa"/>
              <w:start w:w="120" w:type="dxa"/>
              <w:bottom w:w="100" w:type="dxa"/>
              <w:end w:w="120" w:type="dxa"/>
            </w:tcMar>
            <w:shd w:fill="EAF2F8"/>
          </w:tcPr>
          <w:p>
            <w:pPr>
              <w:spacing w:after="40" w:before="40"/>
            </w:pPr>
            <w:r>
              <w:rPr>
                <w:sz w:val="18"/>
              </w:rPr>
              <w:t>Architecture principles, context and architecture description</w:t>
            </w:r>
          </w:p>
        </w:tc>
      </w:tr>
      <w:tr>
        <w:tc>
          <w:tcPr>
            <w:tcW w:type="dxa" w:w="1152"/>
            <w:vAlign w:val="center"/>
            <w:tcMar>
              <w:top w:w="100" w:type="dxa"/>
              <w:start w:w="120" w:type="dxa"/>
              <w:bottom w:w="100" w:type="dxa"/>
              <w:end w:w="120" w:type="dxa"/>
            </w:tcMar>
          </w:tcPr>
          <w:p>
            <w:pPr>
              <w:spacing w:after="40" w:before="40"/>
            </w:pPr>
            <w:r>
              <w:rPr>
                <w:sz w:val="18"/>
              </w:rPr>
              <w:t>50.20</w:t>
            </w:r>
          </w:p>
        </w:tc>
        <w:tc>
          <w:tcPr>
            <w:tcW w:type="dxa" w:w="3096"/>
            <w:vAlign w:val="center"/>
            <w:tcMar>
              <w:top w:w="100" w:type="dxa"/>
              <w:start w:w="120" w:type="dxa"/>
              <w:bottom w:w="100" w:type="dxa"/>
              <w:end w:w="120" w:type="dxa"/>
            </w:tcMar>
          </w:tcPr>
          <w:p>
            <w:pPr>
              <w:spacing w:after="40" w:before="40"/>
            </w:pPr>
            <w:r>
              <w:rPr>
                <w:sz w:val="18"/>
              </w:rPr>
              <w:t>Information design</w:t>
            </w:r>
          </w:p>
        </w:tc>
        <w:tc>
          <w:tcPr>
            <w:tcW w:type="dxa" w:w="5832"/>
            <w:vAlign w:val="center"/>
            <w:tcMar>
              <w:top w:w="100" w:type="dxa"/>
              <w:start w:w="120" w:type="dxa"/>
              <w:bottom w:w="100" w:type="dxa"/>
              <w:end w:w="120" w:type="dxa"/>
            </w:tcMar>
          </w:tcPr>
          <w:p>
            <w:pPr>
              <w:spacing w:after="40" w:before="40"/>
            </w:pPr>
            <w:r>
              <w:rPr>
                <w:sz w:val="18"/>
              </w:rPr>
              <w:t>Domains, concepts, entities, records, data and information quality</w:t>
            </w:r>
          </w:p>
        </w:tc>
      </w:tr>
      <w:tr>
        <w:tc>
          <w:tcPr>
            <w:tcW w:type="dxa" w:w="1152"/>
            <w:vAlign w:val="center"/>
            <w:tcMar>
              <w:top w:w="100" w:type="dxa"/>
              <w:start w:w="120" w:type="dxa"/>
              <w:bottom w:w="100" w:type="dxa"/>
              <w:end w:w="120" w:type="dxa"/>
            </w:tcMar>
            <w:shd w:fill="EAF2F8"/>
          </w:tcPr>
          <w:p>
            <w:pPr>
              <w:spacing w:after="40" w:before="40"/>
            </w:pPr>
            <w:r>
              <w:rPr>
                <w:sz w:val="18"/>
              </w:rPr>
              <w:t>50.30</w:t>
            </w:r>
          </w:p>
        </w:tc>
        <w:tc>
          <w:tcPr>
            <w:tcW w:type="dxa" w:w="3096"/>
            <w:vAlign w:val="center"/>
            <w:tcMar>
              <w:top w:w="100" w:type="dxa"/>
              <w:start w:w="120" w:type="dxa"/>
              <w:bottom w:w="100" w:type="dxa"/>
              <w:end w:w="120" w:type="dxa"/>
            </w:tcMar>
            <w:shd w:fill="EAF2F8"/>
          </w:tcPr>
          <w:p>
            <w:pPr>
              <w:spacing w:after="40" w:before="40"/>
            </w:pPr>
            <w:r>
              <w:rPr>
                <w:sz w:val="18"/>
              </w:rPr>
              <w:t>Functionality and interaction</w:t>
            </w:r>
          </w:p>
        </w:tc>
        <w:tc>
          <w:tcPr>
            <w:tcW w:type="dxa" w:w="5832"/>
            <w:vAlign w:val="center"/>
            <w:tcMar>
              <w:top w:w="100" w:type="dxa"/>
              <w:start w:w="120" w:type="dxa"/>
              <w:bottom w:w="100" w:type="dxa"/>
              <w:end w:w="120" w:type="dxa"/>
            </w:tcMar>
            <w:shd w:fill="EAF2F8"/>
          </w:tcPr>
          <w:p>
            <w:pPr>
              <w:spacing w:after="40" w:before="40"/>
            </w:pPr>
            <w:r>
              <w:rPr>
                <w:sz w:val="18"/>
              </w:rPr>
              <w:t>Capabilities, functions, workflows, user interfaces and accessibility</w:t>
            </w:r>
          </w:p>
        </w:tc>
      </w:tr>
      <w:tr>
        <w:tc>
          <w:tcPr>
            <w:tcW w:type="dxa" w:w="1152"/>
            <w:vAlign w:val="center"/>
            <w:tcMar>
              <w:top w:w="100" w:type="dxa"/>
              <w:start w:w="120" w:type="dxa"/>
              <w:bottom w:w="100" w:type="dxa"/>
              <w:end w:w="120" w:type="dxa"/>
            </w:tcMar>
          </w:tcPr>
          <w:p>
            <w:pPr>
              <w:spacing w:after="40" w:before="40"/>
            </w:pPr>
            <w:r>
              <w:rPr>
                <w:sz w:val="18"/>
              </w:rPr>
              <w:t>50.40</w:t>
            </w:r>
          </w:p>
        </w:tc>
        <w:tc>
          <w:tcPr>
            <w:tcW w:type="dxa" w:w="3096"/>
            <w:vAlign w:val="center"/>
            <w:tcMar>
              <w:top w:w="100" w:type="dxa"/>
              <w:start w:w="120" w:type="dxa"/>
              <w:bottom w:w="100" w:type="dxa"/>
              <w:end w:w="120" w:type="dxa"/>
            </w:tcMar>
          </w:tcPr>
          <w:p>
            <w:pPr>
              <w:spacing w:after="40" w:before="40"/>
            </w:pPr>
            <w:r>
              <w:rPr>
                <w:sz w:val="18"/>
              </w:rPr>
              <w:t>Integration and interfaces</w:t>
            </w:r>
          </w:p>
        </w:tc>
        <w:tc>
          <w:tcPr>
            <w:tcW w:type="dxa" w:w="5832"/>
            <w:vAlign w:val="center"/>
            <w:tcMar>
              <w:top w:w="100" w:type="dxa"/>
              <w:start w:w="120" w:type="dxa"/>
              <w:bottom w:w="100" w:type="dxa"/>
              <w:end w:w="120" w:type="dxa"/>
            </w:tcMar>
          </w:tcPr>
          <w:p>
            <w:pPr>
              <w:spacing w:after="40" w:before="40"/>
            </w:pPr>
            <w:r>
              <w:rPr>
                <w:sz w:val="18"/>
              </w:rPr>
              <w:t>APIs, messages, interoperability and external dependencies</w:t>
            </w:r>
          </w:p>
        </w:tc>
      </w:tr>
      <w:tr>
        <w:tc>
          <w:tcPr>
            <w:tcW w:type="dxa" w:w="1152"/>
            <w:vAlign w:val="center"/>
            <w:tcMar>
              <w:top w:w="100" w:type="dxa"/>
              <w:start w:w="120" w:type="dxa"/>
              <w:bottom w:w="100" w:type="dxa"/>
              <w:end w:w="120" w:type="dxa"/>
            </w:tcMar>
            <w:shd w:fill="EAF2F8"/>
          </w:tcPr>
          <w:p>
            <w:pPr>
              <w:spacing w:after="40" w:before="40"/>
            </w:pPr>
            <w:r>
              <w:rPr>
                <w:sz w:val="18"/>
              </w:rPr>
              <w:t>50.50</w:t>
            </w:r>
          </w:p>
        </w:tc>
        <w:tc>
          <w:tcPr>
            <w:tcW w:type="dxa" w:w="3096"/>
            <w:vAlign w:val="center"/>
            <w:tcMar>
              <w:top w:w="100" w:type="dxa"/>
              <w:start w:w="120" w:type="dxa"/>
              <w:bottom w:w="100" w:type="dxa"/>
              <w:end w:w="120" w:type="dxa"/>
            </w:tcMar>
            <w:shd w:fill="EAF2F8"/>
          </w:tcPr>
          <w:p>
            <w:pPr>
              <w:spacing w:after="40" w:before="40"/>
            </w:pPr>
            <w:r>
              <w:rPr>
                <w:sz w:val="18"/>
              </w:rPr>
              <w:t>Security privacy and assurance</w:t>
            </w:r>
          </w:p>
        </w:tc>
        <w:tc>
          <w:tcPr>
            <w:tcW w:type="dxa" w:w="5832"/>
            <w:vAlign w:val="center"/>
            <w:tcMar>
              <w:top w:w="100" w:type="dxa"/>
              <w:start w:w="120" w:type="dxa"/>
              <w:bottom w:w="100" w:type="dxa"/>
              <w:end w:w="120" w:type="dxa"/>
            </w:tcMar>
            <w:shd w:fill="EAF2F8"/>
          </w:tcPr>
          <w:p>
            <w:pPr>
              <w:spacing w:after="40" w:before="40"/>
            </w:pPr>
            <w:r>
              <w:rPr>
                <w:sz w:val="18"/>
              </w:rPr>
              <w:t>Threats, controls, privacy, compliance and assurance design</w:t>
            </w:r>
          </w:p>
        </w:tc>
      </w:tr>
      <w:tr>
        <w:tc>
          <w:tcPr>
            <w:tcW w:type="dxa" w:w="1152"/>
            <w:vAlign w:val="center"/>
            <w:tcMar>
              <w:top w:w="100" w:type="dxa"/>
              <w:start w:w="120" w:type="dxa"/>
              <w:bottom w:w="100" w:type="dxa"/>
              <w:end w:w="120" w:type="dxa"/>
            </w:tcMar>
          </w:tcPr>
          <w:p>
            <w:pPr>
              <w:spacing w:after="40" w:before="40"/>
            </w:pPr>
            <w:r>
              <w:rPr>
                <w:sz w:val="18"/>
              </w:rPr>
              <w:t>50.60</w:t>
            </w:r>
          </w:p>
        </w:tc>
        <w:tc>
          <w:tcPr>
            <w:tcW w:type="dxa" w:w="3096"/>
            <w:vAlign w:val="center"/>
            <w:tcMar>
              <w:top w:w="100" w:type="dxa"/>
              <w:start w:w="120" w:type="dxa"/>
              <w:bottom w:w="100" w:type="dxa"/>
              <w:end w:w="120" w:type="dxa"/>
            </w:tcMar>
          </w:tcPr>
          <w:p>
            <w:pPr>
              <w:spacing w:after="40" w:before="40"/>
            </w:pPr>
            <w:r>
              <w:rPr>
                <w:sz w:val="18"/>
              </w:rPr>
              <w:t>Technology and deployment</w:t>
            </w:r>
          </w:p>
        </w:tc>
        <w:tc>
          <w:tcPr>
            <w:tcW w:type="dxa" w:w="5832"/>
            <w:vAlign w:val="center"/>
            <w:tcMar>
              <w:top w:w="100" w:type="dxa"/>
              <w:start w:w="120" w:type="dxa"/>
              <w:bottom w:w="100" w:type="dxa"/>
              <w:end w:w="120" w:type="dxa"/>
            </w:tcMar>
          </w:tcPr>
          <w:p>
            <w:pPr>
              <w:spacing w:after="40" w:before="40"/>
            </w:pPr>
            <w:r>
              <w:rPr>
                <w:sz w:val="18"/>
              </w:rPr>
              <w:t>Infrastructure, environments, platforms, topology and deployment</w:t>
            </w:r>
          </w:p>
        </w:tc>
      </w:tr>
      <w:tr>
        <w:tc>
          <w:tcPr>
            <w:tcW w:type="dxa" w:w="1152"/>
            <w:vAlign w:val="center"/>
            <w:tcMar>
              <w:top w:w="100" w:type="dxa"/>
              <w:start w:w="120" w:type="dxa"/>
              <w:bottom w:w="100" w:type="dxa"/>
              <w:end w:w="120" w:type="dxa"/>
            </w:tcMar>
            <w:shd w:fill="EAF2F8"/>
          </w:tcPr>
          <w:p>
            <w:pPr>
              <w:spacing w:after="40" w:before="40"/>
            </w:pPr>
            <w:r>
              <w:rPr>
                <w:sz w:val="18"/>
              </w:rPr>
              <w:t>50.70</w:t>
            </w:r>
          </w:p>
        </w:tc>
        <w:tc>
          <w:tcPr>
            <w:tcW w:type="dxa" w:w="3096"/>
            <w:vAlign w:val="center"/>
            <w:tcMar>
              <w:top w:w="100" w:type="dxa"/>
              <w:start w:w="120" w:type="dxa"/>
              <w:bottom w:w="100" w:type="dxa"/>
              <w:end w:w="120" w:type="dxa"/>
            </w:tcMar>
            <w:shd w:fill="EAF2F8"/>
          </w:tcPr>
          <w:p>
            <w:pPr>
              <w:spacing w:after="40" w:before="40"/>
            </w:pPr>
            <w:r>
              <w:rPr>
                <w:sz w:val="18"/>
              </w:rPr>
              <w:t>Operability and support</w:t>
            </w:r>
          </w:p>
        </w:tc>
        <w:tc>
          <w:tcPr>
            <w:tcW w:type="dxa" w:w="5832"/>
            <w:vAlign w:val="center"/>
            <w:tcMar>
              <w:top w:w="100" w:type="dxa"/>
              <w:start w:w="120" w:type="dxa"/>
              <w:bottom w:w="100" w:type="dxa"/>
              <w:end w:w="120" w:type="dxa"/>
            </w:tcMar>
            <w:shd w:fill="EAF2F8"/>
          </w:tcPr>
          <w:p>
            <w:pPr>
              <w:spacing w:after="40" w:before="40"/>
            </w:pPr>
            <w:r>
              <w:rPr>
                <w:sz w:val="18"/>
              </w:rPr>
              <w:t>Monitoring, administration, continuity, maintenance and support design</w:t>
            </w:r>
          </w:p>
        </w:tc>
      </w:tr>
      <w:tr>
        <w:tc>
          <w:tcPr>
            <w:tcW w:type="dxa" w:w="1152"/>
            <w:vAlign w:val="center"/>
            <w:tcMar>
              <w:top w:w="100" w:type="dxa"/>
              <w:start w:w="120" w:type="dxa"/>
              <w:bottom w:w="100" w:type="dxa"/>
              <w:end w:w="120" w:type="dxa"/>
            </w:tcMar>
          </w:tcPr>
          <w:p>
            <w:pPr>
              <w:spacing w:after="40" w:before="40"/>
            </w:pPr>
            <w:r>
              <w:rPr>
                <w:sz w:val="18"/>
              </w:rPr>
              <w:t>60.10</w:t>
            </w:r>
          </w:p>
        </w:tc>
        <w:tc>
          <w:tcPr>
            <w:tcW w:type="dxa" w:w="3096"/>
            <w:vAlign w:val="center"/>
            <w:tcMar>
              <w:top w:w="100" w:type="dxa"/>
              <w:start w:w="120" w:type="dxa"/>
              <w:bottom w:w="100" w:type="dxa"/>
              <w:end w:w="120" w:type="dxa"/>
            </w:tcMar>
          </w:tcPr>
          <w:p>
            <w:pPr>
              <w:spacing w:after="40" w:before="40"/>
            </w:pPr>
            <w:r>
              <w:rPr>
                <w:sz w:val="18"/>
              </w:rPr>
              <w:t>Delivery preparation</w:t>
            </w:r>
          </w:p>
        </w:tc>
        <w:tc>
          <w:tcPr>
            <w:tcW w:type="dxa" w:w="5832"/>
            <w:vAlign w:val="center"/>
            <w:tcMar>
              <w:top w:w="100" w:type="dxa"/>
              <w:start w:w="120" w:type="dxa"/>
              <w:bottom w:w="100" w:type="dxa"/>
              <w:end w:w="120" w:type="dxa"/>
            </w:tcMar>
          </w:tcPr>
          <w:p>
            <w:pPr>
              <w:spacing w:after="40" w:before="40"/>
            </w:pPr>
            <w:r>
              <w:rPr>
                <w:sz w:val="18"/>
              </w:rPr>
              <w:t>Plans, environments, tools, standards and team enablement</w:t>
            </w:r>
          </w:p>
        </w:tc>
      </w:tr>
      <w:tr>
        <w:tc>
          <w:tcPr>
            <w:tcW w:type="dxa" w:w="1152"/>
            <w:vAlign w:val="center"/>
            <w:tcMar>
              <w:top w:w="100" w:type="dxa"/>
              <w:start w:w="120" w:type="dxa"/>
              <w:bottom w:w="100" w:type="dxa"/>
              <w:end w:w="120" w:type="dxa"/>
            </w:tcMar>
            <w:shd w:fill="EAF2F8"/>
          </w:tcPr>
          <w:p>
            <w:pPr>
              <w:spacing w:after="40" w:before="40"/>
            </w:pPr>
            <w:r>
              <w:rPr>
                <w:sz w:val="18"/>
              </w:rPr>
              <w:t>60.30</w:t>
            </w:r>
          </w:p>
        </w:tc>
        <w:tc>
          <w:tcPr>
            <w:tcW w:type="dxa" w:w="3096"/>
            <w:vAlign w:val="center"/>
            <w:tcMar>
              <w:top w:w="100" w:type="dxa"/>
              <w:start w:w="120" w:type="dxa"/>
              <w:bottom w:w="100" w:type="dxa"/>
              <w:end w:w="120" w:type="dxa"/>
            </w:tcMar>
            <w:shd w:fill="EAF2F8"/>
          </w:tcPr>
          <w:p>
            <w:pPr>
              <w:spacing w:after="40" w:before="40"/>
            </w:pPr>
            <w:r>
              <w:rPr>
                <w:sz w:val="18"/>
              </w:rPr>
              <w:t>Build and configuration</w:t>
            </w:r>
          </w:p>
        </w:tc>
        <w:tc>
          <w:tcPr>
            <w:tcW w:type="dxa" w:w="5832"/>
            <w:vAlign w:val="center"/>
            <w:tcMar>
              <w:top w:w="100" w:type="dxa"/>
              <w:start w:w="120" w:type="dxa"/>
              <w:bottom w:w="100" w:type="dxa"/>
              <w:end w:w="120" w:type="dxa"/>
            </w:tcMar>
            <w:shd w:fill="EAF2F8"/>
          </w:tcPr>
          <w:p>
            <w:pPr>
              <w:spacing w:after="40" w:before="40"/>
            </w:pPr>
            <w:r>
              <w:rPr>
                <w:sz w:val="18"/>
              </w:rPr>
              <w:t>Development, configuration, content and technical implementation</w:t>
            </w:r>
          </w:p>
        </w:tc>
      </w:tr>
      <w:tr>
        <w:tc>
          <w:tcPr>
            <w:tcW w:type="dxa" w:w="1152"/>
            <w:vAlign w:val="center"/>
            <w:tcMar>
              <w:top w:w="100" w:type="dxa"/>
              <w:start w:w="120" w:type="dxa"/>
              <w:bottom w:w="100" w:type="dxa"/>
              <w:end w:w="120" w:type="dxa"/>
            </w:tcMar>
          </w:tcPr>
          <w:p>
            <w:pPr>
              <w:spacing w:after="40" w:before="40"/>
            </w:pPr>
            <w:r>
              <w:rPr>
                <w:sz w:val="18"/>
              </w:rPr>
              <w:t>60.50</w:t>
            </w:r>
          </w:p>
        </w:tc>
        <w:tc>
          <w:tcPr>
            <w:tcW w:type="dxa" w:w="3096"/>
            <w:vAlign w:val="center"/>
            <w:tcMar>
              <w:top w:w="100" w:type="dxa"/>
              <w:start w:w="120" w:type="dxa"/>
              <w:bottom w:w="100" w:type="dxa"/>
              <w:end w:w="120" w:type="dxa"/>
            </w:tcMar>
          </w:tcPr>
          <w:p>
            <w:pPr>
              <w:spacing w:after="40" w:before="40"/>
            </w:pPr>
            <w:r>
              <w:rPr>
                <w:sz w:val="18"/>
              </w:rPr>
              <w:t>Verification and validation</w:t>
            </w:r>
          </w:p>
        </w:tc>
        <w:tc>
          <w:tcPr>
            <w:tcW w:type="dxa" w:w="5832"/>
            <w:vAlign w:val="center"/>
            <w:tcMar>
              <w:top w:w="100" w:type="dxa"/>
              <w:start w:w="120" w:type="dxa"/>
              <w:bottom w:w="100" w:type="dxa"/>
              <w:end w:w="120" w:type="dxa"/>
            </w:tcMar>
          </w:tcPr>
          <w:p>
            <w:pPr>
              <w:spacing w:after="40" w:before="40"/>
            </w:pPr>
            <w:r>
              <w:rPr>
                <w:sz w:val="18"/>
              </w:rPr>
              <w:t>Reviews, testing, quality assurance and acceptance evidence</w:t>
            </w:r>
          </w:p>
        </w:tc>
      </w:tr>
      <w:tr>
        <w:tc>
          <w:tcPr>
            <w:tcW w:type="dxa" w:w="1152"/>
            <w:vAlign w:val="center"/>
            <w:tcMar>
              <w:top w:w="100" w:type="dxa"/>
              <w:start w:w="120" w:type="dxa"/>
              <w:bottom w:w="100" w:type="dxa"/>
              <w:end w:w="120" w:type="dxa"/>
            </w:tcMar>
            <w:shd w:fill="EAF2F8"/>
          </w:tcPr>
          <w:p>
            <w:pPr>
              <w:spacing w:after="40" w:before="40"/>
            </w:pPr>
            <w:r>
              <w:rPr>
                <w:sz w:val="18"/>
              </w:rPr>
              <w:t>60.70</w:t>
            </w:r>
          </w:p>
        </w:tc>
        <w:tc>
          <w:tcPr>
            <w:tcW w:type="dxa" w:w="3096"/>
            <w:vAlign w:val="center"/>
            <w:tcMar>
              <w:top w:w="100" w:type="dxa"/>
              <w:start w:w="120" w:type="dxa"/>
              <w:bottom w:w="100" w:type="dxa"/>
              <w:end w:w="120" w:type="dxa"/>
            </w:tcMar>
            <w:shd w:fill="EAF2F8"/>
          </w:tcPr>
          <w:p>
            <w:pPr>
              <w:spacing w:after="40" w:before="40"/>
            </w:pPr>
            <w:r>
              <w:rPr>
                <w:sz w:val="18"/>
              </w:rPr>
              <w:t>Deployment and implementation</w:t>
            </w:r>
          </w:p>
        </w:tc>
        <w:tc>
          <w:tcPr>
            <w:tcW w:type="dxa" w:w="5832"/>
            <w:vAlign w:val="center"/>
            <w:tcMar>
              <w:top w:w="100" w:type="dxa"/>
              <w:start w:w="120" w:type="dxa"/>
              <w:bottom w:w="100" w:type="dxa"/>
              <w:end w:w="120" w:type="dxa"/>
            </w:tcMar>
            <w:shd w:fill="EAF2F8"/>
          </w:tcPr>
          <w:p>
            <w:pPr>
              <w:spacing w:after="40" w:before="40"/>
            </w:pPr>
            <w:r>
              <w:rPr>
                <w:sz w:val="18"/>
              </w:rPr>
              <w:t>Releases, deployment, migration and implementation</w:t>
            </w:r>
          </w:p>
        </w:tc>
      </w:tr>
      <w:tr>
        <w:tc>
          <w:tcPr>
            <w:tcW w:type="dxa" w:w="1152"/>
            <w:vAlign w:val="center"/>
            <w:tcMar>
              <w:top w:w="100" w:type="dxa"/>
              <w:start w:w="120" w:type="dxa"/>
              <w:bottom w:w="100" w:type="dxa"/>
              <w:end w:w="120" w:type="dxa"/>
            </w:tcMar>
          </w:tcPr>
          <w:p>
            <w:pPr>
              <w:spacing w:after="40" w:before="40"/>
            </w:pPr>
            <w:r>
              <w:rPr>
                <w:sz w:val="18"/>
              </w:rPr>
              <w:t>70.10</w:t>
            </w:r>
          </w:p>
        </w:tc>
        <w:tc>
          <w:tcPr>
            <w:tcW w:type="dxa" w:w="3096"/>
            <w:vAlign w:val="center"/>
            <w:tcMar>
              <w:top w:w="100" w:type="dxa"/>
              <w:start w:w="120" w:type="dxa"/>
              <w:bottom w:w="100" w:type="dxa"/>
              <w:end w:w="120" w:type="dxa"/>
            </w:tcMar>
          </w:tcPr>
          <w:p>
            <w:pPr>
              <w:spacing w:after="40" w:before="40"/>
            </w:pPr>
            <w:r>
              <w:rPr>
                <w:sz w:val="18"/>
              </w:rPr>
              <w:t>Operational readiness</w:t>
            </w:r>
          </w:p>
        </w:tc>
        <w:tc>
          <w:tcPr>
            <w:tcW w:type="dxa" w:w="5832"/>
            <w:vAlign w:val="center"/>
            <w:tcMar>
              <w:top w:w="100" w:type="dxa"/>
              <w:start w:w="120" w:type="dxa"/>
              <w:bottom w:w="100" w:type="dxa"/>
              <w:end w:w="120" w:type="dxa"/>
            </w:tcMar>
          </w:tcPr>
          <w:p>
            <w:pPr>
              <w:spacing w:after="40" w:before="40"/>
            </w:pPr>
            <w:r>
              <w:rPr>
                <w:sz w:val="18"/>
              </w:rPr>
              <w:t>Readiness assessment, service acceptance and outstanding obligations</w:t>
            </w:r>
          </w:p>
        </w:tc>
      </w:tr>
      <w:tr>
        <w:tc>
          <w:tcPr>
            <w:tcW w:type="dxa" w:w="1152"/>
            <w:vAlign w:val="center"/>
            <w:tcMar>
              <w:top w:w="100" w:type="dxa"/>
              <w:start w:w="120" w:type="dxa"/>
              <w:bottom w:w="100" w:type="dxa"/>
              <w:end w:w="120" w:type="dxa"/>
            </w:tcMar>
            <w:shd w:fill="EAF2F8"/>
          </w:tcPr>
          <w:p>
            <w:pPr>
              <w:spacing w:after="40" w:before="40"/>
            </w:pPr>
            <w:r>
              <w:rPr>
                <w:sz w:val="18"/>
              </w:rPr>
              <w:t>70.30</w:t>
            </w:r>
          </w:p>
        </w:tc>
        <w:tc>
          <w:tcPr>
            <w:tcW w:type="dxa" w:w="3096"/>
            <w:vAlign w:val="center"/>
            <w:tcMar>
              <w:top w:w="100" w:type="dxa"/>
              <w:start w:w="120" w:type="dxa"/>
              <w:bottom w:w="100" w:type="dxa"/>
              <w:end w:w="120" w:type="dxa"/>
            </w:tcMar>
            <w:shd w:fill="EAF2F8"/>
          </w:tcPr>
          <w:p>
            <w:pPr>
              <w:spacing w:after="40" w:before="40"/>
            </w:pPr>
            <w:r>
              <w:rPr>
                <w:sz w:val="18"/>
              </w:rPr>
              <w:t>Handover and enablement</w:t>
            </w:r>
          </w:p>
        </w:tc>
        <w:tc>
          <w:tcPr>
            <w:tcW w:type="dxa" w:w="5832"/>
            <w:vAlign w:val="center"/>
            <w:tcMar>
              <w:top w:w="100" w:type="dxa"/>
              <w:start w:w="120" w:type="dxa"/>
              <w:bottom w:w="100" w:type="dxa"/>
              <w:end w:w="120" w:type="dxa"/>
            </w:tcMar>
            <w:shd w:fill="EAF2F8"/>
          </w:tcPr>
          <w:p>
            <w:pPr>
              <w:spacing w:after="40" w:before="40"/>
            </w:pPr>
            <w:r>
              <w:rPr>
                <w:sz w:val="18"/>
              </w:rPr>
              <w:t>Documentation, knowledge transfer, training and support enablement</w:t>
            </w:r>
          </w:p>
        </w:tc>
      </w:tr>
      <w:tr>
        <w:tc>
          <w:tcPr>
            <w:tcW w:type="dxa" w:w="1152"/>
            <w:vAlign w:val="center"/>
            <w:tcMar>
              <w:top w:w="100" w:type="dxa"/>
              <w:start w:w="120" w:type="dxa"/>
              <w:bottom w:w="100" w:type="dxa"/>
              <w:end w:w="120" w:type="dxa"/>
            </w:tcMar>
          </w:tcPr>
          <w:p>
            <w:pPr>
              <w:spacing w:after="40" w:before="40"/>
            </w:pPr>
            <w:r>
              <w:rPr>
                <w:sz w:val="18"/>
              </w:rPr>
              <w:t>70.50</w:t>
            </w:r>
          </w:p>
        </w:tc>
        <w:tc>
          <w:tcPr>
            <w:tcW w:type="dxa" w:w="3096"/>
            <w:vAlign w:val="center"/>
            <w:tcMar>
              <w:top w:w="100" w:type="dxa"/>
              <w:start w:w="120" w:type="dxa"/>
              <w:bottom w:w="100" w:type="dxa"/>
              <w:end w:w="120" w:type="dxa"/>
            </w:tcMar>
          </w:tcPr>
          <w:p>
            <w:pPr>
              <w:spacing w:after="40" w:before="40"/>
            </w:pPr>
            <w:r>
              <w:rPr>
                <w:sz w:val="18"/>
              </w:rPr>
              <w:t>Transition</w:t>
            </w:r>
          </w:p>
        </w:tc>
        <w:tc>
          <w:tcPr>
            <w:tcW w:type="dxa" w:w="5832"/>
            <w:vAlign w:val="center"/>
            <w:tcMar>
              <w:top w:w="100" w:type="dxa"/>
              <w:start w:w="120" w:type="dxa"/>
              <w:bottom w:w="100" w:type="dxa"/>
              <w:end w:w="120" w:type="dxa"/>
            </w:tcMar>
          </w:tcPr>
          <w:p>
            <w:pPr>
              <w:spacing w:after="40" w:before="40"/>
            </w:pPr>
            <w:r>
              <w:rPr>
                <w:sz w:val="18"/>
              </w:rPr>
              <w:t>Cutover, stabilisation and transition into service management</w:t>
            </w:r>
          </w:p>
        </w:tc>
      </w:tr>
      <w:tr>
        <w:tc>
          <w:tcPr>
            <w:tcW w:type="dxa" w:w="1152"/>
            <w:vAlign w:val="center"/>
            <w:tcMar>
              <w:top w:w="100" w:type="dxa"/>
              <w:start w:w="120" w:type="dxa"/>
              <w:bottom w:w="100" w:type="dxa"/>
              <w:end w:w="120" w:type="dxa"/>
            </w:tcMar>
            <w:shd w:fill="EAF2F8"/>
          </w:tcPr>
          <w:p>
            <w:pPr>
              <w:spacing w:after="40" w:before="40"/>
            </w:pPr>
            <w:r>
              <w:rPr>
                <w:sz w:val="18"/>
              </w:rPr>
              <w:t>80.10</w:t>
            </w:r>
          </w:p>
        </w:tc>
        <w:tc>
          <w:tcPr>
            <w:tcW w:type="dxa" w:w="3096"/>
            <w:vAlign w:val="center"/>
            <w:tcMar>
              <w:top w:w="100" w:type="dxa"/>
              <w:start w:w="120" w:type="dxa"/>
              <w:bottom w:w="100" w:type="dxa"/>
              <w:end w:w="120" w:type="dxa"/>
            </w:tcMar>
            <w:shd w:fill="EAF2F8"/>
          </w:tcPr>
          <w:p>
            <w:pPr>
              <w:spacing w:after="40" w:before="40"/>
            </w:pPr>
            <w:r>
              <w:rPr>
                <w:sz w:val="18"/>
              </w:rPr>
              <w:t>Service operation</w:t>
            </w:r>
          </w:p>
        </w:tc>
        <w:tc>
          <w:tcPr>
            <w:tcW w:type="dxa" w:w="5832"/>
            <w:vAlign w:val="center"/>
            <w:tcMar>
              <w:top w:w="100" w:type="dxa"/>
              <w:start w:w="120" w:type="dxa"/>
              <w:bottom w:w="100" w:type="dxa"/>
              <w:end w:w="120" w:type="dxa"/>
            </w:tcMar>
            <w:shd w:fill="EAF2F8"/>
          </w:tcPr>
          <w:p>
            <w:pPr>
              <w:spacing w:after="40" w:before="40"/>
            </w:pPr>
            <w:r>
              <w:rPr>
                <w:sz w:val="18"/>
              </w:rPr>
              <w:t>Monitoring, incidents, requests, support and routine administration</w:t>
            </w:r>
          </w:p>
        </w:tc>
      </w:tr>
      <w:tr>
        <w:tc>
          <w:tcPr>
            <w:tcW w:type="dxa" w:w="1152"/>
            <w:vAlign w:val="center"/>
            <w:tcMar>
              <w:top w:w="100" w:type="dxa"/>
              <w:start w:w="120" w:type="dxa"/>
              <w:bottom w:w="100" w:type="dxa"/>
              <w:end w:w="120" w:type="dxa"/>
            </w:tcMar>
          </w:tcPr>
          <w:p>
            <w:pPr>
              <w:spacing w:after="40" w:before="40"/>
            </w:pPr>
            <w:r>
              <w:rPr>
                <w:sz w:val="18"/>
              </w:rPr>
              <w:t>80.30</w:t>
            </w:r>
          </w:p>
        </w:tc>
        <w:tc>
          <w:tcPr>
            <w:tcW w:type="dxa" w:w="3096"/>
            <w:vAlign w:val="center"/>
            <w:tcMar>
              <w:top w:w="100" w:type="dxa"/>
              <w:start w:w="120" w:type="dxa"/>
              <w:bottom w:w="100" w:type="dxa"/>
              <w:end w:w="120" w:type="dxa"/>
            </w:tcMar>
          </w:tcPr>
          <w:p>
            <w:pPr>
              <w:spacing w:after="40" w:before="40"/>
            </w:pPr>
            <w:r>
              <w:rPr>
                <w:sz w:val="18"/>
              </w:rPr>
              <w:t>Maintenance and change</w:t>
            </w:r>
          </w:p>
        </w:tc>
        <w:tc>
          <w:tcPr>
            <w:tcW w:type="dxa" w:w="5832"/>
            <w:vAlign w:val="center"/>
            <w:tcMar>
              <w:top w:w="100" w:type="dxa"/>
              <w:start w:w="120" w:type="dxa"/>
              <w:bottom w:w="100" w:type="dxa"/>
              <w:end w:w="120" w:type="dxa"/>
            </w:tcMar>
          </w:tcPr>
          <w:p>
            <w:pPr>
              <w:spacing w:after="40" w:before="40"/>
            </w:pPr>
            <w:r>
              <w:rPr>
                <w:sz w:val="18"/>
              </w:rPr>
              <w:t>Maintenance, upgrades, problem management and controlled change</w:t>
            </w:r>
          </w:p>
        </w:tc>
      </w:tr>
      <w:tr>
        <w:tc>
          <w:tcPr>
            <w:tcW w:type="dxa" w:w="1152"/>
            <w:vAlign w:val="center"/>
            <w:tcMar>
              <w:top w:w="100" w:type="dxa"/>
              <w:start w:w="120" w:type="dxa"/>
              <w:bottom w:w="100" w:type="dxa"/>
              <w:end w:w="120" w:type="dxa"/>
            </w:tcMar>
            <w:shd w:fill="EAF2F8"/>
          </w:tcPr>
          <w:p>
            <w:pPr>
              <w:spacing w:after="40" w:before="40"/>
            </w:pPr>
            <w:r>
              <w:rPr>
                <w:sz w:val="18"/>
              </w:rPr>
              <w:t>80.50</w:t>
            </w:r>
          </w:p>
        </w:tc>
        <w:tc>
          <w:tcPr>
            <w:tcW w:type="dxa" w:w="3096"/>
            <w:vAlign w:val="center"/>
            <w:tcMar>
              <w:top w:w="100" w:type="dxa"/>
              <w:start w:w="120" w:type="dxa"/>
              <w:bottom w:w="100" w:type="dxa"/>
              <w:end w:w="120" w:type="dxa"/>
            </w:tcMar>
            <w:shd w:fill="EAF2F8"/>
          </w:tcPr>
          <w:p>
            <w:pPr>
              <w:spacing w:after="40" w:before="40"/>
            </w:pPr>
            <w:r>
              <w:rPr>
                <w:sz w:val="18"/>
              </w:rPr>
              <w:t>Benefits and evaluation</w:t>
            </w:r>
          </w:p>
        </w:tc>
        <w:tc>
          <w:tcPr>
            <w:tcW w:type="dxa" w:w="5832"/>
            <w:vAlign w:val="center"/>
            <w:tcMar>
              <w:top w:w="100" w:type="dxa"/>
              <w:start w:w="120" w:type="dxa"/>
              <w:bottom w:w="100" w:type="dxa"/>
              <w:end w:w="120" w:type="dxa"/>
            </w:tcMar>
            <w:shd w:fill="EAF2F8"/>
          </w:tcPr>
          <w:p>
            <w:pPr>
              <w:spacing w:after="40" w:before="40"/>
            </w:pPr>
            <w:r>
              <w:rPr>
                <w:sz w:val="18"/>
              </w:rPr>
              <w:t>Outcomes, benefits, performance and service evaluation</w:t>
            </w:r>
          </w:p>
        </w:tc>
      </w:tr>
      <w:tr>
        <w:tc>
          <w:tcPr>
            <w:tcW w:type="dxa" w:w="1152"/>
            <w:vAlign w:val="center"/>
            <w:tcMar>
              <w:top w:w="100" w:type="dxa"/>
              <w:start w:w="120" w:type="dxa"/>
              <w:bottom w:w="100" w:type="dxa"/>
              <w:end w:w="120" w:type="dxa"/>
            </w:tcMar>
          </w:tcPr>
          <w:p>
            <w:pPr>
              <w:spacing w:after="40" w:before="40"/>
            </w:pPr>
            <w:r>
              <w:rPr>
                <w:sz w:val="18"/>
              </w:rPr>
              <w:t>80.70</w:t>
            </w:r>
          </w:p>
        </w:tc>
        <w:tc>
          <w:tcPr>
            <w:tcW w:type="dxa" w:w="3096"/>
            <w:vAlign w:val="center"/>
            <w:tcMar>
              <w:top w:w="100" w:type="dxa"/>
              <w:start w:w="120" w:type="dxa"/>
              <w:bottom w:w="100" w:type="dxa"/>
              <w:end w:w="120" w:type="dxa"/>
            </w:tcMar>
          </w:tcPr>
          <w:p>
            <w:pPr>
              <w:spacing w:after="40" w:before="40"/>
            </w:pPr>
            <w:r>
              <w:rPr>
                <w:sz w:val="18"/>
              </w:rPr>
              <w:t>Continual improvement</w:t>
            </w:r>
          </w:p>
        </w:tc>
        <w:tc>
          <w:tcPr>
            <w:tcW w:type="dxa" w:w="5832"/>
            <w:vAlign w:val="center"/>
            <w:tcMar>
              <w:top w:w="100" w:type="dxa"/>
              <w:start w:w="120" w:type="dxa"/>
              <w:bottom w:w="100" w:type="dxa"/>
              <w:end w:w="120" w:type="dxa"/>
            </w:tcMar>
          </w:tcPr>
          <w:p>
            <w:pPr>
              <w:spacing w:after="40" w:before="40"/>
            </w:pPr>
            <w:r>
              <w:rPr>
                <w:sz w:val="18"/>
              </w:rPr>
              <w:t>Feedback, optimisation and improvement backlog</w:t>
            </w:r>
          </w:p>
        </w:tc>
      </w:tr>
      <w:tr>
        <w:tc>
          <w:tcPr>
            <w:tcW w:type="dxa" w:w="1152"/>
            <w:vAlign w:val="center"/>
            <w:tcMar>
              <w:top w:w="100" w:type="dxa"/>
              <w:start w:w="120" w:type="dxa"/>
              <w:bottom w:w="100" w:type="dxa"/>
              <w:end w:w="120" w:type="dxa"/>
            </w:tcMar>
            <w:shd w:fill="EAF2F8"/>
          </w:tcPr>
          <w:p>
            <w:pPr>
              <w:spacing w:after="40" w:before="40"/>
            </w:pPr>
            <w:r>
              <w:rPr>
                <w:sz w:val="18"/>
              </w:rPr>
              <w:t>90.10</w:t>
            </w:r>
          </w:p>
        </w:tc>
        <w:tc>
          <w:tcPr>
            <w:tcW w:type="dxa" w:w="3096"/>
            <w:vAlign w:val="center"/>
            <w:tcMar>
              <w:top w:w="100" w:type="dxa"/>
              <w:start w:w="120" w:type="dxa"/>
              <w:bottom w:w="100" w:type="dxa"/>
              <w:end w:w="120" w:type="dxa"/>
            </w:tcMar>
            <w:shd w:fill="EAF2F8"/>
          </w:tcPr>
          <w:p>
            <w:pPr>
              <w:spacing w:after="40" w:before="40"/>
            </w:pPr>
            <w:r>
              <w:rPr>
                <w:sz w:val="18"/>
              </w:rPr>
              <w:t>Retirement planning</w:t>
            </w:r>
          </w:p>
        </w:tc>
        <w:tc>
          <w:tcPr>
            <w:tcW w:type="dxa" w:w="5832"/>
            <w:vAlign w:val="center"/>
            <w:tcMar>
              <w:top w:w="100" w:type="dxa"/>
              <w:start w:w="120" w:type="dxa"/>
              <w:bottom w:w="100" w:type="dxa"/>
              <w:end w:w="120" w:type="dxa"/>
            </w:tcMar>
            <w:shd w:fill="EAF2F8"/>
          </w:tcPr>
          <w:p>
            <w:pPr>
              <w:spacing w:after="40" w:before="40"/>
            </w:pPr>
            <w:r>
              <w:rPr>
                <w:sz w:val="18"/>
              </w:rPr>
              <w:t>Exit strategy, dependencies, approvals and successor planning</w:t>
            </w:r>
          </w:p>
        </w:tc>
      </w:tr>
      <w:tr>
        <w:tc>
          <w:tcPr>
            <w:tcW w:type="dxa" w:w="1152"/>
            <w:vAlign w:val="center"/>
            <w:tcMar>
              <w:top w:w="100" w:type="dxa"/>
              <w:start w:w="120" w:type="dxa"/>
              <w:bottom w:w="100" w:type="dxa"/>
              <w:end w:w="120" w:type="dxa"/>
            </w:tcMar>
          </w:tcPr>
          <w:p>
            <w:pPr>
              <w:spacing w:after="40" w:before="40"/>
            </w:pPr>
            <w:r>
              <w:rPr>
                <w:sz w:val="18"/>
              </w:rPr>
              <w:t>90.30</w:t>
            </w:r>
          </w:p>
        </w:tc>
        <w:tc>
          <w:tcPr>
            <w:tcW w:type="dxa" w:w="3096"/>
            <w:vAlign w:val="center"/>
            <w:tcMar>
              <w:top w:w="100" w:type="dxa"/>
              <w:start w:w="120" w:type="dxa"/>
              <w:bottom w:w="100" w:type="dxa"/>
              <w:end w:w="120" w:type="dxa"/>
            </w:tcMar>
          </w:tcPr>
          <w:p>
            <w:pPr>
              <w:spacing w:after="40" w:before="40"/>
            </w:pPr>
            <w:r>
              <w:rPr>
                <w:sz w:val="18"/>
              </w:rPr>
              <w:t>Migration and decommissioning</w:t>
            </w:r>
          </w:p>
        </w:tc>
        <w:tc>
          <w:tcPr>
            <w:tcW w:type="dxa" w:w="5832"/>
            <w:vAlign w:val="center"/>
            <w:tcMar>
              <w:top w:w="100" w:type="dxa"/>
              <w:start w:w="120" w:type="dxa"/>
              <w:bottom w:w="100" w:type="dxa"/>
              <w:end w:w="120" w:type="dxa"/>
            </w:tcMar>
          </w:tcPr>
          <w:p>
            <w:pPr>
              <w:spacing w:after="40" w:before="40"/>
            </w:pPr>
            <w:r>
              <w:rPr>
                <w:sz w:val="18"/>
              </w:rPr>
              <w:t>Migration, shutdown, disposal and support withdrawal</w:t>
            </w:r>
          </w:p>
        </w:tc>
      </w:tr>
      <w:tr>
        <w:tc>
          <w:tcPr>
            <w:tcW w:type="dxa" w:w="1152"/>
            <w:vAlign w:val="center"/>
            <w:tcMar>
              <w:top w:w="100" w:type="dxa"/>
              <w:start w:w="120" w:type="dxa"/>
              <w:bottom w:w="100" w:type="dxa"/>
              <w:end w:w="120" w:type="dxa"/>
            </w:tcMar>
            <w:shd w:fill="EAF2F8"/>
          </w:tcPr>
          <w:p>
            <w:pPr>
              <w:spacing w:after="40" w:before="40"/>
            </w:pPr>
            <w:r>
              <w:rPr>
                <w:sz w:val="18"/>
              </w:rPr>
              <w:t>90.50</w:t>
            </w:r>
          </w:p>
        </w:tc>
        <w:tc>
          <w:tcPr>
            <w:tcW w:type="dxa" w:w="3096"/>
            <w:vAlign w:val="center"/>
            <w:tcMar>
              <w:top w:w="100" w:type="dxa"/>
              <w:start w:w="120" w:type="dxa"/>
              <w:bottom w:w="100" w:type="dxa"/>
              <w:end w:w="120" w:type="dxa"/>
            </w:tcMar>
            <w:shd w:fill="EAF2F8"/>
          </w:tcPr>
          <w:p>
            <w:pPr>
              <w:spacing w:after="40" w:before="40"/>
            </w:pPr>
            <w:r>
              <w:rPr>
                <w:sz w:val="18"/>
              </w:rPr>
              <w:t>Closure and retention</w:t>
            </w:r>
          </w:p>
        </w:tc>
        <w:tc>
          <w:tcPr>
            <w:tcW w:type="dxa" w:w="5832"/>
            <w:vAlign w:val="center"/>
            <w:tcMar>
              <w:top w:w="100" w:type="dxa"/>
              <w:start w:w="120" w:type="dxa"/>
              <w:bottom w:w="100" w:type="dxa"/>
              <w:end w:w="120" w:type="dxa"/>
            </w:tcMar>
            <w:shd w:fill="EAF2F8"/>
          </w:tcPr>
          <w:p>
            <w:pPr>
              <w:spacing w:after="40" w:before="40"/>
            </w:pPr>
            <w:r>
              <w:rPr>
                <w:sz w:val="18"/>
              </w:rPr>
              <w:t>Closure evidence, records, retention and lessons learned</w:t>
            </w:r>
          </w:p>
        </w:tc>
      </w:tr>
    </w:tbl>
    <w:p/>
    <w:p>
      <w:pPr>
        <w:pStyle w:val="Heading1"/>
      </w:pPr>
      <w:r>
        <w:t>Folder and media model</w:t>
      </w:r>
    </w:p>
    <w:p>
      <w:r>
        <w:t>A subject folder is primarily a document collection. Supporting visual material sits beneath it in _media.</w:t>
      </w:r>
    </w:p>
    <w:p>
      <w:pPr/>
      <w:r>
        <w:rPr>
          <w:rFonts w:ascii="Consolas" w:hAnsi="Consolas"/>
          <w:sz w:val="18"/>
        </w:rPr>
        <w:t>[50] Solution Design</w:t>
        <w:br/>
        <w:t xml:space="preserve">  [50.20] Information Design</w:t>
        <w:br/>
        <w:t xml:space="preserve">    [50.20.010] Information Modelling Guidance.docx</w:t>
        <w:br/>
        <w:t xml:space="preserve">    [50.20.020] Data Quality Guidance.docx</w:t>
        <w:br/>
        <w:t xml:space="preserve">    _media</w:t>
        <w:br/>
        <w:t xml:space="preserve">      conceptual-model.drawio</w:t>
        <w:br/>
        <w:t xml:space="preserve">      conceptual-model.png</w:t>
        <w:br/>
        <w:t xml:space="preserve">      data-quality-model.drawio</w:t>
        <w:br/>
        <w:t xml:space="preserve">      data-quality-model.png</w:t>
      </w:r>
    </w:p>
    <w:p>
      <w:pPr>
        <w:pStyle w:val="Heading2"/>
      </w:pPr>
      <w:r>
        <w:t>Media rules</w:t>
      </w:r>
    </w:p>
    <w:p>
      <w:pPr>
        <w:pStyle w:val="ListBullet"/>
      </w:pPr>
      <w:r>
        <w:t>Use the exact reserved name _media so supporting files sort predictably near the top.</w:t>
      </w:r>
    </w:p>
    <w:p>
      <w:pPr>
        <w:pStyle w:val="ListBullet"/>
      </w:pPr>
      <w:r>
        <w:t>Keep editable sources and generated renditions together when they describe the same visual.</w:t>
      </w:r>
    </w:p>
    <w:p>
      <w:pPr>
        <w:pStyle w:val="ListBullet"/>
      </w:pPr>
      <w:r>
        <w:t>Use short media names because the parent subject folder already supplies context.</w:t>
      </w:r>
    </w:p>
    <w:p>
      <w:pPr>
        <w:pStyle w:val="ListBullet"/>
      </w:pPr>
      <w:r>
        <w:t>Where ambiguity is likely, prefix media with the owning document identifier, for example 50.20.010-conceptual-model.drawio.</w:t>
      </w:r>
    </w:p>
    <w:p>
      <w:pPr>
        <w:pStyle w:val="ListBullet"/>
      </w:pPr>
      <w:r>
        <w:t>Do not create a repository-wide diagrams or images hierarchy for media that belongs to a specific subject.</w:t>
      </w:r>
    </w:p>
    <w:p>
      <w:pPr>
        <w:pStyle w:val="ListBullet"/>
      </w:pPr>
      <w:r>
        <w:t>Shared media used by several subjects should have one authoritative home and be linked or referenced rather than copied.</w:t>
      </w:r>
    </w:p>
    <w:p>
      <w:pPr>
        <w:pStyle w:val="Heading1"/>
      </w:pPr>
      <w:r>
        <w:t>Filename rules</w:t>
      </w:r>
    </w:p>
    <w:p>
      <w:pPr>
        <w:pStyle w:val="ListBullet"/>
      </w:pPr>
      <w:r>
        <w:t>Use square brackets around identifiers when visual recognition is useful: [50.20.010] Information Modelling Guidance.docx.</w:t>
      </w:r>
    </w:p>
    <w:p>
      <w:pPr>
        <w:pStyle w:val="ListBullet"/>
      </w:pPr>
      <w:r>
        <w:t>Use dots between numeric levels. Use ordinary spaces between the identifier and title.</w:t>
      </w:r>
    </w:p>
    <w:p>
      <w:pPr>
        <w:pStyle w:val="ListBullet"/>
      </w:pPr>
      <w:r>
        <w:t>Use hyphens inside short titles only when grammatically or technically useful; do not use them as the hierarchy separator.</w:t>
      </w:r>
    </w:p>
    <w:p>
      <w:pPr>
        <w:pStyle w:val="ListBullet"/>
      </w:pPr>
      <w:r>
        <w:t>Avoid repeating phase and subject names already present in the parent directories.</w:t>
      </w:r>
    </w:p>
    <w:p>
      <w:pPr>
        <w:pStyle w:val="ListBullet"/>
      </w:pPr>
      <w:r>
        <w:t>Avoid status labels in permanent identifiers. Status may appear at the end of a filename while material is actively being worked on.</w:t>
      </w:r>
    </w:p>
    <w:p>
      <w:pPr>
        <w:pStyle w:val="ListBullet"/>
      </w:pPr>
      <w:r>
        <w:t>Use concise titles externally and retain the full formal title on the document title page and in metadata.</w:t>
      </w:r>
    </w:p>
    <w:p>
      <w:pPr>
        <w:pStyle w:val="Heading1"/>
      </w:pPr>
      <w:r>
        <w:t>Relationship to the existing SELF draft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440"/>
            <w:vAlign w:val="center"/>
            <w:tcMar>
              <w:top w:w="100" w:type="dxa"/>
              <w:start w:w="120" w:type="dxa"/>
              <w:bottom w:w="100" w:type="dxa"/>
              <w:end w:w="120" w:type="dxa"/>
            </w:tcMar>
            <w:shd w:fill="1F4E78"/>
          </w:tcPr>
          <w:p>
            <w:pPr>
              <w:spacing w:after="40" w:before="40"/>
            </w:pPr>
            <w:r>
              <w:rPr>
                <w:b/>
                <w:color w:val="FFFFFF"/>
                <w:sz w:val="18"/>
              </w:rPr>
              <w:t>Current SELF</w:t>
            </w:r>
          </w:p>
        </w:tc>
        <w:tc>
          <w:tcPr>
            <w:tcW w:type="dxa" w:w="4032"/>
            <w:vAlign w:val="center"/>
            <w:tcMar>
              <w:top w:w="100" w:type="dxa"/>
              <w:start w:w="120" w:type="dxa"/>
              <w:bottom w:w="100" w:type="dxa"/>
              <w:end w:w="120" w:type="dxa"/>
            </w:tcMar>
            <w:shd w:fill="1F4E78"/>
          </w:tcPr>
          <w:p>
            <w:pPr>
              <w:spacing w:after="40" w:before="40"/>
            </w:pPr>
            <w:r>
              <w:rPr>
                <w:b/>
                <w:color w:val="FFFFFF"/>
                <w:sz w:val="18"/>
              </w:rPr>
              <w:t>Current area</w:t>
            </w:r>
          </w:p>
        </w:tc>
        <w:tc>
          <w:tcPr>
            <w:tcW w:type="dxa" w:w="4608"/>
            <w:vAlign w:val="center"/>
            <w:tcMar>
              <w:top w:w="100" w:type="dxa"/>
              <w:start w:w="120" w:type="dxa"/>
              <w:bottom w:w="100" w:type="dxa"/>
              <w:end w:w="120" w:type="dxa"/>
            </w:tcMar>
            <w:shd w:fill="1F4E78"/>
          </w:tcPr>
          <w:p>
            <w:pPr>
              <w:spacing w:after="40" w:before="40"/>
            </w:pPr>
            <w:r>
              <w:rPr>
                <w:b/>
                <w:color w:val="FFFFFF"/>
                <w:sz w:val="18"/>
              </w:rPr>
              <w:t>Proposed range</w:t>
            </w:r>
          </w:p>
        </w:tc>
      </w:tr>
      <w:tr>
        <w:tc>
          <w:tcPr>
            <w:tcW w:type="dxa" w:w="1440"/>
            <w:vAlign w:val="center"/>
            <w:tcMar>
              <w:top w:w="100" w:type="dxa"/>
              <w:start w:w="120" w:type="dxa"/>
              <w:bottom w:w="100" w:type="dxa"/>
              <w:end w:w="120" w:type="dxa"/>
            </w:tcMar>
          </w:tcPr>
          <w:p>
            <w:pPr>
              <w:spacing w:after="40" w:before="40"/>
            </w:pPr>
            <w:r>
              <w:rPr>
                <w:sz w:val="18"/>
              </w:rPr>
              <w:t>01</w:t>
            </w:r>
          </w:p>
        </w:tc>
        <w:tc>
          <w:tcPr>
            <w:tcW w:type="dxa" w:w="4032"/>
            <w:vAlign w:val="center"/>
            <w:tcMar>
              <w:top w:w="100" w:type="dxa"/>
              <w:start w:w="120" w:type="dxa"/>
              <w:bottom w:w="100" w:type="dxa"/>
              <w:end w:w="120" w:type="dxa"/>
            </w:tcMar>
          </w:tcPr>
          <w:p>
            <w:pPr>
              <w:spacing w:after="40" w:before="40"/>
            </w:pPr>
            <w:r>
              <w:rPr>
                <w:sz w:val="18"/>
              </w:rPr>
              <w:t>Cross Cutting Management</w:t>
            </w:r>
          </w:p>
        </w:tc>
        <w:tc>
          <w:tcPr>
            <w:tcW w:type="dxa" w:w="4608"/>
            <w:vAlign w:val="center"/>
            <w:tcMar>
              <w:top w:w="100" w:type="dxa"/>
              <w:start w:w="120" w:type="dxa"/>
              <w:bottom w:w="100" w:type="dxa"/>
              <w:end w:w="120" w:type="dxa"/>
            </w:tcMar>
          </w:tcPr>
          <w:p>
            <w:pPr>
              <w:spacing w:after="40" w:before="40"/>
            </w:pPr>
            <w:r>
              <w:rPr>
                <w:sz w:val="18"/>
              </w:rPr>
              <w:t>00 Repository and cross-cutting management</w:t>
            </w:r>
          </w:p>
        </w:tc>
      </w:tr>
      <w:tr>
        <w:tc>
          <w:tcPr>
            <w:tcW w:type="dxa" w:w="1440"/>
            <w:vAlign w:val="center"/>
            <w:tcMar>
              <w:top w:w="100" w:type="dxa"/>
              <w:start w:w="120" w:type="dxa"/>
              <w:bottom w:w="100" w:type="dxa"/>
              <w:end w:w="120" w:type="dxa"/>
            </w:tcMar>
            <w:shd w:fill="EAF2F8"/>
          </w:tcPr>
          <w:p>
            <w:pPr>
              <w:spacing w:after="40" w:before="40"/>
            </w:pPr>
            <w:r>
              <w:rPr>
                <w:sz w:val="18"/>
              </w:rPr>
              <w:t>02 to 03</w:t>
            </w:r>
          </w:p>
        </w:tc>
        <w:tc>
          <w:tcPr>
            <w:tcW w:type="dxa" w:w="4032"/>
            <w:vAlign w:val="center"/>
            <w:tcMar>
              <w:top w:w="100" w:type="dxa"/>
              <w:start w:w="120" w:type="dxa"/>
              <w:bottom w:w="100" w:type="dxa"/>
              <w:end w:w="120" w:type="dxa"/>
            </w:tcMar>
            <w:shd w:fill="EAF2F8"/>
          </w:tcPr>
          <w:p>
            <w:pPr>
              <w:spacing w:after="40" w:before="40"/>
            </w:pPr>
            <w:r>
              <w:rPr>
                <w:sz w:val="18"/>
              </w:rPr>
              <w:t>Environmental Sensing and Strategic Framing</w:t>
            </w:r>
          </w:p>
        </w:tc>
        <w:tc>
          <w:tcPr>
            <w:tcW w:type="dxa" w:w="4608"/>
            <w:vAlign w:val="center"/>
            <w:tcMar>
              <w:top w:w="100" w:type="dxa"/>
              <w:start w:w="120" w:type="dxa"/>
              <w:bottom w:w="100" w:type="dxa"/>
              <w:end w:w="120" w:type="dxa"/>
            </w:tcMar>
            <w:shd w:fill="EAF2F8"/>
          </w:tcPr>
          <w:p>
            <w:pPr>
              <w:spacing w:after="40" w:before="40"/>
            </w:pPr>
            <w:r>
              <w:rPr>
                <w:sz w:val="18"/>
              </w:rPr>
              <w:t>10 Environmental sensing and strategic direction</w:t>
            </w:r>
          </w:p>
        </w:tc>
      </w:tr>
      <w:tr>
        <w:tc>
          <w:tcPr>
            <w:tcW w:type="dxa" w:w="1440"/>
            <w:vAlign w:val="center"/>
            <w:tcMar>
              <w:top w:w="100" w:type="dxa"/>
              <w:start w:w="120" w:type="dxa"/>
              <w:bottom w:w="100" w:type="dxa"/>
              <w:end w:w="120" w:type="dxa"/>
            </w:tcMar>
          </w:tcPr>
          <w:p>
            <w:pPr>
              <w:spacing w:after="40" w:before="40"/>
            </w:pPr>
            <w:r>
              <w:rPr>
                <w:sz w:val="18"/>
              </w:rPr>
              <w:t>04 to 05</w:t>
            </w:r>
          </w:p>
        </w:tc>
        <w:tc>
          <w:tcPr>
            <w:tcW w:type="dxa" w:w="4032"/>
            <w:vAlign w:val="center"/>
            <w:tcMar>
              <w:top w:w="100" w:type="dxa"/>
              <w:start w:w="120" w:type="dxa"/>
              <w:bottom w:w="100" w:type="dxa"/>
              <w:end w:w="120" w:type="dxa"/>
            </w:tcMar>
          </w:tcPr>
          <w:p>
            <w:pPr>
              <w:spacing w:after="40" w:before="40"/>
            </w:pPr>
            <w:r>
              <w:rPr>
                <w:sz w:val="18"/>
              </w:rPr>
              <w:t>Project Financing and Project Preparation</w:t>
            </w:r>
          </w:p>
        </w:tc>
        <w:tc>
          <w:tcPr>
            <w:tcW w:type="dxa" w:w="4608"/>
            <w:vAlign w:val="center"/>
            <w:tcMar>
              <w:top w:w="100" w:type="dxa"/>
              <w:start w:w="120" w:type="dxa"/>
              <w:bottom w:w="100" w:type="dxa"/>
              <w:end w:w="120" w:type="dxa"/>
            </w:tcMar>
          </w:tcPr>
          <w:p>
            <w:pPr>
              <w:spacing w:after="40" w:before="40"/>
            </w:pPr>
            <w:r>
              <w:rPr>
                <w:sz w:val="18"/>
              </w:rPr>
              <w:t>20 Investment and project initiation</w:t>
            </w:r>
          </w:p>
        </w:tc>
      </w:tr>
      <w:tr>
        <w:tc>
          <w:tcPr>
            <w:tcW w:type="dxa" w:w="1440"/>
            <w:vAlign w:val="center"/>
            <w:tcMar>
              <w:top w:w="100" w:type="dxa"/>
              <w:start w:w="120" w:type="dxa"/>
              <w:bottom w:w="100" w:type="dxa"/>
              <w:end w:w="120" w:type="dxa"/>
            </w:tcMar>
            <w:shd w:fill="EAF2F8"/>
          </w:tcPr>
          <w:p>
            <w:pPr>
              <w:spacing w:after="40" w:before="40"/>
            </w:pPr>
            <w:r>
              <w:rPr>
                <w:sz w:val="18"/>
              </w:rPr>
              <w:t>06 to 07</w:t>
            </w:r>
          </w:p>
        </w:tc>
        <w:tc>
          <w:tcPr>
            <w:tcW w:type="dxa" w:w="4032"/>
            <w:vAlign w:val="center"/>
            <w:tcMar>
              <w:top w:w="100" w:type="dxa"/>
              <w:start w:w="120" w:type="dxa"/>
              <w:bottom w:w="100" w:type="dxa"/>
              <w:end w:w="120" w:type="dxa"/>
            </w:tcMar>
            <w:shd w:fill="EAF2F8"/>
          </w:tcPr>
          <w:p>
            <w:pPr>
              <w:spacing w:after="40" w:before="40"/>
            </w:pPr>
            <w:r>
              <w:rPr>
                <w:sz w:val="18"/>
              </w:rPr>
              <w:t>Context Discovery and Solution Definition</w:t>
            </w:r>
          </w:p>
        </w:tc>
        <w:tc>
          <w:tcPr>
            <w:tcW w:type="dxa" w:w="4608"/>
            <w:vAlign w:val="center"/>
            <w:tcMar>
              <w:top w:w="100" w:type="dxa"/>
              <w:start w:w="120" w:type="dxa"/>
              <w:bottom w:w="100" w:type="dxa"/>
              <w:end w:w="120" w:type="dxa"/>
            </w:tcMar>
            <w:shd w:fill="EAF2F8"/>
          </w:tcPr>
          <w:p>
            <w:pPr>
              <w:spacing w:after="40" w:before="40"/>
            </w:pPr>
            <w:r>
              <w:rPr>
                <w:sz w:val="18"/>
              </w:rPr>
              <w:t>30 Discovery and solution definition</w:t>
            </w:r>
          </w:p>
        </w:tc>
      </w:tr>
      <w:tr>
        <w:tc>
          <w:tcPr>
            <w:tcW w:type="dxa" w:w="1440"/>
            <w:vAlign w:val="center"/>
            <w:tcMar>
              <w:top w:w="100" w:type="dxa"/>
              <w:start w:w="120" w:type="dxa"/>
              <w:bottom w:w="100" w:type="dxa"/>
              <w:end w:w="120" w:type="dxa"/>
            </w:tcMar>
          </w:tcPr>
          <w:p>
            <w:pPr>
              <w:spacing w:after="40" w:before="40"/>
            </w:pPr>
            <w:r>
              <w:rPr>
                <w:sz w:val="18"/>
              </w:rPr>
              <w:t>09 to 10</w:t>
            </w:r>
          </w:p>
        </w:tc>
        <w:tc>
          <w:tcPr>
            <w:tcW w:type="dxa" w:w="4032"/>
            <w:vAlign w:val="center"/>
            <w:tcMar>
              <w:top w:w="100" w:type="dxa"/>
              <w:start w:w="120" w:type="dxa"/>
              <w:bottom w:w="100" w:type="dxa"/>
              <w:end w:w="120" w:type="dxa"/>
            </w:tcMar>
          </w:tcPr>
          <w:p>
            <w:pPr>
              <w:spacing w:after="40" w:before="40"/>
            </w:pPr>
            <w:r>
              <w:rPr>
                <w:sz w:val="18"/>
              </w:rPr>
              <w:t>Procurement Preparation and Vendor Selection</w:t>
            </w:r>
          </w:p>
        </w:tc>
        <w:tc>
          <w:tcPr>
            <w:tcW w:type="dxa" w:w="4608"/>
            <w:vAlign w:val="center"/>
            <w:tcMar>
              <w:top w:w="100" w:type="dxa"/>
              <w:start w:w="120" w:type="dxa"/>
              <w:bottom w:w="100" w:type="dxa"/>
              <w:end w:w="120" w:type="dxa"/>
            </w:tcMar>
          </w:tcPr>
          <w:p>
            <w:pPr>
              <w:spacing w:after="40" w:before="40"/>
            </w:pPr>
            <w:r>
              <w:rPr>
                <w:sz w:val="18"/>
              </w:rPr>
              <w:t>40 Procurement and selection</w:t>
            </w:r>
          </w:p>
        </w:tc>
      </w:tr>
      <w:tr>
        <w:tc>
          <w:tcPr>
            <w:tcW w:type="dxa" w:w="1440"/>
            <w:vAlign w:val="center"/>
            <w:tcMar>
              <w:top w:w="100" w:type="dxa"/>
              <w:start w:w="120" w:type="dxa"/>
              <w:bottom w:w="100" w:type="dxa"/>
              <w:end w:w="120" w:type="dxa"/>
            </w:tcMar>
            <w:shd w:fill="EAF2F8"/>
          </w:tcPr>
          <w:p>
            <w:pPr>
              <w:spacing w:after="40" w:before="40"/>
            </w:pPr>
            <w:r>
              <w:rPr>
                <w:sz w:val="18"/>
              </w:rPr>
              <w:t>08</w:t>
            </w:r>
          </w:p>
        </w:tc>
        <w:tc>
          <w:tcPr>
            <w:tcW w:type="dxa" w:w="4032"/>
            <w:vAlign w:val="center"/>
            <w:tcMar>
              <w:top w:w="100" w:type="dxa"/>
              <w:start w:w="120" w:type="dxa"/>
              <w:bottom w:w="100" w:type="dxa"/>
              <w:end w:w="120" w:type="dxa"/>
            </w:tcMar>
            <w:shd w:fill="EAF2F8"/>
          </w:tcPr>
          <w:p>
            <w:pPr>
              <w:spacing w:after="40" w:before="40"/>
            </w:pPr>
            <w:r>
              <w:rPr>
                <w:sz w:val="18"/>
              </w:rPr>
              <w:t>Solution Design Response</w:t>
            </w:r>
          </w:p>
        </w:tc>
        <w:tc>
          <w:tcPr>
            <w:tcW w:type="dxa" w:w="4608"/>
            <w:vAlign w:val="center"/>
            <w:tcMar>
              <w:top w:w="100" w:type="dxa"/>
              <w:start w:w="120" w:type="dxa"/>
              <w:bottom w:w="100" w:type="dxa"/>
              <w:end w:w="120" w:type="dxa"/>
            </w:tcMar>
            <w:shd w:fill="EAF2F8"/>
          </w:tcPr>
          <w:p>
            <w:pPr>
              <w:spacing w:after="40" w:before="40"/>
            </w:pPr>
            <w:r>
              <w:rPr>
                <w:sz w:val="18"/>
              </w:rPr>
              <w:t>50 Solution design</w:t>
            </w:r>
          </w:p>
        </w:tc>
      </w:tr>
      <w:tr>
        <w:tc>
          <w:tcPr>
            <w:tcW w:type="dxa" w:w="1440"/>
            <w:vAlign w:val="center"/>
            <w:tcMar>
              <w:top w:w="100" w:type="dxa"/>
              <w:start w:w="120" w:type="dxa"/>
              <w:bottom w:w="100" w:type="dxa"/>
              <w:end w:w="120" w:type="dxa"/>
            </w:tcMar>
          </w:tcPr>
          <w:p>
            <w:pPr>
              <w:spacing w:after="40" w:before="40"/>
            </w:pPr>
            <w:r>
              <w:rPr>
                <w:sz w:val="18"/>
              </w:rPr>
              <w:t>11 to 13</w:t>
            </w:r>
          </w:p>
        </w:tc>
        <w:tc>
          <w:tcPr>
            <w:tcW w:type="dxa" w:w="4032"/>
            <w:vAlign w:val="center"/>
            <w:tcMar>
              <w:top w:w="100" w:type="dxa"/>
              <w:start w:w="120" w:type="dxa"/>
              <w:bottom w:w="100" w:type="dxa"/>
              <w:end w:w="120" w:type="dxa"/>
            </w:tcMar>
          </w:tcPr>
          <w:p>
            <w:pPr>
              <w:spacing w:after="40" w:before="40"/>
            </w:pPr>
            <w:r>
              <w:rPr>
                <w:sz w:val="18"/>
              </w:rPr>
              <w:t>Delivery Preparation through Service Implementation</w:t>
            </w:r>
          </w:p>
        </w:tc>
        <w:tc>
          <w:tcPr>
            <w:tcW w:type="dxa" w:w="4608"/>
            <w:vAlign w:val="center"/>
            <w:tcMar>
              <w:top w:w="100" w:type="dxa"/>
              <w:start w:w="120" w:type="dxa"/>
              <w:bottom w:w="100" w:type="dxa"/>
              <w:end w:w="120" w:type="dxa"/>
            </w:tcMar>
          </w:tcPr>
          <w:p>
            <w:pPr>
              <w:spacing w:after="40" w:before="40"/>
            </w:pPr>
            <w:r>
              <w:rPr>
                <w:sz w:val="18"/>
              </w:rPr>
              <w:t>60 Delivery and implementation</w:t>
            </w:r>
          </w:p>
        </w:tc>
      </w:tr>
      <w:tr>
        <w:tc>
          <w:tcPr>
            <w:tcW w:type="dxa" w:w="1440"/>
            <w:vAlign w:val="center"/>
            <w:tcMar>
              <w:top w:w="100" w:type="dxa"/>
              <w:start w:w="120" w:type="dxa"/>
              <w:bottom w:w="100" w:type="dxa"/>
              <w:end w:w="120" w:type="dxa"/>
            </w:tcMar>
            <w:shd w:fill="EAF2F8"/>
          </w:tcPr>
          <w:p>
            <w:pPr>
              <w:spacing w:after="40" w:before="40"/>
            </w:pPr>
            <w:r>
              <w:rPr>
                <w:sz w:val="18"/>
              </w:rPr>
              <w:t>14 and transition activities</w:t>
            </w:r>
          </w:p>
        </w:tc>
        <w:tc>
          <w:tcPr>
            <w:tcW w:type="dxa" w:w="4032"/>
            <w:vAlign w:val="center"/>
            <w:tcMar>
              <w:top w:w="100" w:type="dxa"/>
              <w:start w:w="120" w:type="dxa"/>
              <w:bottom w:w="100" w:type="dxa"/>
              <w:end w:w="120" w:type="dxa"/>
            </w:tcMar>
            <w:shd w:fill="EAF2F8"/>
          </w:tcPr>
          <w:p>
            <w:pPr>
              <w:spacing w:after="40" w:before="40"/>
            </w:pPr>
            <w:r>
              <w:rPr>
                <w:sz w:val="18"/>
              </w:rPr>
              <w:t>Operational Readiness and Transition</w:t>
            </w:r>
          </w:p>
        </w:tc>
        <w:tc>
          <w:tcPr>
            <w:tcW w:type="dxa" w:w="4608"/>
            <w:vAlign w:val="center"/>
            <w:tcMar>
              <w:top w:w="100" w:type="dxa"/>
              <w:start w:w="120" w:type="dxa"/>
              <w:bottom w:w="100" w:type="dxa"/>
              <w:end w:w="120" w:type="dxa"/>
            </w:tcMar>
            <w:shd w:fill="EAF2F8"/>
          </w:tcPr>
          <w:p>
            <w:pPr>
              <w:spacing w:after="40" w:before="40"/>
            </w:pPr>
            <w:r>
              <w:rPr>
                <w:sz w:val="18"/>
              </w:rPr>
              <w:t>70 Operational readiness and transition</w:t>
            </w:r>
          </w:p>
        </w:tc>
      </w:tr>
      <w:tr>
        <w:tc>
          <w:tcPr>
            <w:tcW w:type="dxa" w:w="1440"/>
            <w:vAlign w:val="center"/>
            <w:tcMar>
              <w:top w:w="100" w:type="dxa"/>
              <w:start w:w="120" w:type="dxa"/>
              <w:bottom w:w="100" w:type="dxa"/>
              <w:end w:w="120" w:type="dxa"/>
            </w:tcMar>
          </w:tcPr>
          <w:p>
            <w:pPr>
              <w:spacing w:after="40" w:before="40"/>
            </w:pPr>
            <w:r>
              <w:rPr>
                <w:sz w:val="18"/>
              </w:rPr>
              <w:t>15 and improvement activities</w:t>
            </w:r>
          </w:p>
        </w:tc>
        <w:tc>
          <w:tcPr>
            <w:tcW w:type="dxa" w:w="4032"/>
            <w:vAlign w:val="center"/>
            <w:tcMar>
              <w:top w:w="100" w:type="dxa"/>
              <w:start w:w="120" w:type="dxa"/>
              <w:bottom w:w="100" w:type="dxa"/>
              <w:end w:w="120" w:type="dxa"/>
            </w:tcMar>
          </w:tcPr>
          <w:p>
            <w:pPr>
              <w:spacing w:after="40" w:before="40"/>
            </w:pPr>
            <w:r>
              <w:rPr>
                <w:sz w:val="18"/>
              </w:rPr>
              <w:t>Operational Service Management</w:t>
            </w:r>
          </w:p>
        </w:tc>
        <w:tc>
          <w:tcPr>
            <w:tcW w:type="dxa" w:w="4608"/>
            <w:vAlign w:val="center"/>
            <w:tcMar>
              <w:top w:w="100" w:type="dxa"/>
              <w:start w:w="120" w:type="dxa"/>
              <w:bottom w:w="100" w:type="dxa"/>
              <w:end w:w="120" w:type="dxa"/>
            </w:tcMar>
          </w:tcPr>
          <w:p>
            <w:pPr>
              <w:spacing w:after="40" w:before="40"/>
            </w:pPr>
            <w:r>
              <w:rPr>
                <w:sz w:val="18"/>
              </w:rPr>
              <w:t>80 Operation and improvement</w:t>
            </w:r>
          </w:p>
        </w:tc>
      </w:tr>
      <w:tr>
        <w:tc>
          <w:tcPr>
            <w:tcW w:type="dxa" w:w="1440"/>
            <w:vAlign w:val="center"/>
            <w:tcMar>
              <w:top w:w="100" w:type="dxa"/>
              <w:start w:w="120" w:type="dxa"/>
              <w:bottom w:w="100" w:type="dxa"/>
              <w:end w:w="120" w:type="dxa"/>
            </w:tcMar>
            <w:shd w:fill="EAF2F8"/>
          </w:tcPr>
          <w:p>
            <w:pPr>
              <w:spacing w:after="40" w:before="40"/>
            </w:pPr>
            <w:r>
              <w:rPr>
                <w:sz w:val="18"/>
              </w:rPr>
              <w:t>17</w:t>
            </w:r>
          </w:p>
        </w:tc>
        <w:tc>
          <w:tcPr>
            <w:tcW w:type="dxa" w:w="4032"/>
            <w:vAlign w:val="center"/>
            <w:tcMar>
              <w:top w:w="100" w:type="dxa"/>
              <w:start w:w="120" w:type="dxa"/>
              <w:bottom w:w="100" w:type="dxa"/>
              <w:end w:w="120" w:type="dxa"/>
            </w:tcMar>
            <w:shd w:fill="EAF2F8"/>
          </w:tcPr>
          <w:p>
            <w:pPr>
              <w:spacing w:after="40" w:before="40"/>
            </w:pPr>
            <w:r>
              <w:rPr>
                <w:sz w:val="18"/>
              </w:rPr>
              <w:t>Closure and Exit</w:t>
            </w:r>
          </w:p>
        </w:tc>
        <w:tc>
          <w:tcPr>
            <w:tcW w:type="dxa" w:w="4608"/>
            <w:vAlign w:val="center"/>
            <w:tcMar>
              <w:top w:w="100" w:type="dxa"/>
              <w:start w:w="120" w:type="dxa"/>
              <w:bottom w:w="100" w:type="dxa"/>
              <w:end w:w="120" w:type="dxa"/>
            </w:tcMar>
            <w:shd w:fill="EAF2F8"/>
          </w:tcPr>
          <w:p>
            <w:pPr>
              <w:spacing w:after="40" w:before="40"/>
            </w:pPr>
            <w:r>
              <w:rPr>
                <w:sz w:val="18"/>
              </w:rPr>
              <w:t>90 Retirement and closure</w:t>
            </w:r>
          </w:p>
        </w:tc>
      </w:tr>
    </w:tbl>
    <w:p/>
    <w:p>
      <w:r>
        <w:t>This proposal changes SELF from a mostly consecutive list into recognisable lifecycle bands. The conceptual coverage is retained, but numbering is reserved between groups so that substantial future subjects can be inserted without changing every later identifier.</w:t>
      </w:r>
    </w:p>
    <w:p>
      <w:pPr>
        <w:pStyle w:val="Heading1"/>
      </w:pPr>
      <w:r>
        <w:t>Points requiring agreement</w:t>
      </w:r>
    </w:p>
    <w:p>
      <w:pPr>
        <w:pStyle w:val="ListBullet"/>
      </w:pPr>
      <w:r>
        <w:t>Whether square brackets should be mandatory or optional in physical names.</w:t>
      </w:r>
    </w:p>
    <w:p>
      <w:pPr>
        <w:pStyle w:val="ListBullet"/>
      </w:pPr>
      <w:r>
        <w:t>Whether 50.50 should combine security, privacy and assurance or split them into separate subjects.</w:t>
      </w:r>
    </w:p>
    <w:p>
      <w:pPr>
        <w:pStyle w:val="ListBullet"/>
      </w:pPr>
      <w:r>
        <w:t>Whether architecture direction belongs wholly within Solution Design or also needs a cross-cutting home under 00.</w:t>
      </w:r>
    </w:p>
    <w:p>
      <w:pPr>
        <w:pStyle w:val="ListBullet"/>
      </w:pPr>
      <w:r>
        <w:t>Whether templates and general references should live with their subject or in a separately indexed reference area.</w:t>
      </w:r>
    </w:p>
    <w:p>
      <w:pPr>
        <w:pStyle w:val="ListBullet"/>
      </w:pPr>
      <w:r>
        <w:t>Whether generated images should be committed when their editable source is present.</w:t>
      </w:r>
    </w:p>
    <w:p>
      <w:pPr>
        <w:pStyle w:val="ListBullet"/>
      </w:pPr>
      <w:r>
        <w:t>Which existing files are authoritative when duplicate or variant documents are encountered during migration.</w:t>
      </w:r>
    </w:p>
    <w:p>
      <w:pPr>
        <w:pStyle w:val="Heading1"/>
      </w:pPr>
      <w:r>
        <w:t>Migration constraint</w:t>
      </w:r>
    </w:p>
    <w:p>
      <w:r>
        <w:t>No existing repository material should be moved solely on the basis of this draft. First approve the lifecycle groups, subject order, identifier syntax, and media convention. Then prepare a mapping from every current path to its proposed destination, identify duplicates and ambiguous cases, and review that mapping before copying material into TARGET.</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Proposed SELF Repository Order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SELF Repository Order</dc:title>
  <dc:subject>Proposed lifecycle numbering and repository organisation</dc:subject>
  <dc:creator>python-docx</dc:creator>
  <cp:keywords>SELF, repository, lifecycle, numbering, document organisation</cp:keywords>
  <dc:description>generated by python-docx</dc:description>
  <cp:lastModifiedBy/>
  <cp:revision>1</cp:revision>
  <dcterms:created xsi:type="dcterms:W3CDTF">2013-12-23T23:15:00Z</dcterms:created>
  <dcterms:modified xsi:type="dcterms:W3CDTF">2013-12-23T23:15:00Z</dcterms:modified>
  <cp:category/>
</cp:coreProperties>
</file>