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erpretive-summary"/>
    <w:p>
      <w:pPr>
        <w:pStyle w:val="Heading1"/>
      </w:pPr>
      <w:r>
        <w:t xml:space="preserve">Interpretive Summary</w:t>
      </w:r>
    </w:p>
    <w:p>
      <w:pPr>
        <w:pStyle w:val="FirstParagraph"/>
      </w:pPr>
      <w:r>
        <w:t xml:space="preserve">Dairy cows differ in how they feed, drink and compete even when housed in the same environment, but these individual differences are usually lost in group averages. Using data from electronic feed and water bins from 107 cows over 207 days, we extracted 16 behavioral traits and identified which ones reliably distinguished individual cows from each other. Four distinct cow types emerged:</w:t>
      </w:r>
      <w:r>
        <w:t xml:space="preserve"> </w:t>
      </w:r>
      <w:r>
        <w:t xml:space="preserve">“frequently replaced”</w:t>
      </w:r>
      <w:r>
        <w:t xml:space="preserve"> </w:t>
      </w:r>
      <w:r>
        <w:t xml:space="preserve">cows,</w:t>
      </w:r>
      <w:r>
        <w:t xml:space="preserve"> </w:t>
      </w:r>
      <w:r>
        <w:t xml:space="preserve">“frequent drinker visitors”</w:t>
      </w:r>
      <w:r>
        <w:t xml:space="preserve">,</w:t>
      </w:r>
      <w:r>
        <w:t xml:space="preserve"> </w:t>
      </w:r>
      <w:r>
        <w:t xml:space="preserve">“fragmented feeders”</w:t>
      </w:r>
      <w:r>
        <w:t xml:space="preserve"> </w:t>
      </w:r>
      <w:r>
        <w:t xml:space="preserve">and</w:t>
      </w:r>
      <w:r>
        <w:t xml:space="preserve"> </w:t>
      </w:r>
      <w:r>
        <w:t xml:space="preserve">“contest-winning”</w:t>
      </w:r>
      <w:r>
        <w:t xml:space="preserve"> </w:t>
      </w:r>
      <w:r>
        <w:t xml:space="preserve">cows. We provide an open-source tool, moo4feed, to extract these behavioral traits from data many farms already collect, supporting individualized behavior monitoring.</w:t>
      </w:r>
    </w:p>
    <w:bookmarkEnd w:id="20"/>
    <w:bookmarkStart w:id="22" w:name="abstract"/>
    <w:p>
      <w:pPr>
        <w:pStyle w:val="Heading1"/>
      </w:pPr>
      <w:r>
        <w:t xml:space="preserve">Abstract</w:t>
      </w:r>
    </w:p>
    <w:p>
      <w:pPr>
        <w:pStyle w:val="FirstParagraph"/>
      </w:pPr>
      <w:r>
        <w:t xml:space="preserve">Individual animals can differ considerably in how they feed, drink, and compete for resources, yet much data analysis still relies on group-level comparisons that obscure these individual differences. Electronic feeding and drinking systems make it possible to characterize individual behavioral profiles within groups. Using 107 lactating Holstein dairy cows tracked over 207 days, we extracted 16 behavioral variables from electronic feed bin and water bin data, capturing conventional metrics (feeding and drinking intake, duration and meal frequency) alongside measures of non-nutritive visits, social competition (replacement events), and indicators of feed quality (e.g., proportion of fresh feed remaining upon arrival). Bayesian mixed-effects models quantified repeatability (between-individual variation in average behavioral expression) and predictability (between-individual variation in within-individual consistency). Variables capturing non-nutritive visits, social competition, and drinking duration showed the greatest and most consistent among-individual variation, while daily feed intake was among the least discriminating, suggesting individuals converge to similar intakes through different strategies. To identify behavioral profiles, we applied principal component analysis with varimax rotation to the eight most repeatable and individually variable behavioral measures, then used k-means clustering on the same variables. This yielded four distinct profiles:</w:t>
      </w:r>
      <w:r>
        <w:t xml:space="preserve"> </w:t>
      </w:r>
      <w:r>
        <w:t xml:space="preserve">“frequently replaced”</w:t>
      </w:r>
      <w:r>
        <w:t xml:space="preserve"> </w:t>
      </w:r>
      <w:r>
        <w:t xml:space="preserve">cows (the majority of the herd,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“frequent drinker visitors”</w:t>
      </w:r>
      <w:r>
        <w:t xml:space="preserve"> </w:t>
      </w:r>
      <w:r>
        <w:t xml:space="preserve">(many long drinking visits spread across the day), and</w:t>
      </w:r>
      <w:r>
        <w:t xml:space="preserve"> </w:t>
      </w:r>
      <w:r>
        <w:t xml:space="preserve">“fragmented feeders”</w:t>
      </w:r>
      <w:r>
        <w:t xml:space="preserve"> </w:t>
      </w:r>
      <w:r>
        <w:t xml:space="preserve">(many short, interrupted visits with frequent replacement events). These results illustrate how data streams from electronic feeders and drinkers can be used to build individual behavioral profiles that would not be apparent using generic group-level analyses. This framework may help researchers identify cows most susceptible to negative impacts when housed in competitive environments. To facilitate access across species and systems we developed moo4feed (</w:t>
      </w:r>
      <w:hyperlink r:id="rId21">
        <w:r>
          <w:rPr>
            <w:rStyle w:val="Hyperlink"/>
          </w:rPr>
          <w:t xml:space="preserve">https://www.skysheng.io/moo4feed/</w:t>
        </w:r>
      </w:hyperlink>
      <w:r>
        <w:t xml:space="preserve">), an open-source R package designed to extract individual behavioral variables from electronic feeder and drinker data.</w:t>
      </w:r>
    </w:p>
    <w:p>
      <w:pPr>
        <w:pStyle w:val="BodyText"/>
      </w:pPr>
      <w:r>
        <w:rPr>
          <w:b/>
          <w:bCs/>
        </w:rPr>
        <w:t xml:space="preserve">Keywords:</w:t>
      </w:r>
      <w:r>
        <w:t xml:space="preserve"> </w:t>
      </w:r>
      <w:r>
        <w:t xml:space="preserve">repeatability, reproducibility, precision livestock farming, behavioral monitoring, animal personality</w:t>
      </w:r>
    </w:p>
    <w:p>
      <w:pPr>
        <w:pStyle w:val="BodyText"/>
      </w:pPr>
      <w:r>
        <w:rPr>
          <w:b/>
          <w:bCs/>
        </w:rPr>
        <w:t xml:space="preserve">Abbreviations:</w:t>
      </w:r>
      <w:r>
        <w:t xml:space="preserve"> </w:t>
      </w:r>
      <w:r>
        <w:t xml:space="preserve">CrI = credible interval; CVi = coefficient of individual variation; CVP = coefficient of variation of predictability; DBSCAN = density-based spatial clustering of applications with noise; DHGLM = double hierarchical generalized linear model; ESS = effective sample size; GMM = Gaussian mixture model; KNN = k-nearest neighbor; MCMC = Markov chain Monte Carlo; PCA = principal component analysis; R = repeatability; RC = rotated component; RIC = Roughage Intake Control; rIIV = residual intra-individual variability</w:t>
      </w:r>
    </w:p>
    <w:bookmarkEnd w:id="22"/>
    <w:bookmarkStart w:id="23" w:name="introduction"/>
    <w:p>
      <w:pPr>
        <w:pStyle w:val="Heading1"/>
      </w:pPr>
      <w:r>
        <w:t xml:space="preserve">1. Introduction</w:t>
      </w:r>
    </w:p>
    <w:p>
      <w:pPr>
        <w:pStyle w:val="FirstParagraph"/>
      </w:pPr>
      <w:r>
        <w:t xml:space="preserve">Animals differ from one another in their behavioral expression</w:t>
      </w:r>
      <w:r>
        <w:t xml:space="preserve"> </w:t>
      </w:r>
      <w:r>
        <w:t xml:space="preserve">(</w:t>
      </w:r>
      <w:hyperlink w:anchor="ref-Slater1981">
        <w:r>
          <w:rPr>
            <w:rStyle w:val="Hyperlink"/>
          </w:rPr>
          <w:t xml:space="preserve">Slater, 1981</w:t>
        </w:r>
      </w:hyperlink>
      <w:r>
        <w:t xml:space="preserve">)</w:t>
      </w:r>
      <w:r>
        <w:t xml:space="preserve">, an idea that has increasingly shaped research on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and within the animal welfare science literature</w:t>
      </w:r>
      <w:r>
        <w:t xml:space="preserve"> </w:t>
      </w:r>
      <w:r>
        <w:t xml:space="preserve">(</w:t>
      </w:r>
      <w:hyperlink w:anchor="ref-Richter2019">
        <w:r>
          <w:rPr>
            <w:rStyle w:val="Hyperlink"/>
          </w:rPr>
          <w:t xml:space="preserve">Richter and Hintze, 2019</w:t>
        </w:r>
      </w:hyperlink>
      <w:r>
        <w:t xml:space="preserve">)</w:t>
      </w:r>
      <w:r>
        <w:t xml:space="preserve">. The shift in focus from the group to the individual recognises that the same environment can affect animals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Ultimately, animal welfare concerns individual animals, because it is the individual, not the herd, that can suffer or experience positive affective state</w:t>
      </w:r>
      <w:r>
        <w:t xml:space="preserve"> </w:t>
      </w:r>
      <w:r>
        <w:t xml:space="preserve">(</w:t>
      </w:r>
      <w:hyperlink w:anchor="ref-Winckler2019">
        <w:r>
          <w:rPr>
            <w:rStyle w:val="Hyperlink"/>
          </w:rPr>
          <w:t xml:space="preserve">Winckler, 2019</w:t>
        </w:r>
      </w:hyperlink>
      <w:r>
        <w:t xml:space="preserve">)</w:t>
      </w:r>
      <w:r>
        <w:t xml:space="preserve">.</w:t>
      </w:r>
    </w:p>
    <w:p>
      <w:pPr>
        <w:pStyle w:val="BodyText"/>
      </w:pPr>
      <w:r>
        <w:t xml:space="preserve">In most dairy production systems in Canada, lactating cows are housed intensively, where they are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Farms generally aim to maximize milk yield through precision feeding and optimal dry matter intake (DMI), but for group-housed cows, DMI also depends heavily on how individual cows behave at the feeder, which itself is shaped by the environment, management, health, and social dynamics within the group</w:t>
      </w:r>
      <w:r>
        <w:t xml:space="preserve"> </w:t>
      </w:r>
      <w:r>
        <w:t xml:space="preserve">(</w:t>
      </w:r>
      <w:hyperlink w:anchor="ref-grant1995feeding">
        <w:r>
          <w:rPr>
            <w:rStyle w:val="Hyperlink"/>
          </w:rPr>
          <w:t xml:space="preserve">Grant and Albright, 1995</w:t>
        </w:r>
      </w:hyperlink>
      <w:r>
        <w:t xml:space="preserve">)</w:t>
      </w:r>
      <w:r>
        <w:t xml:space="preserve">. Practices common to intensive systems, like overstocking and regrouping, tend to raise competition levels, and how often cows displace one another at the feed bunk</w:t>
      </w:r>
      <w:r>
        <w:t xml:space="preserve"> </w:t>
      </w:r>
      <w:r>
        <w:t xml:space="preserve">(</w:t>
      </w:r>
      <w:hyperlink w:anchor="ref-Huzzey2006">
        <w:r>
          <w:rPr>
            <w:rStyle w:val="Hyperlink"/>
          </w:rPr>
          <w:t xml:space="preserve">Huzzey et al., 2006</w:t>
        </w:r>
      </w:hyperlink>
      <w:r>
        <w:t xml:space="preserve">;</w:t>
      </w:r>
      <w:r>
        <w:t xml:space="preserve"> </w:t>
      </w:r>
      <w:hyperlink w:anchor="ref-von2008acute">
        <w:r>
          <w:rPr>
            <w:rStyle w:val="Hyperlink"/>
          </w:rPr>
          <w:t xml:space="preserve">von Keyserlingk et al., 2008</w:t>
        </w:r>
      </w:hyperlink>
      <w:r>
        <w:t xml:space="preserve">)</w:t>
      </w:r>
      <w:r>
        <w:t xml:space="preserve">, which in turn changes how much, when, and where individual cows are able to eat</w:t>
      </w:r>
      <w:r>
        <w:t xml:space="preserve"> </w:t>
      </w:r>
      <w:r>
        <w:t xml:space="preserve">(</w:t>
      </w:r>
      <w:hyperlink w:anchor="ref-Crossley2017">
        <w:r>
          <w:rPr>
            <w:rStyle w:val="Hyperlink"/>
          </w:rPr>
          <w:t xml:space="preserve">Crossley et al., 2017</w:t>
        </w:r>
      </w:hyperlink>
      <w:r>
        <w:t xml:space="preserve">)</w:t>
      </w:r>
      <w:r>
        <w:t xml:space="preserve">. Feeding behavior varies among different individuals</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and animals develop distinct strategies for coping with these social and environmental pressures</w:t>
      </w:r>
      <w:r>
        <w:t xml:space="preserve"> </w:t>
      </w:r>
      <w:r>
        <w:t xml:space="preserve">(</w:t>
      </w:r>
      <w:hyperlink w:anchor="ref-Foris2021">
        <w:r>
          <w:rPr>
            <w:rStyle w:val="Hyperlink"/>
          </w:rPr>
          <w:t xml:space="preserve">Foris et al., 2021</w:t>
        </w:r>
      </w:hyperlink>
      <w:r>
        <w:t xml:space="preserve">)</w:t>
      </w:r>
      <w:r>
        <w:t xml:space="preserve">. Some consistently displace others to reach fresh feed, some are repeatedly displaced and feed at quieter times</w:t>
      </w:r>
      <w:r>
        <w:t xml:space="preserve"> </w:t>
      </w:r>
      <w:r>
        <w:t xml:space="preserve">(</w:t>
      </w:r>
      <w:hyperlink w:anchor="ref-Foris2021">
        <w:r>
          <w:rPr>
            <w:rStyle w:val="Hyperlink"/>
          </w:rPr>
          <w:t xml:space="preserve">Foris et al., 2021</w:t>
        </w:r>
      </w:hyperlink>
      <w:r>
        <w:t xml:space="preserve">)</w:t>
      </w:r>
      <w:r>
        <w:t xml:space="preserve">. These behavioral strategies, rather than feed intake alone, may offer a better way of distinguishing individuals within a group.</w:t>
      </w:r>
    </w:p>
    <w:p>
      <w:pPr>
        <w:pStyle w:val="BodyText"/>
      </w:pPr>
      <w:r>
        <w:t xml:space="preserve">Monitoring behaviours at individual level, and turning that into meaningful behavioral profiles, has historically been difficult. Replacement behavior at the feed bunk, for instance, has typically been captured through live observation or video coding</w:t>
      </w:r>
      <w:r>
        <w:t xml:space="preserve"> </w:t>
      </w:r>
      <w:r>
        <w:t xml:space="preserve">(</w:t>
      </w:r>
      <w:hyperlink w:anchor="ref-phillips2001effects">
        <w:r>
          <w:rPr>
            <w:rStyle w:val="Hyperlink"/>
          </w:rPr>
          <w:t xml:space="preserve">Phillips and Rind, 2001</w:t>
        </w:r>
      </w:hyperlink>
      <w:r>
        <w:t xml:space="preserve">;</w:t>
      </w:r>
      <w:r>
        <w:t xml:space="preserve"> </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w:t>
      </w:r>
      <w:r>
        <w:t xml:space="preserve">, which is labour-intensive and requires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Traditional personality and behavioural assessment has often relied on tests that isolate animals to probe their choices and motivations</w:t>
      </w:r>
      <w:r>
        <w:t xml:space="preserve"> </w:t>
      </w:r>
      <w:r>
        <w:t xml:space="preserve">(</w:t>
      </w:r>
      <w:hyperlink w:anchor="ref-dawkins2021">
        <w:r>
          <w:rPr>
            <w:rStyle w:val="Hyperlink"/>
          </w:rPr>
          <w:t xml:space="preserve">Dawkins, 2021</w:t>
        </w:r>
      </w:hyperlink>
      <w:r>
        <w:t xml:space="preserve">)</w:t>
      </w:r>
      <w:r>
        <w:t xml:space="preserve">, even though how an animal behaves alone can look quite different from how they behave within a social group</w:t>
      </w:r>
      <w:r>
        <w:t xml:space="preserve"> </w:t>
      </w:r>
      <w:r>
        <w:t xml:space="preserve">(see reviews by</w:t>
      </w:r>
      <w:r>
        <w:t xml:space="preserve"> </w:t>
      </w:r>
      <w:hyperlink w:anchor="ref-webster2011personality">
        <w:r>
          <w:rPr>
            <w:rStyle w:val="Hyperlink"/>
          </w:rPr>
          <w:t xml:space="preserve">Webster and Ward, 2011</w:t>
        </w:r>
      </w:hyperlink>
      <w:r>
        <w:t xml:space="preserve">;</w:t>
      </w:r>
      <w:r>
        <w:t xml:space="preserve"> </w:t>
      </w:r>
      <w:hyperlink w:anchor="ref-biro2012">
        <w:r>
          <w:rPr>
            <w:rStyle w:val="Hyperlink"/>
          </w:rPr>
          <w:t xml:space="preserve">Biro, 2012</w:t>
        </w:r>
      </w:hyperlink>
      <w:r>
        <w:t xml:space="preserve">)</w:t>
      </w:r>
      <w:r>
        <w:t xml:space="preserve">. Sensor-derived measurements, by contrast, record behaviour continuously and automatically in the home pen, reducing both the labour and the subjectivity of human observation while monitoring animals among their group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This shift toward continuous and automated monitoring drives the development of digital phenotyping in livestock farming. Digital phenotyping refers to the process of continuously tracking observable behavioral variables in animals using data from various sensors, with the aim of assessing health and welfare at individual level</w:t>
      </w:r>
      <w:r>
        <w:t xml:space="preserve"> </w:t>
      </w:r>
      <w:r>
        <w:t xml:space="preserve">(</w:t>
      </w:r>
      <w:hyperlink w:anchor="ref-neethirajan2021digital">
        <w:r>
          <w:rPr>
            <w:rStyle w:val="Hyperlink"/>
          </w:rPr>
          <w:t xml:space="preserve">Neethirajan and Kemp, 2021</w:t>
        </w:r>
      </w:hyperlink>
      <w:r>
        <w:t xml:space="preserve">)</w:t>
      </w:r>
      <w:r>
        <w:t xml:space="preserve">. Digital phenotyping originated from human medicine, where data from mobile phones and wearable technologies has been used to profile behavior and social interactions among individuals, with the goal of monitoring mental health and flagging early signs of conditions like depression or anxiety</w:t>
      </w:r>
      <w:r>
        <w:t xml:space="preserve"> </w:t>
      </w:r>
      <w:r>
        <w:t xml:space="preserve">(</w:t>
      </w:r>
      <w:hyperlink w:anchor="ref-onnela2016harnessing">
        <w:r>
          <w:rPr>
            <w:rStyle w:val="Hyperlink"/>
          </w:rPr>
          <w:t xml:space="preserve">Onnela and Rauch, 2016</w:t>
        </w:r>
      </w:hyperlink>
      <w:r>
        <w:t xml:space="preserve">;</w:t>
      </w:r>
      <w:r>
        <w:t xml:space="preserve"> </w:t>
      </w:r>
      <w:hyperlink w:anchor="ref-de2023call">
        <w:r>
          <w:rPr>
            <w:rStyle w:val="Hyperlink"/>
          </w:rPr>
          <w:t xml:space="preserve">De Boer et al., 2023</w:t>
        </w:r>
      </w:hyperlink>
      <w:r>
        <w:t xml:space="preserve">)</w:t>
      </w:r>
      <w:r>
        <w:t xml:space="preserve">. Drawing on the success in human medicine, several scholars have argued that digital phenotyping could similarly support the assessment of natural behavioral expression, physical health, and affective state in individual animals housed in intensive systems</w:t>
      </w:r>
      <w:r>
        <w:t xml:space="preserve"> </w:t>
      </w:r>
      <w:r>
        <w:t xml:space="preserve">(</w:t>
      </w:r>
      <w:hyperlink w:anchor="ref-bresolin2020infrared">
        <w:r>
          <w:rPr>
            <w:rStyle w:val="Hyperlink"/>
          </w:rPr>
          <w:t xml:space="preserve">Bresolin and Dórea, 2020</w:t>
        </w:r>
      </w:hyperlink>
      <w:r>
        <w:t xml:space="preserve">;</w:t>
      </w:r>
      <w:r>
        <w:t xml:space="preserve"> </w:t>
      </w:r>
      <w:hyperlink w:anchor="ref-brito2020large">
        <w:r>
          <w:rPr>
            <w:rStyle w:val="Hyperlink"/>
          </w:rPr>
          <w:t xml:space="preserve">Brito et al., 2020</w:t>
        </w:r>
      </w:hyperlink>
      <w:r>
        <w:t xml:space="preserve">;</w:t>
      </w:r>
      <w:r>
        <w:t xml:space="preserve"> </w:t>
      </w:r>
      <w:hyperlink w:anchor="ref-pacheco2025invited">
        <w:r>
          <w:rPr>
            <w:rStyle w:val="Hyperlink"/>
          </w:rPr>
          <w:t xml:space="preserve">Pacheco et al., 2025</w:t>
        </w:r>
      </w:hyperlink>
      <w:r>
        <w:t xml:space="preserve">)</w:t>
      </w:r>
      <w:r>
        <w:t xml:space="preserve">.</w:t>
      </w:r>
    </w:p>
    <w:p>
      <w:pPr>
        <w:pStyle w:val="BodyText"/>
      </w:pPr>
      <w:r>
        <w:t xml:space="preserve">Data from electronic feeding systems may be well-suited to this kind of digital phenotyping and automated behavioral profiling. For example,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Canada:</w:t>
      </w:r>
      <w:r>
        <w:t xml:space="preserve"> </w:t>
      </w:r>
      <w:hyperlink w:anchor="ref-huzzey2014automatic">
        <w:r>
          <w:rPr>
            <w:rStyle w:val="Hyperlink"/>
          </w:rPr>
          <w:t xml:space="preserve">Huzzey et al., 2014</w:t>
        </w:r>
      </w:hyperlink>
      <w:r>
        <w:t xml:space="preserve">; United States:</w:t>
      </w:r>
      <w:r>
        <w:t xml:space="preserve"> </w:t>
      </w:r>
      <w:hyperlink w:anchor="ref-allwardt2017technical">
        <w:r>
          <w:rPr>
            <w:rStyle w:val="Hyperlink"/>
          </w:rPr>
          <w:t xml:space="preserve">Allwardt et al., 2017</w:t>
        </w:r>
      </w:hyperlink>
      <w:r>
        <w:t xml:space="preserve">; Germany:</w:t>
      </w:r>
      <w:r>
        <w:t xml:space="preserve"> </w:t>
      </w:r>
      <w:hyperlink w:anchor="ref-Foris2021">
        <w:r>
          <w:rPr>
            <w:rStyle w:val="Hyperlink"/>
          </w:rPr>
          <w:t xml:space="preserve">Foris et al., 2021</w:t>
        </w:r>
      </w:hyperlink>
      <w:r>
        <w:t xml:space="preserve">; New Zealand:</w:t>
      </w:r>
      <w:r>
        <w:t xml:space="preserve"> </w:t>
      </w:r>
      <w:hyperlink w:anchor="ref-biswas2022methane">
        <w:r>
          <w:rPr>
            <w:rStyle w:val="Hyperlink"/>
          </w:rPr>
          <w:t xml:space="preserve">Biswas et al., 2022</w:t>
        </w:r>
      </w:hyperlink>
      <w:r>
        <w:t xml:space="preserve">)</w:t>
      </w:r>
      <w:r>
        <w:t xml:space="preserve">. The primary purpose of these systems is to monitor feed intake, but each visit is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data,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dairy cows:</w:t>
      </w:r>
      <w:r>
        <w:t xml:space="preserve"> </w:t>
      </w:r>
      <w:hyperlink w:anchor="ref-thomas2024">
        <w:r>
          <w:rPr>
            <w:rStyle w:val="Hyperlink"/>
          </w:rPr>
          <w:t xml:space="preserve">Thomas et al., 2024</w:t>
        </w:r>
      </w:hyperlink>
      <w:r>
        <w:t xml:space="preserve">)</w:t>
      </w:r>
      <w:r>
        <w:t xml:space="preserve">. However, most of this research has prioritised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contains more information, including how feed availability along the bunk changes over time, when and where a cow chooses to eat relative to feed availability, whether she visits the feeding area without consuming feed (non-nutritive visits), and how often she switches among feed bins within a meal. These measures may capture aspects of individual feeding and social strategies that daily behavioural summaries cannot.</w:t>
      </w:r>
    </w:p>
    <w:p>
      <w:pPr>
        <w:pStyle w:val="BodyText"/>
      </w:pPr>
      <w:r>
        <w:t xml:space="preserve">To date, no comprehensive and accessible framework exists for extracting these higher-resolution behavioural variables from raw electronic feeder and drinker data. A framework that automates this extraction would allow individual animals to be characterised routinely within groups. Data cleaning approaches also differ among labs and are rarely shared in a reusable form, which limits reproducibility across studies and routine application of these measures in dairy research</w:t>
      </w:r>
      <w:r>
        <w:t xml:space="preserve"> </w:t>
      </w:r>
      <w:r>
        <w:t xml:space="preserve">(</w:t>
      </w:r>
      <w:hyperlink w:anchor="ref-wilkinson2016fair">
        <w:r>
          <w:rPr>
            <w:rStyle w:val="Hyperlink"/>
          </w:rPr>
          <w:t xml:space="preserve">Wilkinson et al., 2016</w:t>
        </w:r>
      </w:hyperlink>
      <w:r>
        <w:t xml:space="preserve">)</w:t>
      </w:r>
      <w:r>
        <w:t xml:space="preserve">.</w:t>
      </w:r>
    </w:p>
    <w:p>
      <w:pPr>
        <w:pStyle w:val="BodyText"/>
      </w:pPr>
      <w:r>
        <w:t xml:space="preserve">Our primary aim was to quantify individual-level behavioural consistency and among-individual differences in dairy cattle feeding and social behaviours captured from an electronic feeding system; we used repeatability and predictability to identify which behaviours were most informative for characterising individual differences. Our secondary aim was to identify distinct behavioural profiles based on the most consistent among-individual differences, and to demonstrate how these measures could characterise feeding and social strategies present within a herd. To facilitate broad and reproducible application of the approach for researchers with varying technical backgrounds, we developed moo4feed (</w:t>
      </w:r>
      <w:hyperlink r:id="rId21">
        <w:r>
          <w:rPr>
            <w:rStyle w:val="Hyperlink"/>
          </w:rPr>
          <w:t xml:space="preserve">https://www.skysheng.io/moo4feed/</w:t>
        </w:r>
      </w:hyperlink>
      <w:r>
        <w:t xml:space="preserve">), an easy-to-use open-source R package that processes raw electronic feeder and drinker data, and extracts both standard and higher-resolution behavioural variables.</w:t>
      </w:r>
    </w:p>
    <w:bookmarkEnd w:id="23"/>
    <w:bookmarkStart w:id="35" w:name="methods"/>
    <w:p>
      <w:pPr>
        <w:pStyle w:val="Heading1"/>
      </w:pPr>
      <w:r>
        <w:t xml:space="preserve">2. Methods</w:t>
      </w:r>
    </w:p>
    <w:bookmarkStart w:id="24" w:name="animals-housing-and-data-collection"/>
    <w:p>
      <w:pPr>
        <w:pStyle w:val="Heading2"/>
      </w:pPr>
      <w:r>
        <w:t xml:space="preserve">2.1 Animals, Housing, and Data Collection</w:t>
      </w:r>
    </w:p>
    <w:p>
      <w:pPr>
        <w:pStyle w:val="FirstParagraph"/>
      </w:pPr>
      <w:r>
        <w:t xml:space="preserve">Data were collected as part of a previous study</w:t>
      </w:r>
      <w:r>
        <w:t xml:space="preserve"> </w:t>
      </w:r>
      <w:r>
        <w:t xml:space="preserve">(</w:t>
      </w:r>
      <w:hyperlink w:anchor="ref-sheng2024redefining">
        <w:r>
          <w:rPr>
            <w:rStyle w:val="Hyperlink"/>
          </w:rPr>
          <w:t xml:space="preserve">Sheng et al., 2024</w:t>
        </w:r>
      </w:hyperlink>
      <w:r>
        <w:t xml:space="preserve">)</w:t>
      </w:r>
      <w:r>
        <w:t xml:space="preserve"> </w:t>
      </w:r>
      <w:r>
        <w:t xml:space="preserve">using 159 lactating Holstein dairy cows (12 primiparous, 147 multiparous; parity = 3.0 ± 1.1; mean ± SD)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TMR (9% alfalfa hay, 39% corn silage, 28% grass silage, 24% concentrate and mineral mix) was delivered twice daily while cows were away for milking. Ambient temperature and relative humidity were recorded at 5-min intervals within the housing pen using HOBO data loggers (Onset Computer Corporation, Bourne, MA), from which daily averages of temperature, humidity, and temperature-humidity index (THI) were derived.</w:t>
      </w:r>
    </w:p>
    <w:p>
      <w:pPr>
        <w:pStyle w:val="BodyText"/>
      </w:pPr>
      <w:r>
        <w:t xml:space="preserve">On average, every 16 ± 3 d, 6 ± 2 cows were removed from the pen and replaced with new animals (i.e., regrouping event); individual cows remained in the trial for an average of 86 ± 54 d. Farm staff performed clinical health checks following standard operating procedures adopted by the farm during daily milking routines,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w:t>
      </w:r>
    </w:p>
    <w:bookmarkEnd w:id="24"/>
    <w:bookmarkStart w:id="25" w:name="data-cleaning-and-filtering"/>
    <w:p>
      <w:pPr>
        <w:pStyle w:val="Heading2"/>
      </w:pPr>
      <w:r>
        <w:t xml:space="preserve">2.2 Data Cleaning and Filtering</w:t>
      </w:r>
    </w:p>
    <w:p>
      <w:pPr>
        <w:pStyle w:val="FirstParagraph"/>
      </w:pPr>
      <w:r>
        <w:t xml:space="preserve">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analyzed reflected the baseline patterns of cows when they were healthy, not lame and not in estrus, we applied strict data cleaning and filtering criteria that extended beyond the data cleaning procedure described in Sheng et al.</w:t>
      </w:r>
      <w:r>
        <w:t xml:space="preserve"> </w:t>
      </w:r>
      <w:r>
        <w:t xml:space="preserve">(</w:t>
      </w:r>
      <w:hyperlink w:anchor="ref-sheng2024redefining">
        <w:r>
          <w:rPr>
            <w:rStyle w:val="Hyperlink"/>
          </w:rPr>
          <w:t xml:space="preserve">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flower2006effect">
        <w:r>
          <w:rPr>
            <w:rStyle w:val="Hyperlink"/>
          </w:rPr>
          <w:t xml:space="preserve">Flower and Weary, 2006</w:t>
        </w:r>
      </w:hyperlink>
      <w:r>
        <w:t xml:space="preserve">;</w:t>
      </w:r>
      <w:r>
        <w:t xml:space="preserve"> </w:t>
      </w:r>
      <w:hyperlink w:anchor="ref-eriksson2020effects">
        <w:r>
          <w:rPr>
            <w:rStyle w:val="Hyperlink"/>
          </w:rPr>
          <w:t xml:space="preserve">Eriksson et al., 2020</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loss of ear tags, hoof trimming or other routine husbandry procedures, as these events may temporarily alter behavior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not pregnant) may influence behavior through 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can potentially disturb the behavior of all other cows in the group (55 estrus events, 2,381 cow-days)</w:t>
      </w:r>
      <w:r>
        <w:t xml:space="preserve"> </w:t>
      </w:r>
      <w:r>
        <w:t xml:space="preserve">(</w:t>
      </w:r>
      <w:hyperlink w:anchor="ref-reith2018behavioral">
        <w:r>
          <w:rPr>
            <w:rStyle w:val="Hyperlink"/>
          </w:rPr>
          <w:t xml:space="preserve">Reith and Hoy, 2018</w:t>
        </w:r>
      </w:hyperlink>
      <w:r>
        <w:t xml:space="preserve">)</w:t>
      </w:r>
      <w:r>
        <w:t xml:space="preserve">.</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was destabilized (16 events, 674 cow-days)</w:t>
      </w:r>
      <w:r>
        <w:t xml:space="preserve"> </w:t>
      </w:r>
      <w:r>
        <w:t xml:space="preserve">(</w:t>
      </w:r>
      <w:hyperlink w:anchor="ref-von2008acute">
        <w:r>
          <w:rPr>
            <w:rStyle w:val="Hyperlink"/>
          </w:rPr>
          <w:t xml:space="preserve">von Keyserlingk et al., 2008</w:t>
        </w:r>
      </w:hyperlink>
      <w:r>
        <w:t xml:space="preserve">)</w:t>
      </w:r>
      <w:r>
        <w:t xml:space="preserve">.</w:t>
      </w:r>
    </w:p>
    <w:p>
      <w:pPr>
        <w:pStyle w:val="FirstParagraph"/>
      </w:pPr>
      <w:r>
        <w:t xml:space="preserve">After filtering, 107 cows contributed data across 207 days (10-130 days of observation per cow), resulting in 6226 unique cow-days retained.</w:t>
      </w:r>
    </w:p>
    <w:bookmarkEnd w:id="25"/>
    <w:bookmarkStart w:id="27" w:name="behavioral-variable-extraction"/>
    <w:p>
      <w:pPr>
        <w:pStyle w:val="Heading2"/>
      </w:pPr>
      <w:r>
        <w:t xml:space="preserve">2.3 Behavioral Variable Extraction</w:t>
      </w:r>
    </w:p>
    <w:p>
      <w:pPr>
        <w:pStyle w:val="FirstParagraph"/>
      </w:pPr>
      <w:r>
        <w:t xml:space="preserve">To process the raw feeding and drinking data and extract behavioral variables, we developed an open-source R package,</w:t>
      </w:r>
      <w:r>
        <w:t xml:space="preserve"> </w:t>
      </w:r>
      <w:r>
        <w:t xml:space="preserve">‘moo4feed’</w:t>
      </w:r>
      <w:r>
        <w:t xml:space="preserve"> </w:t>
      </w:r>
      <w:r>
        <w:t xml:space="preserve">(</w:t>
      </w:r>
      <w:hyperlink r:id="rId21">
        <w:r>
          <w:rPr>
            <w:rStyle w:val="Hyperlink"/>
          </w:rPr>
          <w:t xml:space="preserve">https://www.skysheng.io/moo4feed/</w:t>
        </w:r>
      </w:hyperlink>
      <w:r>
        <w:t xml:space="preserve">), providing a standardized, customizable workflow for handling electronic feed and water bin data. The package supports five areas of analysis used in this study: (1) data processing, configuration, and quality control; (2) replacement behavior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Daylight saving time transitions were detected and corrected automatically. During fall-back transitions (when clocks move back one hour, causing chronological order of visits within the repeated hour to be ambiguous), we removed all visits from the duplicated hour, since it is not possible to determine the true chronological order, and adjusted subsequent timestamps accordingly. During spring-forward transitions (when clocks move forward by one hour), visit timestamps were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and thus no hard-coded numerical threshold applies. Action: Flag = abnormal record is retained and sent to researchers on the farm to review for bin health check; Correct = the record is automatically corrected; Remove = the record is deleted from the dataset. For negative weight corrections, feed or water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listed in Section 2.2). Following these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(SD)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(i) daily feed intake (kg), (ii) daily feeding duration (s), (iii) daily feeding visits, (iv) daily water intake (L), (v) daily drinking duration (s), and (vi) daily drinking visits.</w:t>
      </w:r>
    </w:p>
    <w:p>
      <w:pPr>
        <w:pStyle w:val="BodyText"/>
      </w:pPr>
      <w:r>
        <w:rPr>
          <w:b/>
          <w:bCs/>
        </w:rPr>
        <w:t xml:space="preserve">Replacement Behavior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In brief, a replacement was recorded when one cow (the actor) entered a feed bin within 26 seconds of another cow (the reactor) leaving that same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replacement behavior was summarized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were never longer than 1h). The 5 kg threshold filtered out small spurious weight increases from occasional bin malfunctions or human disturbance (e.g., due to someone leaning on a bin), and requiring at least three bins to increase concurrently to reduce false positives, since these artefacts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maximum time gap between consecutive visits within a meal (the meal criterion), and a minimum number of visits required to form a meal.</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captured two distinct populations of gaps: short within-meal pauses and longer between-meal gaps. The meal criterion was then set to the point where the two fitted distributions intersect. In this study, a single meal criterion (21.16 min)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w:t>
      </w:r>
      <w:r>
        <w:t xml:space="preserve"> </w:t>
      </w:r>
      <w:hyperlink r:id="rId26">
        <w:r>
          <w:rPr>
            <w:rStyle w:val="Hyperlink"/>
          </w:rPr>
          <w:t xml:space="preserve">https://www.skysheng.io/moo4feed/articles/meal_clustering.html</w:t>
        </w:r>
      </w:hyperlink>
      <w:r>
        <w:t xml:space="preserve">).</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replacement behavior variables (vii–viii), one non-nutritive visit variable (ix), one feed availability variable (x), and six meal-level variables (xi–xvi). These variables were selected because they capture biologically meaningful aspects of individual feeding, drinking, non-nutritive behavior and social strategies. We recognize that this set is not exhaustive as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7"/>
    <w:bookmarkStart w:id="28"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temperature-humidity index (THI) were fixed effects controlling for changes in physiological state and thermal environment, a second-degree polynomial of calendar month captured seasonal trends, and cow identity was a random intercept. Default brms priors were used. Markov Chain Monte Carlo (MCMC) sampling used 4 chains with 1,000 warmup iterations; total iterations ranged from 6,000 to 17,000 per variable to ensure convergence. 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greatly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similar amounts of feed every day, while others fluctuate their intake substantially across days. A low CVP value means that cows are similar to each other in their predictability: whether that means all cows are highly consistent, or all cows are highly variable is not known, but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behavioral profiles.</w:t>
      </w:r>
      <w:r>
        <w:t xml:space="preserve"> </w:t>
      </w:r>
      <w:r>
        <w:t xml:space="preserve">For each cow and each behavioral variable in the cluster with the highest CVi and R (i.e., Cluster 1), we extracted the individual intercept from the posterior distribution: the population intercept plus each cow’s random effect (back-transformed to the original scale for lognormal models). This provided us with a representation of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Bartlett’s test of sphericity was significant (χ² = 1079.4, p &lt; 0.001), indicating the variables were sufficiently inter-correlated, and the Kaiser-Meyer-Olkin measure was 0.53, above the 0.50 threshold for PCA</w:t>
      </w:r>
      <w:r>
        <w:t xml:space="preserve"> </w:t>
      </w:r>
      <w:r>
        <w:t xml:space="preserve">(</w:t>
      </w:r>
      <w:hyperlink w:anchor="ref-kaiser1974index">
        <w:r>
          <w:rPr>
            <w:rStyle w:val="Hyperlink"/>
          </w:rPr>
          <w:t xml:space="preserve">Kaiser, 1974</w:t>
        </w:r>
      </w:hyperlink>
      <w:r>
        <w:t xml:space="preserve">)</w:t>
      </w:r>
      <w:r>
        <w:t xml:space="preserv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the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8"/>
    <w:bookmarkStart w:id="34" w:name="workflow-and-software"/>
    <w:p>
      <w:pPr>
        <w:pStyle w:val="Heading2"/>
      </w:pPr>
      <w:r>
        <w:t xml:space="preserve">2.5 Workflow and Software</w:t>
      </w:r>
    </w:p>
    <w:p>
      <w:pPr>
        <w:pStyle w:val="FirstParagraph"/>
      </w:pPr>
      <w:r>
        <w:t xml:space="preserve">To support transparency and reproducibility, all data processing, variable extraction, and analytical steps were implemented in the moo4feed R package</w:t>
      </w:r>
      <w:r>
        <w:t xml:space="preserve"> </w:t>
      </w:r>
      <w:hyperlink r:id="rId21">
        <w:r>
          <w:rPr>
            <w:rStyle w:val="Hyperlink"/>
          </w:rPr>
          <w:t xml:space="preserve">https://www.skysheng.io/moo4feed/</w:t>
        </w:r>
      </w:hyperlink>
      <w:r>
        <w:t xml:space="preserve">. The functions implemented in this R package have been tested with 96% code coverage (code coverage report:</w:t>
      </w:r>
      <w:r>
        <w:t xml:space="preserve"> </w:t>
      </w:r>
      <w:hyperlink r:id="rId29">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30">
        <w:r>
          <w:rPr>
            <w:rStyle w:val="Hyperlink"/>
          </w:rPr>
          <w:t xml:space="preserve">https://github.com/skysheng7/moo4feed.git</w:t>
        </w:r>
      </w:hyperlink>
      <w:r>
        <w:t xml:space="preserve">. We used the newly developed R package to extract the behavioral variables described in Section 2.3 and conducted all statistical analyses described in Section 2.4. Data and code for all the data analysis are available at:</w:t>
      </w:r>
      <w:r>
        <w:t xml:space="preserve"> </w:t>
      </w:r>
      <w:hyperlink r:id="rId31">
        <w:r>
          <w:rPr>
            <w:rStyle w:val="Hyperlink"/>
          </w:rPr>
          <w:t xml:space="preserve">https://github.com/skysheng7/competition_dominance_analysis.git</w:t>
        </w:r>
      </w:hyperlink>
      <w:r>
        <w:t xml:space="preserve">. We have also used Borealis to archive the R package at:</w:t>
      </w:r>
      <w:r>
        <w:t xml:space="preserve"> </w:t>
      </w:r>
      <w:hyperlink r:id="rId32">
        <w:r>
          <w:rPr>
            <w:rStyle w:val="Hyperlink"/>
          </w:rPr>
          <w:t xml:space="preserve">https://doi.org/10.5683/SP3/LF4DRO</w:t>
        </w:r>
      </w:hyperlink>
      <w:r>
        <w:t xml:space="preserve"> </w:t>
      </w:r>
      <w:r>
        <w:t xml:space="preserve">and data analysis code at:</w:t>
      </w:r>
      <w:r>
        <w:t xml:space="preserve"> </w:t>
      </w:r>
      <w:hyperlink r:id="rId33">
        <w:r>
          <w:rPr>
            <w:rStyle w:val="Hyperlink"/>
          </w:rPr>
          <w:t xml:space="preserve">https://doi.org/10.5683/SP3/K6J350</w:t>
        </w:r>
      </w:hyperlink>
      <w:r>
        <w:t xml:space="preserve">.</w:t>
      </w:r>
    </w:p>
    <w:bookmarkEnd w:id="34"/>
    <w:bookmarkEnd w:id="35"/>
    <w:bookmarkStart w:id="52" w:name="results"/>
    <w:p>
      <w:pPr>
        <w:pStyle w:val="Heading1"/>
      </w:pPr>
      <w:r>
        <w:t xml:space="preserve">3. Results</w:t>
      </w:r>
    </w:p>
    <w:p>
      <w:pPr>
        <w:pStyle w:val="FirstParagraph"/>
      </w:pPr>
      <w:r>
        <w:t xml:space="preserve">All repeatability and predictability measures (R, CVi, CVP, and rIIV) are reported as posterior means followed by 95% credible intervals (CrIs) in square brackets.</w:t>
      </w:r>
    </w:p>
    <w:bookmarkStart w:id="41"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Indeed, among all variables we evaluated, the replacement behavior and non-nutritive visiting frequencies were the most individually distinguishing behaviors in this study. Conversely,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(0.09 [0.08, 0.10]) in comparison with all 16 variables. The high R values are not driven by high among-individual variation, instead are driven by the low within-individual variance. In other words, each cow is very consistent within themselves from day to day, causing the R to be inflated by the low residual (within-individual) variance rather than by high among-individual variance. Variables ranked near the top on both R and CVi (e.g., daily non-nutritive visits, daily drinking duration), represent the biological meaningful candidates for individual profiling, since cows differ from one another and behave consistently for those differences to be detectable from repeated observations.</w:t>
      </w:r>
    </w:p>
    <w:bookmarkStart w:id="40" w:name="cell-fig-rep-cvp-scatter"/>
    <w:tbl>
      <w:tblPr>
        <w:tblStyle w:val="Table"/>
        <w:tblW w:type="pct" w:w="5000"/>
        <w:tblLayout w:type="fixed"/>
        <w:tblLook w:firstRow="0" w:lastRow="0" w:firstColumn="0" w:lastColumn="0" w:noHBand="0" w:noVBand="0" w:val="0000"/>
      </w:tblPr>
      <w:tblGrid>
        <w:gridCol w:w="7920"/>
      </w:tblGrid>
      <w:tr>
        <w:tc>
          <w:tcPr/>
          <w:bookmarkStart w:id="39" w:name="fig-rep-cvp-scatter"/>
          <w:p>
            <w:pPr>
              <w:pStyle w:val="Compact"/>
              <w:jc w:val="center"/>
            </w:pPr>
            <w:r>
              <w:drawing>
                <wp:inline>
                  <wp:extent cx="5943600" cy="10189028"/>
                  <wp:effectExtent b="0" l="0" r="0" t="0"/>
                  <wp:docPr descr="" title="" id="37" name="Picture"/>
                  <a:graphic>
                    <a:graphicData uri="http://schemas.openxmlformats.org/drawingml/2006/picture">
                      <pic:pic>
                        <pic:nvPicPr>
                          <pic:cNvPr descr="results/14_individual_traits/ellipse_scatter_grid_AB.png" id="38" name="Picture"/>
                          <pic:cNvPicPr>
                            <a:picLocks noChangeArrowheads="1" noChangeAspect="1"/>
                          </pic:cNvPicPr>
                        </pic:nvPicPr>
                        <pic:blipFill>
                          <a:blip r:embed="rId36"/>
                          <a:stretch>
                            <a:fillRect/>
                          </a:stretch>
                        </pic:blipFill>
                        <pic:spPr bwMode="auto">
                          <a:xfrm>
                            <a:off x="0" y="0"/>
                            <a:ext cx="5943600" cy="10189028"/>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colored by the 3-cluster k-means solution of Section 3.3 (Cluster 1 = high R, high CVi; Cluster 2 = high R, low CVi; Cluster 3 = low R, low CVi). Point shape distinguishes the likelihood family used for the mixed model.</w:t>
            </w:r>
          </w:p>
          <w:bookmarkEnd w:id="39"/>
        </w:tc>
      </w:tr>
    </w:tbl>
    <w:bookmarkEnd w:id="40"/>
    <w:p>
      <w:pPr>
        <w:pStyle w:val="BodyText"/>
      </w:pPr>
    </w:p>
    <w:bookmarkEnd w:id="41"/>
    <w:bookmarkStart w:id="42"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This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behavioral consistency within themselves across different days, and cows differed little from one another in how predictable they were. The corresponding rIIV values indicate that the least-predictable cows were only about 1.2 times more variable than the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behavioral consistency: some cows were more consistent than others in these behaviors, with the least-predictable cows being roughly 1.5 times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2"/>
    <w:bookmarkStart w:id="43"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 Variables with R &gt; 0.4 were considered to show relatively high repeatability, and variables with CVi &gt; 0.2 were considered to show relatively high between-individual variation, consistent with the clustering visible in</w:t>
      </w:r>
      <w:r>
        <w:t xml:space="preserve"> </w:t>
      </w:r>
      <w:hyperlink w:anchor="fig-rep-cvp-scatter">
        <w:r>
          <w:rPr>
            <w:rStyle w:val="Hyperlink"/>
          </w:rPr>
          <w:t xml:space="preserve">Figure 1</w:t>
        </w:r>
      </w:hyperlink>
      <w:r>
        <w:t xml:space="preserve"> </w:t>
      </w:r>
      <w:r>
        <w:t xml:space="preserve">A.</w:t>
      </w:r>
    </w:p>
    <w:p>
      <w:pPr>
        <w:pStyle w:val="BodyText"/>
      </w:pPr>
      <w:r>
        <w:rPr>
          <w:b/>
          <w:bCs/>
        </w:rPr>
        <w:t xml:space="preserve">Behavior Cluster 1 (high R, high CVi, 8 variables)</w:t>
      </w:r>
      <w:r>
        <w:t xml:space="preserve">: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behavioral expression, and these differences remained stable over time. These variables are the most useful for characterizing individual behavioral profiles.</w:t>
      </w:r>
    </w:p>
    <w:p>
      <w:pPr>
        <w:pStyle w:val="BodyText"/>
      </w:pPr>
      <w:r>
        <w:rPr>
          <w:b/>
          <w:bCs/>
        </w:rPr>
        <w:t xml:space="preserve">Behavior Cluster 2 (high R, low CVi, 3 variables)</w:t>
      </w:r>
      <w:r>
        <w:t xml:space="preserve">: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Behavior Cluster 3 (low R, low CVi, 5 variables)</w:t>
      </w:r>
      <w:r>
        <w:t xml:space="preserve">: median meal duration, median feed intake per meal, daily meals, median proportion of feed remaining at visit start, daily feed intake. Cows showed little variation from one another in these behaviors, and what variation did exist was inconsistent across days. This pattern suggests these behaviors are driven more by day-to-day environmental conditions (e.g., feed availability, group dynamics) than by stable individual behavioral tendencies.</w:t>
      </w:r>
    </w:p>
    <w:bookmarkEnd w:id="43"/>
    <w:bookmarkStart w:id="50" w:name="identifying-cow-types-via-pca"/>
    <w:p>
      <w:pPr>
        <w:pStyle w:val="Heading2"/>
      </w:pPr>
      <w:r>
        <w:t xml:space="preserve">3.4 Identifying Cow Types via PCA</w:t>
      </w:r>
    </w:p>
    <w:p>
      <w:pPr>
        <w:pStyle w:val="FirstParagraph"/>
      </w:pPr>
      <w:r>
        <w:t xml:space="preserve">We applied PCA with varimax rotation to the intercepts (average individual cow’s behavioral expression) of the 8 behavioral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replacement behavior (actor and reactor events).</w:t>
      </w:r>
    </w:p>
    <w:p>
      <w:pPr>
        <w:pStyle w:val="BodyText"/>
      </w:pPr>
    </w:p>
    <w:p>
      <w:pPr>
        <w:pStyle w:val="BodyText"/>
      </w:pPr>
      <w:r>
        <w:rPr>
          <w:b/>
          <w:bCs/>
        </w:rPr>
        <w:t xml:space="preserve">Table 3.</w:t>
      </w:r>
      <w:r>
        <w:t xml:space="preserve"> </w:t>
      </w:r>
      <w:r>
        <w:t xml:space="preserve">Varimax-rotated PCA loadings for the 8 Behavior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4">
        <w:r>
          <w:rPr>
            <w:rStyle w:val="Hyperlink"/>
          </w:rPr>
          <w:t xml:space="preserve">https://www.skysheng.io/moo4feed_decoding_animal/</w:t>
        </w:r>
      </w:hyperlink>
      <w:r>
        <w:t xml:space="preserve">.</w:t>
      </w:r>
    </w:p>
    <w:p>
      <w:pPr>
        <w:pStyle w:val="BodyText"/>
      </w:pPr>
    </w:p>
    <w:p>
      <w:pPr>
        <w:pStyle w:val="BodyText"/>
      </w:pPr>
    </w:p>
    <w:bookmarkStart w:id="49" w:name="cell-fig-pca-biplots"/>
    <w:tbl>
      <w:tblPr>
        <w:tblStyle w:val="Table"/>
        <w:tblW w:type="pct" w:w="5000"/>
        <w:tblLayout w:type="fixed"/>
        <w:tblLook w:firstRow="0" w:lastRow="0" w:firstColumn="0" w:lastColumn="0" w:noHBand="0" w:noVBand="0" w:val="0000"/>
      </w:tblPr>
      <w:tblGrid>
        <w:gridCol w:w="7920"/>
      </w:tblGrid>
      <w:tr>
        <w:tc>
          <w:tcPr/>
          <w:bookmarkStart w:id="48" w:name="fig-pca-biplots"/>
          <w:p>
            <w:pPr>
              <w:pStyle w:val="Compact"/>
              <w:jc w:val="center"/>
            </w:pPr>
            <w:r>
              <w:drawing>
                <wp:inline>
                  <wp:extent cx="5943600" cy="10896600"/>
                  <wp:effectExtent b="0" l="0" r="0" t="0"/>
                  <wp:docPr descr="" title="" id="46" name="Picture"/>
                  <a:graphic>
                    <a:graphicData uri="http://schemas.openxmlformats.org/drawingml/2006/picture">
                      <pic:pic>
                        <pic:nvPicPr>
                          <pic:cNvPr descr="results/15_pca_clustering/pca_M3_c1_int_biplot_clusters_AB.png" id="47" name="Picture"/>
                          <pic:cNvPicPr>
                            <a:picLocks noChangeArrowheads="1" noChangeAspect="1"/>
                          </pic:cNvPicPr>
                        </pic:nvPicPr>
                        <pic:blipFill>
                          <a:blip r:embed="rId45"/>
                          <a:stretch>
                            <a:fillRect/>
                          </a:stretch>
                        </pic:blipFill>
                        <pic:spPr bwMode="auto">
                          <a:xfrm>
                            <a:off x="0" y="0"/>
                            <a:ext cx="5943600" cy="1089660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colored by k-means cluster assignment (coral orange for Cluster 1, olive green for Cluster 2, yellow for Cluster 3, and blue for Cluster 4); arrows represent variable loadings scaled to the score space. Ellipses show 95% confidence regions around each cluster centroid.</w:t>
            </w:r>
          </w:p>
          <w:bookmarkEnd w:id="48"/>
        </w:tc>
      </w:tr>
    </w:tbl>
    <w:bookmarkEnd w:id="49"/>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behavioral profiles that can be characterized as follows:</w:t>
      </w:r>
    </w:p>
    <w:p>
      <w:pPr>
        <w:pStyle w:val="BodyText"/>
      </w:pPr>
      <w:r>
        <w:rPr>
          <w:b/>
          <w:bCs/>
        </w:rPr>
        <w:t xml:space="preserve">Cow Cluster 1 —</w:t>
      </w:r>
      <w:r>
        <w:rPr>
          <w:b/>
          <w:bCs/>
        </w:rPr>
        <w:t xml:space="preserve"> </w:t>
      </w:r>
      <w:r>
        <w:rPr>
          <w:b/>
          <w:bCs/>
        </w:rPr>
        <w:t xml:space="preserve">“frequently replaced”</w:t>
      </w:r>
      <w:r>
        <w:rPr>
          <w:b/>
          <w:bCs/>
        </w:rPr>
        <w:t xml:space="preserve"> </w:t>
      </w:r>
      <w:r>
        <w:rPr>
          <w:b/>
          <w:bCs/>
        </w:rPr>
        <w:t xml:space="preserve">(n = 55, ~51% of the herd, the largest group).</w:t>
      </w:r>
      <w:r>
        <w:t xml:space="preserve"> </w:t>
      </w:r>
      <w:r>
        <w:t xml:space="preserve">Cows in this cluster sat near the herd average on RC1 (mean score = -0.21) and below average on RC2 (-0.41), but scored noticeably high on RC3 (0.58). These cows were replaced from feed bins (reactor events) more often than they replaced others (actor events), and had low drinking activity compared to herd average (</w:t>
      </w:r>
      <w:hyperlink w:anchor="fig-pca-biplots">
        <w:r>
          <w:rPr>
            <w:rStyle w:val="Hyperlink"/>
          </w:rPr>
          <w:t xml:space="preserve">Figure 2</w:t>
        </w:r>
      </w:hyperlink>
      <w:r>
        <w:t xml:space="preserve"> </w:t>
      </w:r>
      <w:r>
        <w:t xml:space="preserve">A). Cows in this cluster were the unremarkable majority of the herd: they fed, drank, and took their meals within typical ranges, but routinely yielded the bin to more dominant pen mates.</w:t>
      </w:r>
    </w:p>
    <w:p>
      <w:pPr>
        <w:pStyle w:val="BodyText"/>
      </w:pPr>
      <w:r>
        <w:rPr>
          <w:b/>
          <w:bCs/>
        </w:rPr>
        <w:t xml:space="preserve">Cow Cluster 2 —</w:t>
      </w:r>
      <w:r>
        <w:rPr>
          <w:b/>
          <w:bCs/>
        </w:rPr>
        <w:t xml:space="preserve"> </w:t>
      </w:r>
      <w:r>
        <w:rPr>
          <w:b/>
          <w:bCs/>
        </w:rPr>
        <w:t xml:space="preserve">“frequent drinker visitors”</w:t>
      </w:r>
      <w:r>
        <w:rPr>
          <w:b/>
          <w:bCs/>
        </w:rPr>
        <w:t xml:space="preserve"> </w:t>
      </w:r>
      <w:r>
        <w:rPr>
          <w:b/>
          <w:bCs/>
        </w:rPr>
        <w:t xml:space="preserve">(n = 13, ~12%).</w:t>
      </w:r>
      <w:r>
        <w:t xml:space="preserve"> </w:t>
      </w:r>
      <w:r>
        <w:t xml:space="preserve">Cows in this cluster were distinguished by a very high RC2 score (1.91), driven by both long daily drinking duration and more drinking visits per day, while showing lower than herd average RC1 (-0.39) and higher than herd average RC3 (0.46) (</w:t>
      </w:r>
      <w:hyperlink w:anchor="fig-pca-biplots">
        <w:r>
          <w:rPr>
            <w:rStyle w:val="Hyperlink"/>
          </w:rPr>
          <w:t xml:space="preserve">Figure 2</w:t>
        </w:r>
      </w:hyperlink>
      <w:r>
        <w:t xml:space="preserve"> </w:t>
      </w:r>
      <w:r>
        <w:t xml:space="preserve">B). These cows expressed substantially high drinking activity even after controlling for DIM and THI. They also had relatively low feeding activity, and got replaced more often than they replaced others.</w:t>
      </w:r>
    </w:p>
    <w:p>
      <w:pPr>
        <w:pStyle w:val="BodyText"/>
      </w:pPr>
      <w:r>
        <w:rPr>
          <w:b/>
          <w:bCs/>
        </w:rPr>
        <w:t xml:space="preserve">Cow Cluster 3 —</w:t>
      </w:r>
      <w:r>
        <w:rPr>
          <w:b/>
          <w:bCs/>
        </w:rPr>
        <w:t xml:space="preserve"> </w:t>
      </w:r>
      <w:r>
        <w:rPr>
          <w:b/>
          <w:bCs/>
        </w:rPr>
        <w:t xml:space="preserve">“fragmented feeders”</w:t>
      </w:r>
      <w:r>
        <w:rPr>
          <w:b/>
          <w:bCs/>
        </w:rPr>
        <w:t xml:space="preserve"> </w:t>
      </w:r>
      <w:r>
        <w:rPr>
          <w:b/>
          <w:bCs/>
        </w:rPr>
        <w:t xml:space="preserve">(n = 5, ~5%, the smallest group).</w:t>
      </w:r>
      <w:r>
        <w:t xml:space="preserve"> </w:t>
      </w:r>
      <w:r>
        <w:t xml:space="preserve">This small group of extreme individuals scored very high on RC1 (3.09), driven by a combination of many feed visits per day, many non-nutritive visits, and highly fragmented meals (many short visits per meal, with repeated head-in/head-out events rather than sustained feeding). RC2 (-0.43) was below average, and RC3 (0.03) score was very close to the herd average. These cows had relatively low drinking activity, and repeatedly switched among bins in search of preferred feed, even though there was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showed average RC1 (0.03) and RC2 (0.00) scores but very negative RC3 score (-1.12), meaning they rarely got replaced at the feeders and instead tended to be the ones initiating replacements of others (</w:t>
      </w:r>
      <w:hyperlink w:anchor="fig-pca-biplots">
        <w:r>
          <w:rPr>
            <w:rStyle w:val="Hyperlink"/>
          </w:rPr>
          <w:t xml:space="preserve">Figure 2</w:t>
        </w:r>
      </w:hyperlink>
      <w:r>
        <w:t xml:space="preserve"> </w:t>
      </w:r>
      <w:r>
        <w:t xml:space="preserve">B). Their feeding, drinking behaviors, and meal patterns were otherwise unremarkable. These cows likely benefited from preferential access to feed bins.</w:t>
      </w:r>
    </w:p>
    <w:bookmarkEnd w:id="50"/>
    <w:bookmarkStart w:id="51" w:name="individual-cow-stories"/>
    <w:p>
      <w:pPr>
        <w:pStyle w:val="Heading2"/>
      </w:pPr>
      <w:r>
        <w:t xml:space="preserve">3.5 Individual Cow Stories</w:t>
      </w:r>
    </w:p>
    <w:p>
      <w:pPr>
        <w:pStyle w:val="FirstParagraph"/>
      </w:pPr>
      <w:r>
        <w:t xml:space="preserve">We selected one cow from each of the 4 clusters and described their individual profiles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were calculated within the herd on those same posterior means.</w:t>
      </w:r>
    </w:p>
    <w:p>
      <w:pPr>
        <w:pStyle w:val="BodyText"/>
      </w:pPr>
      <w:r>
        <w:rPr>
          <w:b/>
          <w:bCs/>
        </w:rPr>
        <w:t xml:space="preserve">Cow 7068 — a</w:t>
      </w:r>
      <w:r>
        <w:rPr>
          <w:b/>
          <w:bCs/>
        </w:rPr>
        <w:t xml:space="preserve"> </w:t>
      </w:r>
      <w:r>
        <w:rPr>
          <w:b/>
          <w:bCs/>
        </w:rPr>
        <w:t xml:space="preserve">“frequently replaced”</w:t>
      </w:r>
      <w:r>
        <w:rPr>
          <w:b/>
          <w:bCs/>
        </w:rPr>
        <w:t xml:space="preserve"> </w:t>
      </w:r>
      <w:r>
        <w:rPr>
          <w:b/>
          <w:bCs/>
        </w:rPr>
        <w:t xml:space="preserve">cow (Cluster 1).</w:t>
      </w:r>
      <w:r>
        <w:t xml:space="preserve"> </w:t>
      </w:r>
      <w:r>
        <w:t xml:space="preserve">Cow 7068 rarely replaced other cows at the feed bin (daily actor events: 9.12, 4th percentile of the herd) but was frequently replaced by others (daily reactor events: 52.56, 90th percentile). Despite being routinely replaced at the bin, she still achieved one of the highest daily feed intakes in the herd (daily feed intake: 71.01, 91th percentile). She did not maintain the high feed intake by visiting the feed bins more often, as her feeding visits per day (78.85, 29th percentile) were actually below the herd median. She maintained high feed intake through long time spent at the feeder (388.2 min, 87th percentile), and a very high fraction of her meal time was spent with her occupying a feed bin rather than waiting to enter a bin (median percentage of time spent feeding per meal: 90.45%, 92th percentile).</w:t>
      </w:r>
    </w:p>
    <w:p>
      <w:pPr>
        <w:pStyle w:val="BodyText"/>
      </w:pPr>
      <w:r>
        <w:rPr>
          <w:b/>
          <w:bCs/>
        </w:rPr>
        <w:t xml:space="preserve">Cow 7150 — a</w:t>
      </w:r>
      <w:r>
        <w:rPr>
          <w:b/>
          <w:bCs/>
        </w:rPr>
        <w:t xml:space="preserve"> </w:t>
      </w:r>
      <w:r>
        <w:rPr>
          <w:b/>
          <w:bCs/>
        </w:rPr>
        <w:t xml:space="preserve">“drinker dweller”</w:t>
      </w:r>
      <w:r>
        <w:rPr>
          <w:b/>
          <w:bCs/>
        </w:rPr>
        <w:t xml:space="preserve"> </w:t>
      </w:r>
      <w:r>
        <w:rPr>
          <w:b/>
          <w:bCs/>
        </w:rPr>
        <w:t xml:space="preserve">(Cluster 2).</w:t>
      </w:r>
      <w:r>
        <w:t xml:space="preserve"> </w:t>
      </w:r>
      <w:r>
        <w:t xml:space="preserve">Cow 7150’s daily drinking duration (35.0 min, 100th percentile) and daily drinking visits (22.27, 100th percentile) were the highest in the herd, several times higher than the herd mean. Although she visited the water bins often and for extended periods, her daily water intake (50.89 kg, 25th percentile) was below the herd median. She simply kept returning to the drinkers throughout the day in many short bouts.</w:t>
      </w:r>
    </w:p>
    <w:p>
      <w:pPr>
        <w:pStyle w:val="BodyText"/>
      </w:pPr>
      <w:r>
        <w:rPr>
          <w:b/>
          <w:bCs/>
        </w:rPr>
        <w:t xml:space="preserve">Cow 5042 — a</w:t>
      </w:r>
      <w:r>
        <w:rPr>
          <w:b/>
          <w:bCs/>
        </w:rPr>
        <w:t xml:space="preserve"> </w:t>
      </w:r>
      <w:r>
        <w:rPr>
          <w:b/>
          <w:bCs/>
        </w:rPr>
        <w:t xml:space="preserve">“fragmented feeder”</w:t>
      </w:r>
      <w:r>
        <w:rPr>
          <w:b/>
          <w:bCs/>
        </w:rPr>
        <w:t xml:space="preserve"> </w:t>
      </w:r>
      <w:r>
        <w:rPr>
          <w:b/>
          <w:bCs/>
        </w:rPr>
        <w:t xml:space="preserve">(Cluster 3).</w:t>
      </w:r>
      <w:r>
        <w:t xml:space="preserve"> </w:t>
      </w:r>
      <w:r>
        <w:t xml:space="preserve">Cow 5042’s feeding visits per day (205.63, 100th percentile), median visits per meal (30.54, 100th percentile), daily non-nutritive visits (161.71, 100th percentile), and median non-nutritive visits per meal (22.32, 100th percentile) were all at the herd maximum. She visited feed bins constantly and pulled her head in and out of bins many times per meal. Although her meals were unusually long (median meal duration: 92.0 min, 98th percentile), only 57.21% of her meal was spent occupying a feed bin (1st percentile, the lowest in the herd), meaning that on average, she spent about half of her meal time standing and waiting next to the feed bins rather than actually occupying it. Her cumulative daily feeding duration was low (310.5 min, 8th percentile), but her daily feed intake was still high (72.50 kg, 94th percentile); and her median intake per meal was near the top of the herd (10.43 kg, 97th percentile), meaning that during brief moments when she occupied the feed bins, she managed to consume a lot of feed. She was also highly socially active, appearing as both an actor (48.73, 98th percentile) and a reactor (62.67, 99th percentile) far more often than typical, suggesting that her fragmented feeding style was accompanied by (and possibly driven by) frequent replacement events at the feeding area.</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replaced herdmates from feed bins (daily actor events: 37.80, 90th percentile) and was almost never herself replaced by others (daily reactor events: 12.53, 3rd percentile). Her meal was efficient with a moderately high fraction of meal time spent occupying a feed bin (median percentage of time spent feeding per meal: 84.94%, 65th percentile), yielding an above-average median intake per meal (9.55 kg, 85th percentile) and a high daily feed intake (69.60, 81th percentile). When 5120 wanted to feed, she went directly to the bin she wanted, replacing whoever was there and was then rarely uninterrupted by other cows.</w:t>
      </w:r>
    </w:p>
    <w:bookmarkEnd w:id="51"/>
    <w:bookmarkEnd w:id="52"/>
    <w:bookmarkStart w:id="58" w:name="discussion"/>
    <w:p>
      <w:pPr>
        <w:pStyle w:val="Heading1"/>
      </w:pPr>
      <w:r>
        <w:t xml:space="preserve">4. Discussion</w:t>
      </w:r>
    </w:p>
    <w:p>
      <w:pPr>
        <w:pStyle w:val="FirstParagraph"/>
      </w:pPr>
      <w:r>
        <w:t xml:space="preserve">This study illustrates how the use of existing data streams from electronic feeders and drinkers can be used to aid digital phenotyping of individuals, and describe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3" w:name="X823c7d6af6f1deb5b47f51320181e7a174cf8df"/>
    <w:p>
      <w:pPr>
        <w:pStyle w:val="Heading2"/>
      </w:pPr>
      <w:r>
        <w:t xml:space="preserve">4.1 Repeatability and Predictability in Context</w:t>
      </w:r>
    </w:p>
    <w:p>
      <w:pPr>
        <w:pStyle w:val="FirstParagraph"/>
      </w:pPr>
      <w:r>
        <w:t xml:space="preserve">Our repeatability values ranged from 0.21 to 0.74, with most variables falling between 0.38 and 0.64. This places the majority of our behavioral variables above the average repeatability value of R = 0.37 reported in a meta-analysis of 759 estimates across 114 studies and 98 species</w:t>
      </w:r>
      <w:r>
        <w:t xml:space="preserve"> </w:t>
      </w:r>
      <w:r>
        <w:t xml:space="preserve">(</w:t>
      </w:r>
      <w:hyperlink w:anchor="ref-Bell2009">
        <w:r>
          <w:rPr>
            <w:rStyle w:val="Hyperlink"/>
          </w:rPr>
          <w:t xml:space="preserve">Bell et al., 2009</w:t>
        </w:r>
      </w:hyperlink>
      <w:r>
        <w:t xml:space="preserve">)</w:t>
      </w:r>
      <w:r>
        <w:t xml:space="preserve">, indicating that the behaviors captured from electronic feeders and drinkers likely reflect stable individual differences.</w:t>
      </w:r>
    </w:p>
    <w:p>
      <w:pPr>
        <w:pStyle w:val="BodyText"/>
      </w:pPr>
      <w:r>
        <w:t xml:space="preserve">Two methodological points are worth noting when comparing our results to previous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report both metrics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Neave et al.</w:t>
      </w:r>
      <w:r>
        <w:t xml:space="preserve"> </w:t>
      </w:r>
      <w:r>
        <w:t xml:space="preserve">(</w:t>
      </w:r>
      <w:hyperlink w:anchor="ref-neave2020long">
        <w:r>
          <w:rPr>
            <w:rStyle w:val="Hyperlink"/>
          </w:rPr>
          <w:t xml:space="preserve">2020</w:t>
        </w:r>
      </w:hyperlink>
      <w:r>
        <w:t xml:space="preserve">)</w:t>
      </w:r>
      <w:r>
        <w:t xml:space="preserve"> </w:t>
      </w:r>
      <w:r>
        <w:t xml:space="preserve">found that bold and exploratory traits were consistent within each rearing period (before and after weaning; after puberty to first lactation), but were not consistent across the pubertal transition, suggesting that major physiological changes at sexual maturation can disrupt previously stable behavioral profiles.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w:t>
      </w:r>
    </w:p>
    <w:p>
      <w:pPr>
        <w:pStyle w:val="BodyText"/>
      </w:pPr>
      <w:r>
        <w:t xml:space="preserve">Many of our highest-R variables capture behaviors that have never before been assessed for repeatability, which prevents comparison. Even our lowest R value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behavioral traits in wild populations have R values between 0.20 and 0.40.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relabile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strict data filtering that inflated our R estimates relative to previous work: by removing days disrupted by illness, lameness, estrus, and regrouping, we restricted our analyses to a stable baseline.</w:t>
      </w:r>
    </w:p>
    <w:bookmarkEnd w:id="53"/>
    <w:bookmarkStart w:id="54" w:name="novel-behavioral-variables"/>
    <w:p>
      <w:pPr>
        <w:pStyle w:val="Heading2"/>
      </w:pPr>
      <w:r>
        <w:t xml:space="preserve">4.2 Novel Behavioral Variables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with cows differ from one another by more than half the population mean in how often they visit feed bins without eating. Daily actor events and daily reactor events also showed high among-individual variation. In contrast, daily feed intake showed the smallest relative variation. The finding that cows are nearly indistinguishable from one another in daily feed intake, despite exhibiting different feeding profiles,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behaviors.</w:t>
      </w:r>
    </w:p>
    <w:bookmarkEnd w:id="54"/>
    <w:bookmarkStart w:id="55" w:name="behavioral-profiles-and-cow-types"/>
    <w:p>
      <w:pPr>
        <w:pStyle w:val="Heading2"/>
      </w:pPr>
      <w:r>
        <w:t xml:space="preserve">4.3 Behavioral Profiles and Cow Types</w:t>
      </w:r>
    </w:p>
    <w:p>
      <w:pPr>
        <w:pStyle w:val="FirstParagraph"/>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study. However, we do not claim that this constitutes personality. Such assessment requires data capturing a more diverse range of variables spanning a longer time window, more diverse contexts, and ideally replication across farms and management systems. It is worth noting that cows in this study were overstocked at the feeder (48 cows for 30 feed bins), which likely increased competition for feed access</w:t>
      </w:r>
      <w:r>
        <w:t xml:space="preserve"> </w:t>
      </w:r>
      <w:r>
        <w:t xml:space="preserve">(</w:t>
      </w:r>
      <w:hyperlink w:anchor="ref-sheng2024redefining">
        <w:r>
          <w:rPr>
            <w:rStyle w:val="Hyperlink"/>
          </w:rPr>
          <w:t xml:space="preserve">Sheng et al., 2024</w:t>
        </w:r>
      </w:hyperlink>
      <w:r>
        <w:t xml:space="preserve">)</w:t>
      </w:r>
      <w:r>
        <w:t xml:space="preserve">. The profiles we identified may only be relevant under high-competition conditions</w:t>
      </w:r>
      <w:r>
        <w:t xml:space="preserve"> </w:t>
      </w:r>
      <w:r>
        <w:t xml:space="preserve">(</w:t>
      </w:r>
      <w:hyperlink w:anchor="ref-schwanke2025graduate">
        <w:r>
          <w:rPr>
            <w:rStyle w:val="Hyperlink"/>
          </w:rPr>
          <w:t xml:space="preserve">Schwanke and DeVries, 2025</w:t>
        </w:r>
      </w:hyperlink>
      <w:r>
        <w:t xml:space="preserve">)</w:t>
      </w:r>
      <w:r>
        <w:t xml:space="preserve">. It is also important to note that although k-means assigns each cow to a single cluster, this is a hard partition imposed on what is in reality continuous variation. Cows near a cluster boundary share features of both adjacent types, and each profile describes a group’s central tendency rather than a rigid category that every cow matches exactly.</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 replaced”</w:t>
      </w:r>
      <w:r>
        <w:t xml:space="preserve"> </w:t>
      </w:r>
      <w:r>
        <w:t xml:space="preserve">cows captures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should not be considered a clear proxy for dominance as these are likely associated with motivation to access fresh feed in intensive and competitive environment, in addition to social rank. What the cluster analysis captures is not who dominates whom, but who consistently initiates replacements and who consistently yields. The</w:t>
      </w:r>
      <w:r>
        <w:t xml:space="preserve"> </w:t>
      </w:r>
      <w:r>
        <w:t xml:space="preserve">‘contest-winning’</w:t>
      </w:r>
      <w:r>
        <w:t xml:space="preserve"> </w:t>
      </w:r>
      <w:r>
        <w:t xml:space="preserve">cluster thus likely includes cows with strong motivation to access fresh feed.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engaged in less non-nutritive behavior.</w:t>
      </w:r>
    </w:p>
    <w:p>
      <w:pPr>
        <w:pStyle w:val="BodyText"/>
      </w:pPr>
      <w:r>
        <w:t xml:space="preserve">The</w:t>
      </w:r>
      <w:r>
        <w:t xml:space="preserve"> </w:t>
      </w:r>
      <w:r>
        <w:t xml:space="preserve">“frequent drinker visitors”</w:t>
      </w:r>
      <w:r>
        <w:t xml:space="preserve"> </w:t>
      </w:r>
      <w:r>
        <w:t xml:space="preserve">cluster stands out because these cows spent considerably more time at and returning to the drinkers without drinking more water, suggesting the behavior is not primarily driven by thirst. Cow 7150, whose case we highlighted, showed long drinking durations and frequent drinker visits during a period when THI remained consistently below 68, suggesting that this behavior was not related to heat load</w:t>
      </w:r>
      <w:r>
        <w:t xml:space="preserve"> </w:t>
      </w:r>
      <w:r>
        <w:t xml:space="preserve">(</w:t>
      </w:r>
      <w:hyperlink w:anchor="ref-McDonald2020">
        <w:r>
          <w:rPr>
            <w:rStyle w:val="Hyperlink"/>
          </w:rPr>
          <w:t xml:space="preserve">McDonald et al., 2020</w:t>
        </w:r>
      </w:hyperlink>
      <w:r>
        <w:t xml:space="preserve">)</w:t>
      </w:r>
      <w:r>
        <w:t xml:space="preserve">. One potential explanation is that excessive drinker visits may resemble schedule-induced polydipsia, a phenomenon documented in rodents experiencing constrained and intermittent food access, where excessive drinking develops as a behaviour unrelated to hydration</w:t>
      </w:r>
      <w:r>
        <w:t xml:space="preserve"> </w:t>
      </w:r>
      <w:r>
        <w:t xml:space="preserve">(</w:t>
      </w:r>
      <w:hyperlink w:anchor="ref-falk1961">
        <w:r>
          <w:rPr>
            <w:rStyle w:val="Hyperlink"/>
          </w:rPr>
          <w:t xml:space="preserve">Falk, 1961</w:t>
        </w:r>
      </w:hyperlink>
      <w:r>
        <w:t xml:space="preserve">;</w:t>
      </w:r>
      <w:r>
        <w:t xml:space="preserve"> </w:t>
      </w:r>
      <w:hyperlink w:anchor="ref-mason1991stereotypies">
        <w:r>
          <w:rPr>
            <w:rStyle w:val="Hyperlink"/>
          </w:rPr>
          <w:t xml:space="preserve">Mason, 1991</w:t>
        </w:r>
      </w:hyperlink>
      <w:r>
        <w:t xml:space="preserve">)</w:t>
      </w:r>
      <w:r>
        <w:t xml:space="preserve">. We do not have data to test this hypothesis directly, but we encourage future work to investigate whether a similar mechanism may exist in dairy cattle.</w:t>
      </w:r>
    </w:p>
    <w:bookmarkEnd w:id="55"/>
    <w:bookmarkStart w:id="56"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previous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6"/>
    <w:bookmarkStart w:id="57"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common waxbills) to evaluate whether the behavioral extraction pipeline and the analytical framework is generalizable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explore the temporal and spatial dimensions of feeding behavior. Our analyses characterized what cows do on average across the day, but not when or where they choose to compete for access to food and water. An important yet unexplored dimension is circadian rhythms in competitive and feeding behaviors. In our previous work</w:t>
      </w:r>
      <w:r>
        <w:t xml:space="preserve"> </w:t>
      </w:r>
      <w:r>
        <w:t xml:space="preserve">(</w:t>
      </w:r>
      <w:hyperlink w:anchor="ref-sheng2024redefining">
        <w:r>
          <w:rPr>
            <w:rStyle w:val="Hyperlink"/>
          </w:rPr>
          <w:t xml:space="preserve">Sheng et al., 2024</w:t>
        </w:r>
      </w:hyperlink>
      <w:r>
        <w:t xml:space="preserve">)</w:t>
      </w:r>
      <w:r>
        <w:t xml:space="preserve">, we showed that more replacements happened during afternoon feed delivery compared to the morning feed delivery. Future work should examine whether individual cows differ in their circadian patterns of feeding and competition, and whether these patterns remain consistent across days.</w:t>
      </w:r>
    </w:p>
    <w:p>
      <w:pPr>
        <w:pStyle w:val="BodyText"/>
      </w:pPr>
      <w:r>
        <w:t xml:space="preserve">In addition, we observed that certain</w:t>
      </w:r>
      <w:r>
        <w:t xml:space="preserve"> </w:t>
      </w:r>
      <w:r>
        <w:t xml:space="preserve">‘popular’</w:t>
      </w:r>
      <w:r>
        <w:t xml:space="preserve"> </w:t>
      </w:r>
      <w:r>
        <w:t xml:space="preserve">bins attracted disproportionately high competition, even though fresh feed was delivered to all bins. The most popular bins were those that were first filled with fresh feed at feed delivery, and those that were closest to the entry used by cows returning from milking.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enhance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 The individual cow narratives presented in Section 3.3 demonstrates the potential for continuous sensor-derived behavioral profiling and individualized monitoring, where significant departures from an established baseline could trigger producer alerts for follow-up.</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 Several of the most informative variables identified here (e.g., drinking duration, drinking visits, and feeding visit frequency) are, in principle, detectable from video-based monitoring systems that track animal identity and movement without specialized feed intake hardware, offering a path for farms that cannot justify the cost of electronic feeders. Even without automated sensing, the four cow types described here provide a framework for farmers to note which cows often linger at the drinker or repeatedly switch bins without eating. These observations can be used to better recognize cow-specific baselines, making future departures from that norm more readily detectable.</w:t>
      </w:r>
    </w:p>
    <w:bookmarkEnd w:id="57"/>
    <w:bookmarkEnd w:id="58"/>
    <w:bookmarkStart w:id="59" w:name="conclusion"/>
    <w:p>
      <w:pPr>
        <w:pStyle w:val="Heading1"/>
      </w:pPr>
      <w:r>
        <w:t xml:space="preserve">5. Conclusion</w:t>
      </w:r>
    </w:p>
    <w:p>
      <w:pPr>
        <w:pStyle w:val="FirstParagraph"/>
      </w:pPr>
      <w:r>
        <w:t xml:space="preserve">In this study, we showed that data streams collected from automatic feeding and drinking systems contain rich biological information that can be used to decode individual behavioral profiles. Using dairy cows as an example, we demonstrated that animals living in the same environment differ consistently and substantially from one another across feeding, drinking, and social behaviors. Variables capturing non-nutritive behavior,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9"/>
    <w:bookmarkStart w:id="60"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60"/>
    <w:bookmarkStart w:id="61"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61"/>
    <w:bookmarkStart w:id="62"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2"/>
    <w:bookmarkStart w:id="188"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87" w:name="references"/>
    <w:p>
      <w:pPr>
        <w:pStyle w:val="Heading2"/>
      </w:pPr>
      <w:r>
        <w:t xml:space="preserve">References</w:t>
      </w:r>
    </w:p>
    <w:bookmarkStart w:id="186" w:name="refs"/>
    <w:bookmarkStart w:id="64" w:name="ref-allwardt2017technical"/>
    <w:p>
      <w:pPr>
        <w:pStyle w:val="Bibliography"/>
      </w:pPr>
      <w:r>
        <w:t xml:space="preserve">Allwardt, K., C. Ahlberg, A. Broocks, K. Bruno, A. Taylor, S. Place, C. Richards, C. Krehbiel, M. Calvo-Lorenzo, U. DeSilva, D. VanOverbeke, R. Mateescu, C. Goad, and M.M. Rolf. 2017. Technical note: Validation of an automated system for monitoring and restricting water intake in group-housed beef steers1,2. Journal of Animal Science 95:4213–4219.</w:t>
      </w:r>
      <w:r>
        <w:t xml:space="preserve"> </w:t>
      </w:r>
      <w:hyperlink r:id="rId63">
        <w:r>
          <w:rPr>
            <w:rStyle w:val="Hyperlink"/>
          </w:rPr>
          <w:t xml:space="preserve">https://doi.org/10.2527/jas.2017.1593</w:t>
        </w:r>
      </w:hyperlink>
      <w:r>
        <w:t xml:space="preserve">.</w:t>
      </w:r>
    </w:p>
    <w:bookmarkEnd w:id="64"/>
    <w:bookmarkStart w:id="66" w:name="ref-Bell2009"/>
    <w:p>
      <w:pPr>
        <w:pStyle w:val="Bibliography"/>
      </w:pPr>
      <w:r>
        <w:t xml:space="preserve">Bell, A.M., S.J. Hankison, and K.L. Laskowski. 2009. The repeatability of behaviour: A meta-analysis. Animal Behaviour 77:771–783.</w:t>
      </w:r>
      <w:r>
        <w:t xml:space="preserve"> </w:t>
      </w:r>
      <w:hyperlink r:id="rId65">
        <w:r>
          <w:rPr>
            <w:rStyle w:val="Hyperlink"/>
          </w:rPr>
          <w:t xml:space="preserve">https://doi.org/10.1016/j.anbehav.2008.12.022</w:t>
        </w:r>
      </w:hyperlink>
      <w:r>
        <w:t xml:space="preserve">.</w:t>
      </w:r>
    </w:p>
    <w:bookmarkEnd w:id="66"/>
    <w:bookmarkStart w:id="68" w:name="ref-biro2012"/>
    <w:p>
      <w:pPr>
        <w:pStyle w:val="Bibliography"/>
      </w:pPr>
      <w:r>
        <w:t xml:space="preserve">Biro, P.A. 2012. Do rapid assays predict repeatability in labile (behavioural) traits? Animal Behaviour 83:1295–1300.</w:t>
      </w:r>
      <w:r>
        <w:t xml:space="preserve"> </w:t>
      </w:r>
      <w:hyperlink r:id="rId67">
        <w:r>
          <w:rPr>
            <w:rStyle w:val="Hyperlink"/>
          </w:rPr>
          <w:t xml:space="preserve">https://doi.org/10.1016/j.anbehav.2012.01.036</w:t>
        </w:r>
      </w:hyperlink>
      <w:r>
        <w:t xml:space="preserve">.</w:t>
      </w:r>
    </w:p>
    <w:bookmarkEnd w:id="68"/>
    <w:bookmarkStart w:id="70" w:name="ref-biswas2022methane"/>
    <w:p>
      <w:pPr>
        <w:pStyle w:val="Bibliography"/>
      </w:pPr>
      <w:r>
        <w:t xml:space="preserve">Biswas, A., A. Khan, D. Luo, and A. Jonker. 2022. Methane emissions in growing heifers while eating from a feed bin compared with 24-hour emissions and relationship with feeding behavior. JDS Communications 3:255–259.</w:t>
      </w:r>
      <w:r>
        <w:t xml:space="preserve"> </w:t>
      </w:r>
      <w:hyperlink r:id="rId69">
        <w:r>
          <w:rPr>
            <w:rStyle w:val="Hyperlink"/>
          </w:rPr>
          <w:t xml:space="preserve">https://doi.org/10.3168/jdsc.2021-0184</w:t>
        </w:r>
      </w:hyperlink>
      <w:r>
        <w:t xml:space="preserve">.</w:t>
      </w:r>
    </w:p>
    <w:bookmarkEnd w:id="70"/>
    <w:bookmarkStart w:id="72" w:name="ref-Brasier2023"/>
    <w:p>
      <w:pPr>
        <w:pStyle w:val="Bibliography"/>
      </w:pPr>
      <w:r>
        <w:t xml:space="preserve">Brasier, J.E., A.J. Schwanke, and T.J. DeVries. 2023. Effects of dairy cows’ personality traits on their adaptation to an automated milking system following parturition. Journal of Dairy Science 106:7191–7202.</w:t>
      </w:r>
      <w:r>
        <w:t xml:space="preserve"> </w:t>
      </w:r>
      <w:hyperlink r:id="rId71">
        <w:r>
          <w:rPr>
            <w:rStyle w:val="Hyperlink"/>
          </w:rPr>
          <w:t xml:space="preserve">https://doi.org/10.3168/jds.2022-23176</w:t>
        </w:r>
      </w:hyperlink>
      <w:r>
        <w:t xml:space="preserve">.</w:t>
      </w:r>
    </w:p>
    <w:bookmarkEnd w:id="72"/>
    <w:bookmarkStart w:id="74" w:name="ref-bresolin2020infrared"/>
    <w:p>
      <w:pPr>
        <w:pStyle w:val="Bibliography"/>
      </w:pPr>
      <w:r>
        <w:t xml:space="preserve">Bresolin, T., and J.R. Dórea. 2020. Infrared spectrometry as a high-throughput phenotyping technology to predict complex traits in livestock systems. Frontiers in Genetics 11:923.</w:t>
      </w:r>
      <w:r>
        <w:t xml:space="preserve"> </w:t>
      </w:r>
      <w:hyperlink r:id="rId73">
        <w:r>
          <w:rPr>
            <w:rStyle w:val="Hyperlink"/>
          </w:rPr>
          <w:t xml:space="preserve">https://doi.org/10.3389/fgene.2020.00923</w:t>
        </w:r>
      </w:hyperlink>
      <w:r>
        <w:t xml:space="preserve">.</w:t>
      </w:r>
    </w:p>
    <w:bookmarkEnd w:id="74"/>
    <w:bookmarkStart w:id="76" w:name="ref-brito2020large"/>
    <w:p>
      <w:pPr>
        <w:pStyle w:val="Bibliography"/>
      </w:pPr>
      <w:r>
        <w:t xml:space="preserve">Brito, L.F., H.R. Oliveira, B.R. McConn, A.P. Schinckel, A. Arrazola, J.N. Marchant-Forde, and J.S. Johnson. 2020. Large-scale phenotyping of livestock welfare in commercial production systems: A new frontier in animal breeding. Frontiers in genetics 11:793.</w:t>
      </w:r>
      <w:r>
        <w:t xml:space="preserve"> </w:t>
      </w:r>
      <w:hyperlink r:id="rId75">
        <w:r>
          <w:rPr>
            <w:rStyle w:val="Hyperlink"/>
          </w:rPr>
          <w:t xml:space="preserve">https://doi.org/10.3389/fgene.2020.00793</w:t>
        </w:r>
      </w:hyperlink>
      <w:r>
        <w:t xml:space="preserve">.</w:t>
      </w:r>
    </w:p>
    <w:bookmarkEnd w:id="76"/>
    <w:bookmarkStart w:id="78" w:name="ref-budaev2010using"/>
    <w:p>
      <w:pPr>
        <w:pStyle w:val="Bibliography"/>
      </w:pPr>
      <w:r>
        <w:t xml:space="preserve">Budaev, S.V. 2010. Using principal components and factor analysis in animal behaviour research: Caveats and guidelines. Ethology 116:472–480.</w:t>
      </w:r>
      <w:r>
        <w:t xml:space="preserve"> </w:t>
      </w:r>
      <w:hyperlink r:id="rId77">
        <w:r>
          <w:rPr>
            <w:rStyle w:val="Hyperlink"/>
          </w:rPr>
          <w:t xml:space="preserve">https://doi.org/10.1111/j.1439-0310.2010.01758.x</w:t>
        </w:r>
      </w:hyperlink>
      <w:r>
        <w:t xml:space="preserve">.</w:t>
      </w:r>
    </w:p>
    <w:bookmarkEnd w:id="78"/>
    <w:bookmarkStart w:id="80" w:name="ref-burkner2017brms"/>
    <w:p>
      <w:pPr>
        <w:pStyle w:val="Bibliography"/>
      </w:pPr>
      <w:r>
        <w:t xml:space="preserve">Bürkner, P.-C. 2017. Brms: An r package for bayesian multilevel models using stan. Journal of statistical software 80:1–28.</w:t>
      </w:r>
      <w:r>
        <w:t xml:space="preserve"> </w:t>
      </w:r>
      <w:hyperlink r:id="rId79">
        <w:r>
          <w:rPr>
            <w:rStyle w:val="Hyperlink"/>
          </w:rPr>
          <w:t xml:space="preserve">https://doi.org/10.18637/jss.v080.i01</w:t>
        </w:r>
      </w:hyperlink>
      <w:r>
        <w:t xml:space="preserve">.</w:t>
      </w:r>
    </w:p>
    <w:bookmarkEnd w:id="80"/>
    <w:bookmarkStart w:id="82" w:name="ref-cangelosi2007component"/>
    <w:p>
      <w:pPr>
        <w:pStyle w:val="Bibliography"/>
      </w:pPr>
      <w:r>
        <w:t xml:space="preserve">Cangelosi, R., and A. Goriely. 2007. Component retention in principal component analysis with application to cDNA microarray data. Biology direct 2:2.</w:t>
      </w:r>
      <w:r>
        <w:t xml:space="preserve"> </w:t>
      </w:r>
      <w:hyperlink r:id="rId81">
        <w:r>
          <w:rPr>
            <w:rStyle w:val="Hyperlink"/>
          </w:rPr>
          <w:t xml:space="preserve">https://doi.org/10.1186/1745-6150-2-2</w:t>
        </w:r>
      </w:hyperlink>
      <w:r>
        <w:t xml:space="preserve">.</w:t>
      </w:r>
    </w:p>
    <w:bookmarkEnd w:id="82"/>
    <w:bookmarkStart w:id="84" w:name="ref-carslake2022a"/>
    <w:p>
      <w:pPr>
        <w:pStyle w:val="Bibliography"/>
      </w:pPr>
      <w:r>
        <w:t xml:space="preserve">Carslake, C., F. Occhiuto, J.A. Vázquez-Diosdado, and J. Kaler. 2022a. Indication of a personality trait in dairy calves and its link to weight gain through automatically collected feeding behaviours. Scientific Reports 12:19425.</w:t>
      </w:r>
      <w:r>
        <w:t xml:space="preserve"> </w:t>
      </w:r>
      <w:hyperlink r:id="rId83">
        <w:r>
          <w:rPr>
            <w:rStyle w:val="Hyperlink"/>
          </w:rPr>
          <w:t xml:space="preserve">https://doi.org/10.1038/s41598-022-24076-x</w:t>
        </w:r>
      </w:hyperlink>
      <w:r>
        <w:t xml:space="preserve">.</w:t>
      </w:r>
    </w:p>
    <w:bookmarkEnd w:id="84"/>
    <w:bookmarkStart w:id="86" w:name="ref-carslake2022b"/>
    <w:p>
      <w:pPr>
        <w:pStyle w:val="Bibliography"/>
      </w:pPr>
      <w:r>
        <w:t xml:space="preserve">Carslake, C., F. Occhiuto, J.A. Vázquez-Diosdado, and J. Kaler. 2022b. Repeatability and predictability of calf feeding behaviors—quantifying between-and within-individual variation for precision livestock farming. Frontiers in Veterinary Science 9:827124.</w:t>
      </w:r>
      <w:r>
        <w:t xml:space="preserve"> </w:t>
      </w:r>
      <w:hyperlink r:id="rId85">
        <w:r>
          <w:rPr>
            <w:rStyle w:val="Hyperlink"/>
          </w:rPr>
          <w:t xml:space="preserve">https://doi.org/10.3389/fvets.2022.827124</w:t>
        </w:r>
      </w:hyperlink>
      <w:r>
        <w:t xml:space="preserve">.</w:t>
      </w:r>
    </w:p>
    <w:bookmarkEnd w:id="86"/>
    <w:bookmarkStart w:id="88" w:name="ref-chapinal2007validation"/>
    <w:p>
      <w:pPr>
        <w:pStyle w:val="Bibliography"/>
      </w:pPr>
      <w:r>
        <w:t xml:space="preserve">Chapinal, N., D.M. Veira, D.M. Weary, and M.A.G. von Keyserlingk. 2007. Validation of a system for monitoring individual feeding and drinking behavior and intake in group-housed cattle. Journal of dairy science 90:5732–5736.</w:t>
      </w:r>
      <w:r>
        <w:t xml:space="preserve"> </w:t>
      </w:r>
      <w:hyperlink r:id="rId87">
        <w:r>
          <w:rPr>
            <w:rStyle w:val="Hyperlink"/>
          </w:rPr>
          <w:t xml:space="preserve">https://doi.org/10.3168/jds.2007-0331</w:t>
        </w:r>
      </w:hyperlink>
      <w:r>
        <w:t xml:space="preserve">.</w:t>
      </w:r>
    </w:p>
    <w:bookmarkEnd w:id="88"/>
    <w:bookmarkStart w:id="90" w:name="ref-creamer2024consistent"/>
    <w:p>
      <w:pPr>
        <w:pStyle w:val="Bibliography"/>
      </w:pPr>
      <w:r>
        <w:t xml:space="preserve">Creamer, M., and K. Horback. 2024. Consistent individual differences in behavior among beef cattle in handling contexts and social-feed preference testing. Applied Animal Behaviour Science 276:106315.</w:t>
      </w:r>
      <w:r>
        <w:t xml:space="preserve"> </w:t>
      </w:r>
      <w:hyperlink r:id="rId89">
        <w:r>
          <w:rPr>
            <w:rStyle w:val="Hyperlink"/>
          </w:rPr>
          <w:t xml:space="preserve">https://doi.org/10.1016/j.applanim.2024.106315</w:t>
        </w:r>
      </w:hyperlink>
      <w:r>
        <w:t xml:space="preserve">.</w:t>
      </w:r>
    </w:p>
    <w:bookmarkEnd w:id="90"/>
    <w:bookmarkStart w:id="92" w:name="ref-Crossley2017"/>
    <w:p>
      <w:pPr>
        <w:pStyle w:val="Bibliography"/>
      </w:pPr>
      <w:r>
        <w:t xml:space="preserve">Crossley, R.E., A. Harlander-Matauschek, and T.J. DeVries. 2017. Variability in behavior and production among dairy cows fed under differing levels of competition. Journal of Dairy Science 100:3825–3838.</w:t>
      </w:r>
      <w:r>
        <w:t xml:space="preserve"> </w:t>
      </w:r>
      <w:hyperlink r:id="rId91">
        <w:r>
          <w:rPr>
            <w:rStyle w:val="Hyperlink"/>
          </w:rPr>
          <w:t xml:space="preserve">https://doi.org/10.3168/jds.2016-12108</w:t>
        </w:r>
      </w:hyperlink>
      <w:r>
        <w:t xml:space="preserve">.</w:t>
      </w:r>
    </w:p>
    <w:bookmarkEnd w:id="92"/>
    <w:bookmarkStart w:id="93" w:name="ref-dawkins2021"/>
    <w:p>
      <w:pPr>
        <w:pStyle w:val="Bibliography"/>
      </w:pPr>
      <w:r>
        <w:t xml:space="preserve">Dawkins, M.S. 2021. The Science of Animal Welfare: Understanding What Animals Want. Oxford University Press.</w:t>
      </w:r>
    </w:p>
    <w:bookmarkEnd w:id="93"/>
    <w:bookmarkStart w:id="95" w:name="ref-de2023call"/>
    <w:p>
      <w:pPr>
        <w:pStyle w:val="Bibliography"/>
      </w:pPr>
      <w:r>
        <w:t xml:space="preserve">De Boer, C., H. Ghomrawi, S. Zeineddin, S. Linton, S. Kwon, and F. Abdullah. 2023. A call to expand the scope of digital phenotyping. Journal of Medical Internet Research 25:e39546.</w:t>
      </w:r>
      <w:r>
        <w:t xml:space="preserve"> </w:t>
      </w:r>
      <w:hyperlink r:id="rId94">
        <w:r>
          <w:rPr>
            <w:rStyle w:val="Hyperlink"/>
          </w:rPr>
          <w:t xml:space="preserve">https://doi.org/10.2196/39546</w:t>
        </w:r>
      </w:hyperlink>
      <w:r>
        <w:t xml:space="preserve">.</w:t>
      </w:r>
    </w:p>
    <w:bookmarkEnd w:id="95"/>
    <w:bookmarkStart w:id="97" w:name="ref-DeVries2003"/>
    <w:p>
      <w:pPr>
        <w:pStyle w:val="Bibliography"/>
      </w:pPr>
      <w:r>
        <w:t xml:space="preserve">DeVries, T.J., M.A.G. von Keyserlingk, and K.A. Beauchemin. 2003. Short communication: Diurnal feeding pattern of lactating dairy cows. Journal of Dairy Science 86:4079–4082.</w:t>
      </w:r>
      <w:r>
        <w:t xml:space="preserve"> </w:t>
      </w:r>
      <w:hyperlink r:id="rId96">
        <w:r>
          <w:rPr>
            <w:rStyle w:val="Hyperlink"/>
          </w:rPr>
          <w:t xml:space="preserve">https://doi.org/10.3168/JDS.S0022-0302(03)74020-X</w:t>
        </w:r>
      </w:hyperlink>
      <w:r>
        <w:t xml:space="preserve">.</w:t>
      </w:r>
    </w:p>
    <w:bookmarkEnd w:id="97"/>
    <w:bookmarkStart w:id="99" w:name="ref-eriksson2020effects"/>
    <w:p>
      <w:pPr>
        <w:pStyle w:val="Bibliography"/>
      </w:pPr>
      <w:r>
        <w:t xml:space="preserve">Eriksson, H.K., R.R. Daros, M.A.G. von Keyserlingk, and D.M. Weary. 2020. Effects of case definition and assessment frequency on lameness incidence estimates. Journal of dairy science 103:638–648.</w:t>
      </w:r>
      <w:r>
        <w:t xml:space="preserve"> </w:t>
      </w:r>
      <w:hyperlink r:id="rId98">
        <w:r>
          <w:rPr>
            <w:rStyle w:val="Hyperlink"/>
          </w:rPr>
          <w:t xml:space="preserve">https://doi.org/10.3168/jds.2019-16426</w:t>
        </w:r>
      </w:hyperlink>
      <w:r>
        <w:t xml:space="preserve">.</w:t>
      </w:r>
    </w:p>
    <w:bookmarkEnd w:id="99"/>
    <w:bookmarkStart w:id="101" w:name="ref-faerevik2010effect"/>
    <w:p>
      <w:pPr>
        <w:pStyle w:val="Bibliography"/>
      </w:pPr>
      <w:r>
        <w:t xml:space="preserve">Færevik, G., M.B. Jensen, and K.E. Bøe. 2010. The effect of group composition and age on social behavior and competition in groups of weaned dairy calves. Journal of Dairy Science 93:4274–4279.</w:t>
      </w:r>
      <w:r>
        <w:t xml:space="preserve"> </w:t>
      </w:r>
      <w:hyperlink r:id="rId100">
        <w:r>
          <w:rPr>
            <w:rStyle w:val="Hyperlink"/>
          </w:rPr>
          <w:t xml:space="preserve">https://doi.org/10.3168/jds.2010-3147</w:t>
        </w:r>
      </w:hyperlink>
      <w:r>
        <w:t xml:space="preserve">.</w:t>
      </w:r>
    </w:p>
    <w:bookmarkEnd w:id="101"/>
    <w:bookmarkStart w:id="103" w:name="ref-falk1961"/>
    <w:p>
      <w:pPr>
        <w:pStyle w:val="Bibliography"/>
      </w:pPr>
      <w:r>
        <w:t xml:space="preserve">Falk, J.L. 1961. Production of polydipsia in normal rats by an intermittent food schedule. Science 133:195–196.</w:t>
      </w:r>
      <w:r>
        <w:t xml:space="preserve"> </w:t>
      </w:r>
      <w:hyperlink r:id="rId102">
        <w:r>
          <w:rPr>
            <w:rStyle w:val="Hyperlink"/>
          </w:rPr>
          <w:t xml:space="preserve">https://doi.org/10.1126/science.133.3447.195</w:t>
        </w:r>
      </w:hyperlink>
      <w:r>
        <w:t xml:space="preserve">.</w:t>
      </w:r>
    </w:p>
    <w:bookmarkEnd w:id="103"/>
    <w:bookmarkStart w:id="105" w:name="ref-finkemeier2018"/>
    <w:p>
      <w:pPr>
        <w:pStyle w:val="Bibliography"/>
      </w:pPr>
      <w:r>
        <w:t xml:space="preserve">Finkemeier, M.-A., J. Langbein, and B. Puppe. 2018. Personality research in mammalian farm animals: Concepts, measures, and relationship to welfare. Frontiers in veterinary science 5:131.</w:t>
      </w:r>
      <w:r>
        <w:t xml:space="preserve"> </w:t>
      </w:r>
      <w:hyperlink r:id="rId104">
        <w:r>
          <w:rPr>
            <w:rStyle w:val="Hyperlink"/>
          </w:rPr>
          <w:t xml:space="preserve">https://doi.org/10.3389/fvets.2018.00131</w:t>
        </w:r>
      </w:hyperlink>
      <w:r>
        <w:t xml:space="preserve">.</w:t>
      </w:r>
    </w:p>
    <w:bookmarkEnd w:id="105"/>
    <w:bookmarkStart w:id="107" w:name="ref-flower2006effect"/>
    <w:p>
      <w:pPr>
        <w:pStyle w:val="Bibliography"/>
      </w:pPr>
      <w:r>
        <w:t xml:space="preserve">Flower, F.C., and D.M. Weary. 2006. Effect of hoof pathologies on subjective assessments of dairy cow gait. Journal of dairy science 89:139–146.</w:t>
      </w:r>
      <w:r>
        <w:t xml:space="preserve"> </w:t>
      </w:r>
      <w:hyperlink r:id="rId106">
        <w:r>
          <w:rPr>
            <w:rStyle w:val="Hyperlink"/>
          </w:rPr>
          <w:t xml:space="preserve">https://doi.org/10.3168/jds.S0022-0302(06)72077-X</w:t>
        </w:r>
      </w:hyperlink>
      <w:r>
        <w:t xml:space="preserve">.</w:t>
      </w:r>
    </w:p>
    <w:bookmarkEnd w:id="107"/>
    <w:bookmarkStart w:id="109" w:name="ref-Foris2021"/>
    <w:p>
      <w:pPr>
        <w:pStyle w:val="Bibliography"/>
      </w:pPr>
      <w:r>
        <w:t xml:space="preserve">Foris, B., H.G. Haas, J. Langbein, and N. Melzer. 2021. Familiarity influences social networks in dairy cows after regrouping. Journal of Dairy Science 104:3485–3494.</w:t>
      </w:r>
      <w:r>
        <w:t xml:space="preserve"> </w:t>
      </w:r>
      <w:hyperlink r:id="rId108">
        <w:r>
          <w:rPr>
            <w:rStyle w:val="Hyperlink"/>
          </w:rPr>
          <w:t xml:space="preserve">https://doi.org/10.3168/jds.2020-18896</w:t>
        </w:r>
      </w:hyperlink>
      <w:r>
        <w:t xml:space="preserve">.</w:t>
      </w:r>
    </w:p>
    <w:bookmarkEnd w:id="109"/>
    <w:bookmarkStart w:id="111" w:name="ref-foris2019automatic"/>
    <w:p>
      <w:pPr>
        <w:pStyle w:val="Bibliography"/>
      </w:pPr>
      <w:r>
        <w:t xml:space="preserve">Foris, B., A.J. Thompson, M.A.G. von Keyserlingk, N. Melzer, and D.M. Weary. 2019. Automatic detection of feeding-and drinking-related agonistic behavior and dominance in dairy cows. Journal of dairy science 102:9176–9186.</w:t>
      </w:r>
      <w:r>
        <w:t xml:space="preserve"> </w:t>
      </w:r>
      <w:hyperlink r:id="rId110">
        <w:r>
          <w:rPr>
            <w:rStyle w:val="Hyperlink"/>
          </w:rPr>
          <w:t xml:space="preserve">https://doi.org/10.3168/jds.2019-16697</w:t>
        </w:r>
      </w:hyperlink>
      <w:r>
        <w:t xml:space="preserve">.</w:t>
      </w:r>
    </w:p>
    <w:bookmarkEnd w:id="111"/>
    <w:bookmarkStart w:id="113" w:name="ref-gabry2019visualization"/>
    <w:p>
      <w:pPr>
        <w:pStyle w:val="Bibliography"/>
      </w:pPr>
      <w:r>
        <w:t xml:space="preserve">Gabry, J., D. Simpson, A. Vehtari, M. Betancourt, and A. Gelman. 2019. Visualization in</w:t>
      </w:r>
      <w:r>
        <w:t xml:space="preserve"> </w:t>
      </w:r>
      <w:r>
        <w:t xml:space="preserve">Bayesian</w:t>
      </w:r>
      <w:r>
        <w:t xml:space="preserve"> </w:t>
      </w:r>
      <w:r>
        <w:t xml:space="preserve">workflow. Journal of the Royal Statistical Society: Series A (Statistics in Society) 182:389–402.</w:t>
      </w:r>
      <w:r>
        <w:t xml:space="preserve"> </w:t>
      </w:r>
      <w:hyperlink r:id="rId112">
        <w:r>
          <w:rPr>
            <w:rStyle w:val="Hyperlink"/>
          </w:rPr>
          <w:t xml:space="preserve">https://doi.org/10.1111/rssa.12378</w:t>
        </w:r>
      </w:hyperlink>
      <w:r>
        <w:t xml:space="preserve">.</w:t>
      </w:r>
    </w:p>
    <w:bookmarkEnd w:id="113"/>
    <w:bookmarkStart w:id="115" w:name="ref-grant1995feeding"/>
    <w:p>
      <w:pPr>
        <w:pStyle w:val="Bibliography"/>
      </w:pPr>
      <w:r>
        <w:t xml:space="preserve">Grant, R.J., and J.L. Albright. 1995. Feeding behavior and management factors during the transition period in dairy cattle. Journal of Animal Science 73:2791–2803.</w:t>
      </w:r>
      <w:r>
        <w:t xml:space="preserve"> </w:t>
      </w:r>
      <w:hyperlink r:id="rId114">
        <w:r>
          <w:rPr>
            <w:rStyle w:val="Hyperlink"/>
          </w:rPr>
          <w:t xml:space="preserve">https://doi.org/10.2527/1995.7392791x</w:t>
        </w:r>
      </w:hyperlink>
      <w:r>
        <w:t xml:space="preserve">.</w:t>
      </w:r>
    </w:p>
    <w:bookmarkEnd w:id="115"/>
    <w:bookmarkStart w:id="117" w:name="ref-hertel2020"/>
    <w:p>
      <w:pPr>
        <w:pStyle w:val="Bibliography"/>
      </w:pPr>
      <w:r>
        <w:t xml:space="preserve">Hertel, A.G., P.T. Niemelä, N.J. Dingemanse, and T. Mueller. 2020. A guide for studying among-individual behavioral variation from movement data in the wild. Movement ecology 8:30.</w:t>
      </w:r>
      <w:r>
        <w:t xml:space="preserve"> </w:t>
      </w:r>
      <w:hyperlink r:id="rId116">
        <w:r>
          <w:rPr>
            <w:rStyle w:val="Hyperlink"/>
          </w:rPr>
          <w:t xml:space="preserve">https://doi.org/10.1186/s40462-020-00216-8</w:t>
        </w:r>
      </w:hyperlink>
      <w:r>
        <w:t xml:space="preserve">.</w:t>
      </w:r>
    </w:p>
    <w:bookmarkEnd w:id="117"/>
    <w:bookmarkStart w:id="119" w:name="ref-Huzzey2006"/>
    <w:p>
      <w:pPr>
        <w:pStyle w:val="Bibliography"/>
      </w:pPr>
      <w:r>
        <w:t xml:space="preserve">Huzzey, J.M., T.J. DeVries, P. Valois, and M.A.G. von Keyserlingk. 2006. Stocking density and feed barrier design affect the feeding and social behavior of dairy cattle. Journal of Dairy Science 89:126–133.</w:t>
      </w:r>
      <w:r>
        <w:t xml:space="preserve"> </w:t>
      </w:r>
      <w:hyperlink r:id="rId118">
        <w:r>
          <w:rPr>
            <w:rStyle w:val="Hyperlink"/>
          </w:rPr>
          <w:t xml:space="preserve">https://doi.org/10.3168/jds.S0022-0302(06)72075-6</w:t>
        </w:r>
      </w:hyperlink>
      <w:r>
        <w:t xml:space="preserve">.</w:t>
      </w:r>
    </w:p>
    <w:bookmarkEnd w:id="119"/>
    <w:bookmarkStart w:id="121" w:name="ref-Huzzey2012"/>
    <w:p>
      <w:pPr>
        <w:pStyle w:val="Bibliography"/>
      </w:pPr>
      <w:r>
        <w:t xml:space="preserve">Huzzey, J.M., R.J. Grant, and T.R. Overton. 2012. Short communication: Relationship between competitive success during displacements at an overstocked feed bunk and measures of physiology and behavior in holstein dairy cattle. Journal of Dairy Science 95:4434–4441.</w:t>
      </w:r>
      <w:r>
        <w:t xml:space="preserve"> </w:t>
      </w:r>
      <w:hyperlink r:id="rId120">
        <w:r>
          <w:rPr>
            <w:rStyle w:val="Hyperlink"/>
          </w:rPr>
          <w:t xml:space="preserve">https://doi.org/10.3168/jds.2011-5038</w:t>
        </w:r>
      </w:hyperlink>
      <w:r>
        <w:t xml:space="preserve">.</w:t>
      </w:r>
    </w:p>
    <w:bookmarkEnd w:id="121"/>
    <w:bookmarkStart w:id="123" w:name="ref-huzzey2014automatic"/>
    <w:p>
      <w:pPr>
        <w:pStyle w:val="Bibliography"/>
      </w:pPr>
      <w:r>
        <w:t xml:space="preserve">Huzzey, J.M., D.M. Weary, B. Tiau, and M.A.G. von Keyserlingk. 2014. Automatic detection of social competition using an electronic feeding system. Journal of dairy science 97:2953–2958.</w:t>
      </w:r>
      <w:r>
        <w:t xml:space="preserve"> </w:t>
      </w:r>
      <w:hyperlink r:id="rId122">
        <w:r>
          <w:rPr>
            <w:rStyle w:val="Hyperlink"/>
          </w:rPr>
          <w:t xml:space="preserve">https://doi.org/10.3168/jds.2013-7434</w:t>
        </w:r>
      </w:hyperlink>
      <w:r>
        <w:t xml:space="preserve">.</w:t>
      </w:r>
    </w:p>
    <w:bookmarkEnd w:id="123"/>
    <w:bookmarkStart w:id="125" w:name="ref-kaiser1974index"/>
    <w:p>
      <w:pPr>
        <w:pStyle w:val="Bibliography"/>
      </w:pPr>
      <w:r>
        <w:t xml:space="preserve">Kaiser, H.F. 1974. An index of factorial simplicity. psychometrika 39:31–36.</w:t>
      </w:r>
      <w:r>
        <w:t xml:space="preserve"> </w:t>
      </w:r>
      <w:hyperlink r:id="rId124">
        <w:r>
          <w:rPr>
            <w:rStyle w:val="Hyperlink"/>
          </w:rPr>
          <w:t xml:space="preserve">https://doi.org/10.1007/BF02291575</w:t>
        </w:r>
      </w:hyperlink>
      <w:r>
        <w:t xml:space="preserve">.</w:t>
      </w:r>
    </w:p>
    <w:bookmarkEnd w:id="125"/>
    <w:bookmarkStart w:id="127" w:name="ref-khan2014dbscan"/>
    <w:p>
      <w:pPr>
        <w:pStyle w:val="Bibliography"/>
      </w:pPr>
      <w:r>
        <w:t xml:space="preserve">Khan, K., S.U. Rehman, K. Aziz, S. Fong, and S. Sarasvady. 2014.</w:t>
      </w:r>
      <w:r>
        <w:t xml:space="preserve"> </w:t>
      </w:r>
      <w:hyperlink r:id="rId126">
        <w:r>
          <w:rPr>
            <w:rStyle w:val="Hyperlink"/>
          </w:rPr>
          <w:t xml:space="preserve">DBSCAN: Past, present and future</w:t>
        </w:r>
      </w:hyperlink>
      <w:r>
        <w:t xml:space="preserve">. Pages 232–238 in The fifth international conference on the applications of digital information and web technologies (ICADIWT 2014). IEEE.</w:t>
      </w:r>
    </w:p>
    <w:bookmarkEnd w:id="127"/>
    <w:bookmarkStart w:id="129" w:name="ref-lawrence1991individual"/>
    <w:p>
      <w:pPr>
        <w:pStyle w:val="Bibliography"/>
      </w:pPr>
      <w:r>
        <w:t xml:space="preserve">Lawrence, A.B., E.M.C. Terlouw, and A.W. Illius. 1991. Individual differences in behavioural responses of pigs exposed to non-social and social challenges. Applied Animal Behaviour Science 30:73–86.</w:t>
      </w:r>
      <w:r>
        <w:t xml:space="preserve"> </w:t>
      </w:r>
      <w:hyperlink r:id="rId128">
        <w:r>
          <w:rPr>
            <w:rStyle w:val="Hyperlink"/>
          </w:rPr>
          <w:t xml:space="preserve">https://doi.org/10.1016/0168-1591(91)90086-D</w:t>
        </w:r>
      </w:hyperlink>
      <w:r>
        <w:t xml:space="preserve">.</w:t>
      </w:r>
    </w:p>
    <w:bookmarkEnd w:id="129"/>
    <w:bookmarkStart w:id="131" w:name="ref-malini2017analysis"/>
    <w:p>
      <w:pPr>
        <w:pStyle w:val="Bibliography"/>
      </w:pPr>
      <w:r>
        <w:t xml:space="preserve">Malini, N., and M. Pushpa. 2017.</w:t>
      </w:r>
      <w:r>
        <w:t xml:space="preserve"> </w:t>
      </w:r>
      <w:hyperlink r:id="rId130">
        <w:r>
          <w:rPr>
            <w:rStyle w:val="Hyperlink"/>
          </w:rPr>
          <w:t xml:space="preserve">Analysis on credit card fraud identification techniques based on KNN and outlier detection</w:t>
        </w:r>
      </w:hyperlink>
      <w:r>
        <w:t xml:space="preserve">. Pages 255–258 in 2017 third international conference on advances in electrical, electronics, information, communication and bio-informatics (AEEICB). IEEE.</w:t>
      </w:r>
    </w:p>
    <w:bookmarkEnd w:id="131"/>
    <w:bookmarkStart w:id="133" w:name="ref-mason1991stereotypies"/>
    <w:p>
      <w:pPr>
        <w:pStyle w:val="Bibliography"/>
      </w:pPr>
      <w:r>
        <w:t xml:space="preserve">Mason, G.J. 1991. Stereotypies: A critical review. Animal behaviour 41:1015–1037.</w:t>
      </w:r>
      <w:r>
        <w:t xml:space="preserve"> </w:t>
      </w:r>
      <w:hyperlink r:id="rId132">
        <w:r>
          <w:rPr>
            <w:rStyle w:val="Hyperlink"/>
          </w:rPr>
          <w:t xml:space="preserve">https://doi.org/10.1016/S0003-3472(05)80640-2</w:t>
        </w:r>
      </w:hyperlink>
      <w:r>
        <w:t xml:space="preserve">.</w:t>
      </w:r>
    </w:p>
    <w:bookmarkEnd w:id="133"/>
    <w:bookmarkStart w:id="135" w:name="ref-McDonald2020"/>
    <w:p>
      <w:pPr>
        <w:pStyle w:val="Bibliography"/>
      </w:pPr>
      <w:r>
        <w:t xml:space="preserve">McDonald, P.V., M.A.G. von Keyserlingk, and D.M. Weary. 2020. Hot weather increases competition between dairy cows at the drinker. Journal of Dairy Science 103:3447–3458.</w:t>
      </w:r>
      <w:r>
        <w:t xml:space="preserve"> </w:t>
      </w:r>
      <w:hyperlink r:id="rId134">
        <w:r>
          <w:rPr>
            <w:rStyle w:val="Hyperlink"/>
          </w:rPr>
          <w:t xml:space="preserve">https://doi.org/10.3168/jds.2019-17456</w:t>
        </w:r>
      </w:hyperlink>
      <w:r>
        <w:t xml:space="preserve">.</w:t>
      </w:r>
    </w:p>
    <w:bookmarkEnd w:id="135"/>
    <w:bookmarkStart w:id="137" w:name="ref-mitchell2020"/>
    <w:p>
      <w:pPr>
        <w:pStyle w:val="Bibliography"/>
      </w:pPr>
      <w:r>
        <w:t xml:space="preserve">Mitchell, D.J., C. Beckmann, and P.A. Biro. 2021. Understanding the unexplained: The magnitude and correlates of individual differences in residual variance. Ecology and Evolution 11:7201–7210.</w:t>
      </w:r>
      <w:r>
        <w:t xml:space="preserve"> </w:t>
      </w:r>
      <w:hyperlink r:id="rId136">
        <w:r>
          <w:rPr>
            <w:rStyle w:val="Hyperlink"/>
          </w:rPr>
          <w:t xml:space="preserve">https://doi.org/10.1002/ece3.7603</w:t>
        </w:r>
      </w:hyperlink>
      <w:r>
        <w:t xml:space="preserve">.</w:t>
      </w:r>
    </w:p>
    <w:bookmarkEnd w:id="137"/>
    <w:bookmarkStart w:id="139" w:name="ref-neave2018personality"/>
    <w:p>
      <w:pPr>
        <w:pStyle w:val="Bibliography"/>
      </w:pPr>
      <w:r>
        <w:t xml:space="preserve">Neave, H.W., J.H.C. Costa, D.M. Weary, and M.A.G. von Keyserlingk. 2018. Personality is associated with feeding behavior and performance in dairy calves. Journal of Dairy Science 101:7437–7449.</w:t>
      </w:r>
      <w:r>
        <w:t xml:space="preserve"> </w:t>
      </w:r>
      <w:hyperlink r:id="rId138">
        <w:r>
          <w:rPr>
            <w:rStyle w:val="Hyperlink"/>
          </w:rPr>
          <w:t xml:space="preserve">https://doi.org/10.3168/jds.2017-14248</w:t>
        </w:r>
      </w:hyperlink>
      <w:r>
        <w:t xml:space="preserve">.</w:t>
      </w:r>
    </w:p>
    <w:bookmarkEnd w:id="139"/>
    <w:bookmarkStart w:id="141" w:name="ref-neave2020long"/>
    <w:p>
      <w:pPr>
        <w:pStyle w:val="Bibliography"/>
      </w:pPr>
      <w:r>
        <w:t xml:space="preserve">Neave, H.W., J.H.C. Costa, D.M. Weary, and M.A.G. von Keyserlingk. 2020. Long-term consistency of personality traits of cattle. Royal Society open science 7.</w:t>
      </w:r>
      <w:r>
        <w:t xml:space="preserve"> </w:t>
      </w:r>
      <w:hyperlink r:id="rId140">
        <w:r>
          <w:rPr>
            <w:rStyle w:val="Hyperlink"/>
          </w:rPr>
          <w:t xml:space="preserve">https://doi.org/10.1098/rsos.191849</w:t>
        </w:r>
      </w:hyperlink>
      <w:r>
        <w:t xml:space="preserve">.</w:t>
      </w:r>
    </w:p>
    <w:bookmarkEnd w:id="141"/>
    <w:bookmarkStart w:id="143" w:name="ref-neethirajan2021digital"/>
    <w:p>
      <w:pPr>
        <w:pStyle w:val="Bibliography"/>
      </w:pPr>
      <w:r>
        <w:t xml:space="preserve">Neethirajan, S., and B. Kemp. 2021. Digital phenotyping in livestock farming. Animals 11:2009.</w:t>
      </w:r>
      <w:r>
        <w:t xml:space="preserve"> </w:t>
      </w:r>
      <w:hyperlink r:id="rId142">
        <w:r>
          <w:rPr>
            <w:rStyle w:val="Hyperlink"/>
          </w:rPr>
          <w:t xml:space="preserve">https://doi.org/10.3390/ani11072009</w:t>
        </w:r>
      </w:hyperlink>
      <w:r>
        <w:t xml:space="preserve">.</w:t>
      </w:r>
    </w:p>
    <w:bookmarkEnd w:id="143"/>
    <w:bookmarkStart w:id="145" w:name="ref-occhiuto2022"/>
    <w:p>
      <w:pPr>
        <w:pStyle w:val="Bibliography"/>
      </w:pPr>
      <w:r>
        <w:t xml:space="preserve">Occhiuto, F., J.A. Vázquez-Diosdado, C. Carslake, and J. Kaler. 2022. Personality and predictability in farmed calves using movement and space-use behaviours quantified by ultra-wideband sensors. Royal Society Open Science 9:212019.</w:t>
      </w:r>
      <w:r>
        <w:t xml:space="preserve"> </w:t>
      </w:r>
      <w:hyperlink r:id="rId144">
        <w:r>
          <w:rPr>
            <w:rStyle w:val="Hyperlink"/>
          </w:rPr>
          <w:t xml:space="preserve">https://doi.org/10.1098/rsos.212019</w:t>
        </w:r>
      </w:hyperlink>
      <w:r>
        <w:t xml:space="preserve">.</w:t>
      </w:r>
    </w:p>
    <w:bookmarkEnd w:id="145"/>
    <w:bookmarkStart w:id="147" w:name="ref-onnela2016harnessing"/>
    <w:p>
      <w:pPr>
        <w:pStyle w:val="Bibliography"/>
      </w:pPr>
      <w:r>
        <w:t xml:space="preserve">Onnela, J.-P., and S.L. Rauch. 2016. Harnessing smartphone-based digital phenotyping to enhance behavioral and mental health. Neuropsychopharmacology 41:1691–1696.</w:t>
      </w:r>
      <w:r>
        <w:t xml:space="preserve"> </w:t>
      </w:r>
      <w:hyperlink r:id="rId146">
        <w:r>
          <w:rPr>
            <w:rStyle w:val="Hyperlink"/>
          </w:rPr>
          <w:t xml:space="preserve">https://doi.org/10.1038/npp.2016.7</w:t>
        </w:r>
      </w:hyperlink>
      <w:r>
        <w:t xml:space="preserve">.</w:t>
      </w:r>
    </w:p>
    <w:bookmarkEnd w:id="147"/>
    <w:bookmarkStart w:id="149" w:name="ref-pacheco2025invited"/>
    <w:p>
      <w:pPr>
        <w:pStyle w:val="Bibliography"/>
      </w:pPr>
      <w:r>
        <w:t xml:space="preserve">Pacheco, H.A., R.O. Hernandez, S.-Y. Chen, H.W. Neave, J.A. Pempek, and L.F. Brito. 2025. Invited review: Phenotyping strategies and genetic background of dairy cattle behavior in intensive production systems—from trait definition to genomic selection. Journal of Dairy Science 108:6–32.</w:t>
      </w:r>
      <w:r>
        <w:t xml:space="preserve"> </w:t>
      </w:r>
      <w:hyperlink r:id="rId148">
        <w:r>
          <w:rPr>
            <w:rStyle w:val="Hyperlink"/>
          </w:rPr>
          <w:t xml:space="preserve">https://doi.org/10.3168/jds.2024-24953</w:t>
        </w:r>
      </w:hyperlink>
      <w:r>
        <w:t xml:space="preserve">.</w:t>
      </w:r>
    </w:p>
    <w:bookmarkEnd w:id="149"/>
    <w:bookmarkStart w:id="151" w:name="ref-phillips2001effects"/>
    <w:p>
      <w:pPr>
        <w:pStyle w:val="Bibliography"/>
      </w:pPr>
      <w:r>
        <w:t xml:space="preserve">Phillips, C.J.C., and M.I. Rind. 2001. The effects on production and behavior of mixing uniparous and multiparous cows. Journal of Dairy Science 84:2424–2429.</w:t>
      </w:r>
      <w:r>
        <w:t xml:space="preserve"> </w:t>
      </w:r>
      <w:hyperlink r:id="rId150">
        <w:r>
          <w:rPr>
            <w:rStyle w:val="Hyperlink"/>
          </w:rPr>
          <w:t xml:space="preserve">https://doi.org/10.3168/jds.S0022-0302(01)74692-9</w:t>
        </w:r>
      </w:hyperlink>
      <w:r>
        <w:t xml:space="preserve">.</w:t>
      </w:r>
    </w:p>
    <w:bookmarkEnd w:id="151"/>
    <w:bookmarkStart w:id="153" w:name="ref-R-base"/>
    <w:p>
      <w:pPr>
        <w:pStyle w:val="Bibliography"/>
      </w:pPr>
      <w:r>
        <w:t xml:space="preserve">R Core Team. 2025.</w:t>
      </w:r>
      <w:r>
        <w:t xml:space="preserve"> </w:t>
      </w:r>
      <w:hyperlink r:id="rId152">
        <w:r>
          <w:rPr>
            <w:rStyle w:val="Hyperlink"/>
          </w:rPr>
          <w:t xml:space="preserve">R: A Language and Environment for Statistical Computing</w:t>
        </w:r>
      </w:hyperlink>
      <w:r>
        <w:t xml:space="preserve">. R Foundation for Statistical Computing, Vienna, Austria.</w:t>
      </w:r>
    </w:p>
    <w:bookmarkEnd w:id="153"/>
    <w:bookmarkStart w:id="155" w:name="ref-reale2007"/>
    <w:p>
      <w:pPr>
        <w:pStyle w:val="Bibliography"/>
      </w:pPr>
      <w:r>
        <w:t xml:space="preserve">Réale, D., S.M. Reader, D. Sol, P.T. McDougall, and N.J. Dingemanse. 2007. Integrating animal temperament within ecology and evolution. Biological reviews 82:291–318.</w:t>
      </w:r>
      <w:r>
        <w:t xml:space="preserve"> </w:t>
      </w:r>
      <w:hyperlink r:id="rId154">
        <w:r>
          <w:rPr>
            <w:rStyle w:val="Hyperlink"/>
          </w:rPr>
          <w:t xml:space="preserve">https://doi.org/10.1111/j.1469-185X.2007.00010.x</w:t>
        </w:r>
      </w:hyperlink>
      <w:r>
        <w:t xml:space="preserve">.</w:t>
      </w:r>
    </w:p>
    <w:bookmarkEnd w:id="155"/>
    <w:bookmarkStart w:id="157" w:name="ref-reith2018behavioral"/>
    <w:p>
      <w:pPr>
        <w:pStyle w:val="Bibliography"/>
      </w:pPr>
      <w:r>
        <w:t xml:space="preserve">Reith, S., and S. Hoy. 2018. Behavioral signs of estrus and the potential of fully automated systems for detection of estrus in dairy cattle. Animal 12:398–407.</w:t>
      </w:r>
      <w:r>
        <w:t xml:space="preserve"> </w:t>
      </w:r>
      <w:hyperlink r:id="rId156">
        <w:r>
          <w:rPr>
            <w:rStyle w:val="Hyperlink"/>
          </w:rPr>
          <w:t xml:space="preserve">https://doi.org/10.1017/S1751731117001975</w:t>
        </w:r>
      </w:hyperlink>
      <w:r>
        <w:t xml:space="preserve">.</w:t>
      </w:r>
    </w:p>
    <w:bookmarkEnd w:id="157"/>
    <w:bookmarkStart w:id="159" w:name="ref-Richter2019"/>
    <w:p>
      <w:pPr>
        <w:pStyle w:val="Bibliography"/>
      </w:pPr>
      <w:r>
        <w:t xml:space="preserve">Richter, S.H., and S. Hintze. 2019. From the individual to the population – and back again? Emphasising the role of the individual in animal welfare science. Applied Animal Behaviour Science 212:1–8.</w:t>
      </w:r>
      <w:r>
        <w:t xml:space="preserve"> </w:t>
      </w:r>
      <w:hyperlink r:id="rId158">
        <w:r>
          <w:rPr>
            <w:rStyle w:val="Hyperlink"/>
          </w:rPr>
          <w:t xml:space="preserve">https://doi.org/10.1016/j.applanim.2018.12.012</w:t>
        </w:r>
      </w:hyperlink>
      <w:r>
        <w:t xml:space="preserve">.</w:t>
      </w:r>
    </w:p>
    <w:bookmarkEnd w:id="159"/>
    <w:bookmarkStart w:id="161" w:name="ref-rousseeuw1987silhouettes"/>
    <w:p>
      <w:pPr>
        <w:pStyle w:val="Bibliography"/>
      </w:pPr>
      <w:r>
        <w:t xml:space="preserve">Rousseeuw, P.J. 1987. Silhouettes: A graphical aid to the interpretation and validation of cluster analysis. Journal of computational and applied mathematics 20:53–65.</w:t>
      </w:r>
      <w:r>
        <w:t xml:space="preserve"> </w:t>
      </w:r>
      <w:hyperlink r:id="rId160">
        <w:r>
          <w:rPr>
            <w:rStyle w:val="Hyperlink"/>
          </w:rPr>
          <w:t xml:space="preserve">https://doi.org/10.1016/0377-0427(87)90125-7</w:t>
        </w:r>
      </w:hyperlink>
      <w:r>
        <w:t xml:space="preserve">.</w:t>
      </w:r>
    </w:p>
    <w:bookmarkEnd w:id="161"/>
    <w:bookmarkStart w:id="163" w:name="ref-schwanke2025graduate"/>
    <w:p>
      <w:pPr>
        <w:pStyle w:val="Bibliography"/>
      </w:pPr>
      <w:r>
        <w:t xml:space="preserve">Schwanke, A., and T. DeVries. 2025. Graduate student literature review: Temperament, personality, and coping style in dairy cattle—understanding individual variation in response to challenges and management strategies. Journal of Dairy Science.</w:t>
      </w:r>
      <w:r>
        <w:t xml:space="preserve"> </w:t>
      </w:r>
      <w:hyperlink r:id="rId162">
        <w:r>
          <w:rPr>
            <w:rStyle w:val="Hyperlink"/>
          </w:rPr>
          <w:t xml:space="preserve">https://doi.org/10.3168/jds.2025-26552</w:t>
        </w:r>
      </w:hyperlink>
      <w:r>
        <w:t xml:space="preserve">.</w:t>
      </w:r>
    </w:p>
    <w:bookmarkEnd w:id="163"/>
    <w:bookmarkStart w:id="165" w:name="ref-setser2024a"/>
    <w:p>
      <w:pPr>
        <w:pStyle w:val="Bibliography"/>
      </w:pPr>
      <w:r>
        <w:t xml:space="preserve">Setser, M.W., H. Neave, and J. Costa. 2024b. Are you ready for a challenge? Personality traits influence dairy calves’ responses to disease, pain, and nutritional challenges. Journal of Dairy Science 107:9821–9838.</w:t>
      </w:r>
      <w:r>
        <w:t xml:space="preserve"> </w:t>
      </w:r>
      <w:hyperlink r:id="rId164">
        <w:r>
          <w:rPr>
            <w:rStyle w:val="Hyperlink"/>
          </w:rPr>
          <w:t xml:space="preserve">https://doi.org/10.3168/jds.2023-24514</w:t>
        </w:r>
      </w:hyperlink>
      <w:r>
        <w:t xml:space="preserve">.</w:t>
      </w:r>
    </w:p>
    <w:bookmarkEnd w:id="165"/>
    <w:bookmarkStart w:id="167" w:name="ref-setser2024b"/>
    <w:p>
      <w:pPr>
        <w:pStyle w:val="Bibliography"/>
      </w:pPr>
      <w:r>
        <w:t xml:space="preserve">Setser, M.W., H. Neave, and J. Costa. 2024a. Individuality of calves: Linking personality traits to feeding and activity daily patterns measured by precision livestock technology. Journal of Dairy Science 107:3235–3251.</w:t>
      </w:r>
      <w:r>
        <w:t xml:space="preserve"> </w:t>
      </w:r>
      <w:hyperlink r:id="rId166">
        <w:r>
          <w:rPr>
            <w:rStyle w:val="Hyperlink"/>
          </w:rPr>
          <w:t xml:space="preserve">https://doi.org/10.3168/jds.2023-24257</w:t>
        </w:r>
      </w:hyperlink>
      <w:r>
        <w:t xml:space="preserve">.</w:t>
      </w:r>
    </w:p>
    <w:bookmarkEnd w:id="167"/>
    <w:bookmarkStart w:id="169" w:name="ref-sheng2024redefining"/>
    <w:p>
      <w:pPr>
        <w:pStyle w:val="Bibliography"/>
      </w:pPr>
      <w:r>
        <w:t xml:space="preserve">Sheng, K., B. Foris, J. Krahn, D.M. Weary, and M.A.G. von Keyserlingk. 2024. Redefining dominance calculation: Increased competition flattens the dominance hierarchy in dairy cows. Journal of Dairy Science 107:7286–7298.</w:t>
      </w:r>
      <w:r>
        <w:t xml:space="preserve"> </w:t>
      </w:r>
      <w:hyperlink r:id="rId168">
        <w:r>
          <w:rPr>
            <w:rStyle w:val="Hyperlink"/>
          </w:rPr>
          <w:t xml:space="preserve">https://doi.org/10.3168/jds.2023-24587</w:t>
        </w:r>
      </w:hyperlink>
      <w:r>
        <w:t xml:space="preserve">.</w:t>
      </w:r>
    </w:p>
    <w:bookmarkEnd w:id="169"/>
    <w:bookmarkStart w:id="171" w:name="ref-Slater1981"/>
    <w:p>
      <w:pPr>
        <w:pStyle w:val="Bibliography"/>
      </w:pPr>
      <w:r>
        <w:t xml:space="preserve">Slater, P.J.B. 1981.</w:t>
      </w:r>
      <w:r>
        <w:t xml:space="preserve"> </w:t>
      </w:r>
      <w:hyperlink r:id="rId170">
        <w:r>
          <w:rPr>
            <w:rStyle w:val="Hyperlink"/>
          </w:rPr>
          <w:t xml:space="preserve">Individual differences in animal behavior</w:t>
        </w:r>
      </w:hyperlink>
      <w:r>
        <w:t xml:space="preserve">. Pages 35–49 in Perspectives in ethology: Volume 4 advantages of diversity. P.P.G. Bateson and P.H. Klopfer, ed. Springer US.</w:t>
      </w:r>
    </w:p>
    <w:bookmarkEnd w:id="171"/>
    <w:bookmarkStart w:id="173" w:name="ref-thomas2024"/>
    <w:p>
      <w:pPr>
        <w:pStyle w:val="Bibliography"/>
      </w:pPr>
      <w:r>
        <w:t xml:space="preserve">Thomas, M., F. Occhiuto, M. Green, J.A. Vázquez-Diosdado, and J. Kaler. 2024. Repeatability and predictability of lying and feeding behaviours in dairy cattle. Preventive Veterinary Medicine 233:106357.</w:t>
      </w:r>
      <w:r>
        <w:t xml:space="preserve"> </w:t>
      </w:r>
      <w:hyperlink r:id="rId172">
        <w:r>
          <w:rPr>
            <w:rStyle w:val="Hyperlink"/>
          </w:rPr>
          <w:t xml:space="preserve">https://doi.org/10.1016/j.prevetmed.2024.106357</w:t>
        </w:r>
      </w:hyperlink>
      <w:r>
        <w:t xml:space="preserve">.</w:t>
      </w:r>
    </w:p>
    <w:bookmarkEnd w:id="173"/>
    <w:bookmarkStart w:id="175" w:name="ref-tolkamp1998satiety"/>
    <w:p>
      <w:pPr>
        <w:pStyle w:val="Bibliography"/>
      </w:pPr>
      <w:r>
        <w:t xml:space="preserve">Tolkamp, B., D. Allcroft, E. Austin, B.L. Nielsen, and I. Kyriazakis. 1998. Satiety splits feeding behaviour into bouts. Journal of Theoretical Biology 194:235–250.</w:t>
      </w:r>
      <w:r>
        <w:t xml:space="preserve"> </w:t>
      </w:r>
      <w:hyperlink r:id="rId174">
        <w:r>
          <w:rPr>
            <w:rStyle w:val="Hyperlink"/>
          </w:rPr>
          <w:t xml:space="preserve">https://doi.org/10.1006/jtbi.1998.0759</w:t>
        </w:r>
      </w:hyperlink>
      <w:r>
        <w:t xml:space="preserve">.</w:t>
      </w:r>
    </w:p>
    <w:bookmarkEnd w:id="175"/>
    <w:bookmarkStart w:id="177" w:name="ref-vehtari2021rank"/>
    <w:p>
      <w:pPr>
        <w:pStyle w:val="Bibliography"/>
      </w:pPr>
      <w:r>
        <w:t xml:space="preserve">Vehtari, A., A. Gelman, D. Simpson, B. Carpenter, and P.-C. Bürkner.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16:667–718.</w:t>
      </w:r>
      <w:r>
        <w:t xml:space="preserve"> </w:t>
      </w:r>
      <w:hyperlink r:id="rId176">
        <w:r>
          <w:rPr>
            <w:rStyle w:val="Hyperlink"/>
          </w:rPr>
          <w:t xml:space="preserve">https://doi.org/10.1214/20-BA1221</w:t>
        </w:r>
      </w:hyperlink>
      <w:r>
        <w:t xml:space="preserve">.</w:t>
      </w:r>
    </w:p>
    <w:bookmarkEnd w:id="177"/>
    <w:bookmarkStart w:id="179" w:name="ref-von2008acute"/>
    <w:p>
      <w:pPr>
        <w:pStyle w:val="Bibliography"/>
      </w:pPr>
      <w:r>
        <w:t xml:space="preserve">von Keyserlingk, M.A.G., D.M. Olenick, and D.M. Weary. 2008. Acute behavioral effects of regrouping dairy cows. Journal of Dairy Science 91:1011–1016.</w:t>
      </w:r>
      <w:r>
        <w:t xml:space="preserve"> </w:t>
      </w:r>
      <w:hyperlink r:id="rId178">
        <w:r>
          <w:rPr>
            <w:rStyle w:val="Hyperlink"/>
          </w:rPr>
          <w:t xml:space="preserve">https://doi.org/10.3168/jds.2007-0532</w:t>
        </w:r>
      </w:hyperlink>
      <w:r>
        <w:t xml:space="preserve">.</w:t>
      </w:r>
    </w:p>
    <w:bookmarkEnd w:id="179"/>
    <w:bookmarkStart w:id="181" w:name="ref-webster2011personality"/>
    <w:p>
      <w:pPr>
        <w:pStyle w:val="Bibliography"/>
      </w:pPr>
      <w:r>
        <w:t xml:space="preserve">Webster, M.M., and A.J. Ward. 2011. Personality and social context. Biological reviews 86:759–773.</w:t>
      </w:r>
      <w:r>
        <w:t xml:space="preserve"> </w:t>
      </w:r>
      <w:hyperlink r:id="rId180">
        <w:r>
          <w:rPr>
            <w:rStyle w:val="Hyperlink"/>
          </w:rPr>
          <w:t xml:space="preserve">https://doi.org/10.1111/j.1469-185X.2010.00169.x</w:t>
        </w:r>
      </w:hyperlink>
      <w:r>
        <w:t xml:space="preserve">.</w:t>
      </w:r>
    </w:p>
    <w:bookmarkEnd w:id="181"/>
    <w:bookmarkStart w:id="183" w:name="ref-wilkinson2016fair"/>
    <w:p>
      <w:pPr>
        <w:pStyle w:val="Bibliography"/>
      </w:pPr>
      <w:r>
        <w:t xml:space="preserve">Wilkinson, M.D., M. Dumontier, Ij.J. Aalbersberg, G. Appleton, M. Axton, A. Baak, N. Blomberg, J.-W. Boiten, L.B. da Silva Santos, P.E. Bourne, and others. 2016. The FAIR guiding principles for scientific data management and stewardship. Scientific data 3:1–9.</w:t>
      </w:r>
      <w:r>
        <w:t xml:space="preserve"> </w:t>
      </w:r>
      <w:hyperlink r:id="rId182">
        <w:r>
          <w:rPr>
            <w:rStyle w:val="Hyperlink"/>
          </w:rPr>
          <w:t xml:space="preserve">https://doi.org/10.1038/sdata.2016.18</w:t>
        </w:r>
      </w:hyperlink>
      <w:r>
        <w:t xml:space="preserve">.</w:t>
      </w:r>
    </w:p>
    <w:bookmarkEnd w:id="183"/>
    <w:bookmarkStart w:id="185" w:name="ref-Winckler2019"/>
    <w:p>
      <w:pPr>
        <w:pStyle w:val="Bibliography"/>
      </w:pPr>
      <w:r>
        <w:t xml:space="preserve">Winckler, C. 2019. Assessing animal welfare at the farm level: Do we care sufficiently about the individual? Animal Welfare 28:77–82.</w:t>
      </w:r>
      <w:r>
        <w:t xml:space="preserve"> </w:t>
      </w:r>
      <w:hyperlink r:id="rId184">
        <w:r>
          <w:rPr>
            <w:rStyle w:val="Hyperlink"/>
          </w:rPr>
          <w:t xml:space="preserve">https://doi.org/10.7120/09627286.28.1.077</w:t>
        </w:r>
      </w:hyperlink>
      <w:r>
        <w:t xml:space="preserve">.</w:t>
      </w:r>
    </w:p>
    <w:bookmarkEnd w:id="185"/>
    <w:bookmarkEnd w:id="186"/>
    <w:bookmarkEnd w:id="187"/>
    <w:bookmarkEnd w:id="188"/>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7621EB"/>
    <w:rsid w:val="008B5B9D"/>
    <w:rsid w:val="008D2737"/>
    <w:rsid w:val="00906878"/>
    <w:rsid w:val="00A23682"/>
    <w:rsid w:val="00A87D45"/>
    <w:rsid w:val="00BB1731"/>
    <w:rsid w:val="00C95531"/>
    <w:rsid w:val="00D82B74"/>
    <w:rsid w:val="00D82D1C"/>
    <w:rsid w:val="00E1106E"/>
    <w:rsid w:val="00E23478"/>
    <w:rsid w:val="00F01327"/>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A23682"/>
    <w:pPr>
      <w:spacing w:after="80" w:line="480" w:lineRule="auto"/>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A23682"/>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hyperlink" Id="rId29" Target="https://app.codecov.io/gh/skysheng7/moo4feed" TargetMode="External" /><Relationship Type="http://schemas.openxmlformats.org/officeDocument/2006/relationships/hyperlink" Id="rId136" Target="https://doi.org/10.1002/ece3.7603" TargetMode="External" /><Relationship Type="http://schemas.openxmlformats.org/officeDocument/2006/relationships/hyperlink" Id="rId174" Target="https://doi.org/10.1006/jtbi.1998.0759" TargetMode="External" /><Relationship Type="http://schemas.openxmlformats.org/officeDocument/2006/relationships/hyperlink" Id="rId170" Target="https://doi.org/10.1007/978-1-4615-7575-7_2" TargetMode="External" /><Relationship Type="http://schemas.openxmlformats.org/officeDocument/2006/relationships/hyperlink" Id="rId124" Target="https://doi.org/10.1007/BF02291575" TargetMode="External" /><Relationship Type="http://schemas.openxmlformats.org/officeDocument/2006/relationships/hyperlink" Id="rId128" Target="https://doi.org/10.1016/0168-1591(91)90086-D" TargetMode="External" /><Relationship Type="http://schemas.openxmlformats.org/officeDocument/2006/relationships/hyperlink" Id="rId160" Target="https://doi.org/10.1016/0377-0427(87)90125-7" TargetMode="External" /><Relationship Type="http://schemas.openxmlformats.org/officeDocument/2006/relationships/hyperlink" Id="rId132" Target="https://doi.org/10.1016/S0003-3472(05)80640-2"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58" Target="https://doi.org/10.1016/j.applanim.2018.12.012" TargetMode="External" /><Relationship Type="http://schemas.openxmlformats.org/officeDocument/2006/relationships/hyperlink" Id="rId89" Target="https://doi.org/10.1016/j.applanim.2024.106315" TargetMode="External" /><Relationship Type="http://schemas.openxmlformats.org/officeDocument/2006/relationships/hyperlink" Id="rId172" Target="https://doi.org/10.1016/j.prevetmed.2024.106357" TargetMode="External" /><Relationship Type="http://schemas.openxmlformats.org/officeDocument/2006/relationships/hyperlink" Id="rId156" Target="https://doi.org/10.1017/S1751731117001975" TargetMode="External" /><Relationship Type="http://schemas.openxmlformats.org/officeDocument/2006/relationships/hyperlink" Id="rId146" Target="https://doi.org/10.1038/npp.2016.7" TargetMode="External" /><Relationship Type="http://schemas.openxmlformats.org/officeDocument/2006/relationships/hyperlink" Id="rId83" Target="https://doi.org/10.1038/s41598-022-24076-x" TargetMode="External" /><Relationship Type="http://schemas.openxmlformats.org/officeDocument/2006/relationships/hyperlink" Id="rId182" Target="https://doi.org/10.1038/sdata.2016.18" TargetMode="External" /><Relationship Type="http://schemas.openxmlformats.org/officeDocument/2006/relationships/hyperlink" Id="rId140" Target="https://doi.org/10.1098/rsos.191849" TargetMode="External" /><Relationship Type="http://schemas.openxmlformats.org/officeDocument/2006/relationships/hyperlink" Id="rId144" Target="https://doi.org/10.1098/rsos.212019" TargetMode="External" /><Relationship Type="http://schemas.openxmlformats.org/officeDocument/2006/relationships/hyperlink" Id="rId130" Target="https://doi.org/10.1109/AEEICB.2017.7972424" TargetMode="External" /><Relationship Type="http://schemas.openxmlformats.org/officeDocument/2006/relationships/hyperlink" Id="rId126" Target="https://doi.org/10.1109/ICADIWT.2014.6814687" TargetMode="External" /><Relationship Type="http://schemas.openxmlformats.org/officeDocument/2006/relationships/hyperlink" Id="rId77" Target="https://doi.org/10.1111/j.1439-0310.2010.01758.x" TargetMode="External" /><Relationship Type="http://schemas.openxmlformats.org/officeDocument/2006/relationships/hyperlink" Id="rId154" Target="https://doi.org/10.1111/j.1469-185X.2007.00010.x" TargetMode="External" /><Relationship Type="http://schemas.openxmlformats.org/officeDocument/2006/relationships/hyperlink" Id="rId180" Target="https://doi.org/10.1111/j.1469-185X.2010.00169.x" TargetMode="External" /><Relationship Type="http://schemas.openxmlformats.org/officeDocument/2006/relationships/hyperlink" Id="rId112" Target="https://doi.org/10.1111/rssa.12378" TargetMode="External" /><Relationship Type="http://schemas.openxmlformats.org/officeDocument/2006/relationships/hyperlink" Id="rId102" Target="https://doi.org/10.1126/science.133.3447.195" TargetMode="External" /><Relationship Type="http://schemas.openxmlformats.org/officeDocument/2006/relationships/hyperlink" Id="rId81" Target="https://doi.org/10.1186/1745-6150-2-2" TargetMode="External" /><Relationship Type="http://schemas.openxmlformats.org/officeDocument/2006/relationships/hyperlink" Id="rId116" Target="https://doi.org/10.1186/s40462-020-00216-8" TargetMode="External" /><Relationship Type="http://schemas.openxmlformats.org/officeDocument/2006/relationships/hyperlink" Id="rId176" Target="https://doi.org/10.1214/20-BA1221" TargetMode="External" /><Relationship Type="http://schemas.openxmlformats.org/officeDocument/2006/relationships/hyperlink" Id="rId79" Target="https://doi.org/10.18637/jss.v080.i01" TargetMode="External" /><Relationship Type="http://schemas.openxmlformats.org/officeDocument/2006/relationships/hyperlink" Id="rId94" Target="https://doi.org/10.2196/39546" TargetMode="External" /><Relationship Type="http://schemas.openxmlformats.org/officeDocument/2006/relationships/hyperlink" Id="rId11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87" Target="https://doi.org/10.3168/jds.2007-0331" TargetMode="External" /><Relationship Type="http://schemas.openxmlformats.org/officeDocument/2006/relationships/hyperlink" Id="rId178" Target="https://doi.org/10.3168/jds.2007-0532" TargetMode="External" /><Relationship Type="http://schemas.openxmlformats.org/officeDocument/2006/relationships/hyperlink" Id="rId100" Target="https://doi.org/10.3168/jds.2010-3147" TargetMode="External" /><Relationship Type="http://schemas.openxmlformats.org/officeDocument/2006/relationships/hyperlink" Id="rId120" Target="https://doi.org/10.3168/jds.2011-5038" TargetMode="External" /><Relationship Type="http://schemas.openxmlformats.org/officeDocument/2006/relationships/hyperlink" Id="rId122" Target="https://doi.org/10.3168/jds.2013-7434" TargetMode="External" /><Relationship Type="http://schemas.openxmlformats.org/officeDocument/2006/relationships/hyperlink" Id="rId91" Target="https://doi.org/10.3168/jds.2016-12108" TargetMode="External" /><Relationship Type="http://schemas.openxmlformats.org/officeDocument/2006/relationships/hyperlink" Id="rId138" Target="https://doi.org/10.3168/jds.2017-14248" TargetMode="External" /><Relationship Type="http://schemas.openxmlformats.org/officeDocument/2006/relationships/hyperlink" Id="rId98" Target="https://doi.org/10.3168/jds.2019-16426" TargetMode="External" /><Relationship Type="http://schemas.openxmlformats.org/officeDocument/2006/relationships/hyperlink" Id="rId110" Target="https://doi.org/10.3168/jds.2019-16697" TargetMode="External" /><Relationship Type="http://schemas.openxmlformats.org/officeDocument/2006/relationships/hyperlink" Id="rId134" Target="https://doi.org/10.3168/jds.2019-17456" TargetMode="External" /><Relationship Type="http://schemas.openxmlformats.org/officeDocument/2006/relationships/hyperlink" Id="rId10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66" Target="https://doi.org/10.3168/jds.2023-24257" TargetMode="External" /><Relationship Type="http://schemas.openxmlformats.org/officeDocument/2006/relationships/hyperlink" Id="rId164" Target="https://doi.org/10.3168/jds.2023-24514" TargetMode="External" /><Relationship Type="http://schemas.openxmlformats.org/officeDocument/2006/relationships/hyperlink" Id="rId168" Target="https://doi.org/10.3168/jds.2023-24587" TargetMode="External" /><Relationship Type="http://schemas.openxmlformats.org/officeDocument/2006/relationships/hyperlink" Id="rId148" Target="https://doi.org/10.3168/jds.2024-24953" TargetMode="External" /><Relationship Type="http://schemas.openxmlformats.org/officeDocument/2006/relationships/hyperlink" Id="rId162" Target="https://doi.org/10.3168/jds.2025-26552" TargetMode="External" /><Relationship Type="http://schemas.openxmlformats.org/officeDocument/2006/relationships/hyperlink" Id="rId150" Target="https://doi.org/10.3168/jds.S0022-0302(01)74692-9" TargetMode="External" /><Relationship Type="http://schemas.openxmlformats.org/officeDocument/2006/relationships/hyperlink" Id="rId118" Target="https://doi.org/10.3168/jds.S0022-0302(06)72075-6" TargetMode="External" /><Relationship Type="http://schemas.openxmlformats.org/officeDocument/2006/relationships/hyperlink" Id="rId10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75" Target="https://doi.org/10.3389/fgene.2020.00793" TargetMode="External" /><Relationship Type="http://schemas.openxmlformats.org/officeDocument/2006/relationships/hyperlink" Id="rId73" Target="https://doi.org/10.3389/fgene.2020.00923" TargetMode="External" /><Relationship Type="http://schemas.openxmlformats.org/officeDocument/2006/relationships/hyperlink" Id="rId104" Target="https://doi.org/10.3389/fvets.2018.00131" TargetMode="External" /><Relationship Type="http://schemas.openxmlformats.org/officeDocument/2006/relationships/hyperlink" Id="rId85" Target="https://doi.org/10.3389/fvets.2022.827124" TargetMode="External" /><Relationship Type="http://schemas.openxmlformats.org/officeDocument/2006/relationships/hyperlink" Id="rId142" Target="https://doi.org/10.3390/ani11072009"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184" Target="https://doi.org/10.7120/09627286.28.1.077"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52"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9" Target="https://app.codecov.io/gh/skysheng7/moo4feed" TargetMode="External" /><Relationship Type="http://schemas.openxmlformats.org/officeDocument/2006/relationships/hyperlink" Id="rId136" Target="https://doi.org/10.1002/ece3.7603" TargetMode="External" /><Relationship Type="http://schemas.openxmlformats.org/officeDocument/2006/relationships/hyperlink" Id="rId174" Target="https://doi.org/10.1006/jtbi.1998.0759" TargetMode="External" /><Relationship Type="http://schemas.openxmlformats.org/officeDocument/2006/relationships/hyperlink" Id="rId170" Target="https://doi.org/10.1007/978-1-4615-7575-7_2" TargetMode="External" /><Relationship Type="http://schemas.openxmlformats.org/officeDocument/2006/relationships/hyperlink" Id="rId124" Target="https://doi.org/10.1007/BF02291575" TargetMode="External" /><Relationship Type="http://schemas.openxmlformats.org/officeDocument/2006/relationships/hyperlink" Id="rId128" Target="https://doi.org/10.1016/0168-1591(91)90086-D" TargetMode="External" /><Relationship Type="http://schemas.openxmlformats.org/officeDocument/2006/relationships/hyperlink" Id="rId160" Target="https://doi.org/10.1016/0377-0427(87)90125-7" TargetMode="External" /><Relationship Type="http://schemas.openxmlformats.org/officeDocument/2006/relationships/hyperlink" Id="rId132" Target="https://doi.org/10.1016/S0003-3472(05)80640-2"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58" Target="https://doi.org/10.1016/j.applanim.2018.12.012" TargetMode="External" /><Relationship Type="http://schemas.openxmlformats.org/officeDocument/2006/relationships/hyperlink" Id="rId89" Target="https://doi.org/10.1016/j.applanim.2024.106315" TargetMode="External" /><Relationship Type="http://schemas.openxmlformats.org/officeDocument/2006/relationships/hyperlink" Id="rId172" Target="https://doi.org/10.1016/j.prevetmed.2024.106357" TargetMode="External" /><Relationship Type="http://schemas.openxmlformats.org/officeDocument/2006/relationships/hyperlink" Id="rId156" Target="https://doi.org/10.1017/S1751731117001975" TargetMode="External" /><Relationship Type="http://schemas.openxmlformats.org/officeDocument/2006/relationships/hyperlink" Id="rId146" Target="https://doi.org/10.1038/npp.2016.7" TargetMode="External" /><Relationship Type="http://schemas.openxmlformats.org/officeDocument/2006/relationships/hyperlink" Id="rId83" Target="https://doi.org/10.1038/s41598-022-24076-x" TargetMode="External" /><Relationship Type="http://schemas.openxmlformats.org/officeDocument/2006/relationships/hyperlink" Id="rId182" Target="https://doi.org/10.1038/sdata.2016.18" TargetMode="External" /><Relationship Type="http://schemas.openxmlformats.org/officeDocument/2006/relationships/hyperlink" Id="rId140" Target="https://doi.org/10.1098/rsos.191849" TargetMode="External" /><Relationship Type="http://schemas.openxmlformats.org/officeDocument/2006/relationships/hyperlink" Id="rId144" Target="https://doi.org/10.1098/rsos.212019" TargetMode="External" /><Relationship Type="http://schemas.openxmlformats.org/officeDocument/2006/relationships/hyperlink" Id="rId130" Target="https://doi.org/10.1109/AEEICB.2017.7972424" TargetMode="External" /><Relationship Type="http://schemas.openxmlformats.org/officeDocument/2006/relationships/hyperlink" Id="rId126" Target="https://doi.org/10.1109/ICADIWT.2014.6814687" TargetMode="External" /><Relationship Type="http://schemas.openxmlformats.org/officeDocument/2006/relationships/hyperlink" Id="rId77" Target="https://doi.org/10.1111/j.1439-0310.2010.01758.x" TargetMode="External" /><Relationship Type="http://schemas.openxmlformats.org/officeDocument/2006/relationships/hyperlink" Id="rId154" Target="https://doi.org/10.1111/j.1469-185X.2007.00010.x" TargetMode="External" /><Relationship Type="http://schemas.openxmlformats.org/officeDocument/2006/relationships/hyperlink" Id="rId180" Target="https://doi.org/10.1111/j.1469-185X.2010.00169.x" TargetMode="External" /><Relationship Type="http://schemas.openxmlformats.org/officeDocument/2006/relationships/hyperlink" Id="rId112" Target="https://doi.org/10.1111/rssa.12378" TargetMode="External" /><Relationship Type="http://schemas.openxmlformats.org/officeDocument/2006/relationships/hyperlink" Id="rId102" Target="https://doi.org/10.1126/science.133.3447.195" TargetMode="External" /><Relationship Type="http://schemas.openxmlformats.org/officeDocument/2006/relationships/hyperlink" Id="rId81" Target="https://doi.org/10.1186/1745-6150-2-2" TargetMode="External" /><Relationship Type="http://schemas.openxmlformats.org/officeDocument/2006/relationships/hyperlink" Id="rId116" Target="https://doi.org/10.1186/s40462-020-00216-8" TargetMode="External" /><Relationship Type="http://schemas.openxmlformats.org/officeDocument/2006/relationships/hyperlink" Id="rId176" Target="https://doi.org/10.1214/20-BA1221" TargetMode="External" /><Relationship Type="http://schemas.openxmlformats.org/officeDocument/2006/relationships/hyperlink" Id="rId79" Target="https://doi.org/10.18637/jss.v080.i01" TargetMode="External" /><Relationship Type="http://schemas.openxmlformats.org/officeDocument/2006/relationships/hyperlink" Id="rId94" Target="https://doi.org/10.2196/39546" TargetMode="External" /><Relationship Type="http://schemas.openxmlformats.org/officeDocument/2006/relationships/hyperlink" Id="rId11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87" Target="https://doi.org/10.3168/jds.2007-0331" TargetMode="External" /><Relationship Type="http://schemas.openxmlformats.org/officeDocument/2006/relationships/hyperlink" Id="rId178" Target="https://doi.org/10.3168/jds.2007-0532" TargetMode="External" /><Relationship Type="http://schemas.openxmlformats.org/officeDocument/2006/relationships/hyperlink" Id="rId100" Target="https://doi.org/10.3168/jds.2010-3147" TargetMode="External" /><Relationship Type="http://schemas.openxmlformats.org/officeDocument/2006/relationships/hyperlink" Id="rId120" Target="https://doi.org/10.3168/jds.2011-5038" TargetMode="External" /><Relationship Type="http://schemas.openxmlformats.org/officeDocument/2006/relationships/hyperlink" Id="rId122" Target="https://doi.org/10.3168/jds.2013-7434" TargetMode="External" /><Relationship Type="http://schemas.openxmlformats.org/officeDocument/2006/relationships/hyperlink" Id="rId91" Target="https://doi.org/10.3168/jds.2016-12108" TargetMode="External" /><Relationship Type="http://schemas.openxmlformats.org/officeDocument/2006/relationships/hyperlink" Id="rId138" Target="https://doi.org/10.3168/jds.2017-14248" TargetMode="External" /><Relationship Type="http://schemas.openxmlformats.org/officeDocument/2006/relationships/hyperlink" Id="rId98" Target="https://doi.org/10.3168/jds.2019-16426" TargetMode="External" /><Relationship Type="http://schemas.openxmlformats.org/officeDocument/2006/relationships/hyperlink" Id="rId110" Target="https://doi.org/10.3168/jds.2019-16697" TargetMode="External" /><Relationship Type="http://schemas.openxmlformats.org/officeDocument/2006/relationships/hyperlink" Id="rId134" Target="https://doi.org/10.3168/jds.2019-17456" TargetMode="External" /><Relationship Type="http://schemas.openxmlformats.org/officeDocument/2006/relationships/hyperlink" Id="rId10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66" Target="https://doi.org/10.3168/jds.2023-24257" TargetMode="External" /><Relationship Type="http://schemas.openxmlformats.org/officeDocument/2006/relationships/hyperlink" Id="rId164" Target="https://doi.org/10.3168/jds.2023-24514" TargetMode="External" /><Relationship Type="http://schemas.openxmlformats.org/officeDocument/2006/relationships/hyperlink" Id="rId168" Target="https://doi.org/10.3168/jds.2023-24587" TargetMode="External" /><Relationship Type="http://schemas.openxmlformats.org/officeDocument/2006/relationships/hyperlink" Id="rId148" Target="https://doi.org/10.3168/jds.2024-24953" TargetMode="External" /><Relationship Type="http://schemas.openxmlformats.org/officeDocument/2006/relationships/hyperlink" Id="rId162" Target="https://doi.org/10.3168/jds.2025-26552" TargetMode="External" /><Relationship Type="http://schemas.openxmlformats.org/officeDocument/2006/relationships/hyperlink" Id="rId150" Target="https://doi.org/10.3168/jds.S0022-0302(01)74692-9" TargetMode="External" /><Relationship Type="http://schemas.openxmlformats.org/officeDocument/2006/relationships/hyperlink" Id="rId118" Target="https://doi.org/10.3168/jds.S0022-0302(06)72075-6" TargetMode="External" /><Relationship Type="http://schemas.openxmlformats.org/officeDocument/2006/relationships/hyperlink" Id="rId10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75" Target="https://doi.org/10.3389/fgene.2020.00793" TargetMode="External" /><Relationship Type="http://schemas.openxmlformats.org/officeDocument/2006/relationships/hyperlink" Id="rId73" Target="https://doi.org/10.3389/fgene.2020.00923" TargetMode="External" /><Relationship Type="http://schemas.openxmlformats.org/officeDocument/2006/relationships/hyperlink" Id="rId104" Target="https://doi.org/10.3389/fvets.2018.00131" TargetMode="External" /><Relationship Type="http://schemas.openxmlformats.org/officeDocument/2006/relationships/hyperlink" Id="rId85" Target="https://doi.org/10.3389/fvets.2022.827124" TargetMode="External" /><Relationship Type="http://schemas.openxmlformats.org/officeDocument/2006/relationships/hyperlink" Id="rId142" Target="https://doi.org/10.3390/ani11072009"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184" Target="https://doi.org/10.7120/09627286.28.1.077"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52"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behavioral profiles through electronic feeder and drinker data</dc:title>
  <dc:creator>Kehan Sheng1, Borbala Foris1,2, Daniel M. Weary1, Marina A.G. von Keyserlingk1</dc:creator>
  <cp:keywords/>
  <dcterms:created xsi:type="dcterms:W3CDTF">2026-08-26T01:14:30Z</dcterms:created>
  <dcterms:modified xsi:type="dcterms:W3CDTF">2026-08-26T01:14:30Z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https://www.zotero.org/styles/journal-of-dairy-science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