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behavioural profiles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behavioural profiles within social groups, without isolating animals for individual testing, reducing time and labour costs. Using 107 lactating Holstein dairy cows tracked over 207 days, we extracted 16 behavioural variables from electronic feed bin and water trough data, capturing conventional metrics (feeding and drinking intake, duration and meal frequency) alongside exploratory behaviour (non-nutritive visits), social competition (agonistic replacement events), and indicators of feed quality upon access (e.g., proportion of fresh feed remaining upon arrival). Bayesian mixed-effects models quantified repeatability (between-individual variation in average behavioural expression) and predictability (between-individual variation in within-individual consistency). Variables capturing exploratory behaviour, social competition, and drinking duration showed the greatest and most consistent among-individual variation, while daily feed intake was among the least discriminating, suggesting individuals converge to similar intakes through different strategies. To identify behavioural profiles, we applied principal component analysis with varimax rotation to the eight most repeatable and individually variable behavioural measures, then used k-means clustering on the same variables. This yielded four distinct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behavioural profiles that would be largely invisible when using generic group-level analyses. This framework may help future research in identifying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behavioural variables from raw electronic feeder and drinker data.</w:t>
      </w:r>
    </w:p>
    <w:p>
      <w:pPr>
        <w:pStyle w:val="BodyText"/>
      </w:pPr>
      <w:r>
        <w:rPr>
          <w:b/>
          <w:bCs/>
        </w:rPr>
        <w:t xml:space="preserve">Keywords:</w:t>
      </w:r>
      <w:r>
        <w:t xml:space="preserve"> </w:t>
      </w:r>
      <w:r>
        <w:t xml:space="preserve">repeatability, reproducibility, precision livestock farming, behavioural monitoring, animal personality</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hyperlink w:anchor="ref-schwanke2025graduate">
        <w:r>
          <w:rPr>
            <w:rStyle w:val="Hyperlink"/>
          </w:rPr>
          <w:t xml:space="preserve">Schwanke and DeVries, 2025</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behaviour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behaviour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behaviour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behaviour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chwanke2025graduate">
        <w:r>
          <w:rPr>
            <w:rStyle w:val="Hyperlink"/>
          </w:rPr>
          <w:t xml:space="preserve">Schwanke and DeVries, 2025</w:t>
        </w:r>
      </w:hyperlink>
      <w:r>
        <w:t xml:space="preserve">;</w:t>
      </w:r>
      <w:r>
        <w:t xml:space="preserve"> </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(e.g., 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behavioural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longitudinal data streams from animal data loggers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behavioural type (an individual’s average expression of a behaviour),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behavioural summaries cannot.</w:t>
      </w:r>
    </w:p>
    <w:p>
      <w:pPr>
        <w:pStyle w:val="BodyText"/>
      </w:pPr>
      <w:r>
        <w:t xml:space="preserve">To date, however, no comprehensive and accessible framework exists for extracting these higher-resolution behavioural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behavioural consistency and among-individual differences in dairy cattle feeding and social behaviours captured from an electronic feeding system; we used repeatability and predictability to identify which behaviours are most informative for characterizing individual differences. A secondary aim was to identify distinct behavioural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behavioural variables.</w:t>
      </w:r>
    </w:p>
    <w:bookmarkEnd w:id="21"/>
    <w:bookmarkStart w:id="33" w:name="methods"/>
    <w:p>
      <w:pPr>
        <w:pStyle w:val="Heading1"/>
      </w:pPr>
      <w:r>
        <w:t xml:space="preserve">2. Methods</w:t>
      </w:r>
    </w:p>
    <w:bookmarkStart w:id="22" w:name="animals-housing-and-data-collection"/>
    <w:p>
      <w:pPr>
        <w:pStyle w:val="Heading2"/>
      </w:pPr>
      <w:r>
        <w:t xml:space="preserve">2.1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2.2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ural-variable-extraction"/>
    <w:p>
      <w:pPr>
        <w:pStyle w:val="Heading2"/>
      </w:pPr>
      <w:r>
        <w:t xml:space="preserve">2.3 Behavioural Variable Extraction</w:t>
      </w:r>
    </w:p>
    <w:p>
      <w:pPr>
        <w:pStyle w:val="FirstParagraph"/>
      </w:pPr>
      <w:r>
        <w:t xml:space="preserve">To process the raw feeding and drinking data and extract meaningful behavioural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For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2.2).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behavioural variables were calculated per cow: (i) total daily feed intake (kg), (ii) total daily feeding duration (s), (iii) total feeding visits, (iv) total daily water intake (L), (v) total daily drinking duration (s), and (vi)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behaviour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behavioural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behavioural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behavioural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behaviours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behaviour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Behavioural variable clustering.</w:t>
      </w:r>
      <w:r>
        <w:t xml:space="preserve"> </w:t>
      </w:r>
      <w:r>
        <w:t xml:space="preserve">To organize the 16 behavioural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had low predictability values, thus measures of predictability were not used in behavioural variable clustering. The number of clusters (k = 3) was determined by researcher judgment based on visual inspection of the CVi and R distributions.</w:t>
      </w:r>
    </w:p>
    <w:p>
      <w:pPr>
        <w:pStyle w:val="BodyText"/>
      </w:pPr>
      <w:r>
        <w:rPr>
          <w:b/>
          <w:bCs/>
        </w:rPr>
        <w:t xml:space="preserve">Individual-level behavioural profiles.</w:t>
      </w:r>
      <w:r>
        <w:t xml:space="preserve"> </w:t>
      </w:r>
      <w:r>
        <w:t xml:space="preserve">For each cow and each behavioural variable in Cluster 1, we extracted the individual intercept from the posterior distribution: the population intercept plus each cow’s random effect (back-transformed to the original scale for lognormal models). This represents a cow’s average behavioural type (i.e., a cow’s typical expression of their behaviour).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behavioural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behavioural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behavioural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the principal components.</w:t>
      </w:r>
    </w:p>
    <w:bookmarkEnd w:id="25"/>
    <w:bookmarkStart w:id="32" w:name="X12f7218f56bb14132dd246c9b94261230bb4ed3"/>
    <w:p>
      <w:pPr>
        <w:pStyle w:val="Heading2"/>
      </w:pPr>
      <w:r>
        <w:t xml:space="preserve">2.5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behavioural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behavioural variables described in Section 2.3 and conducted all statistical analyses described in Section 2.4.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3.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behavioural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behavioural variables. Values are posterior means with 95% credible intervals in brackets. Cell color encodes the posterior mean within each metric (darker = higher). Rows are grouped by behavioural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behaviour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behaviours in this study among all variables we evaluated.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behavioural variables. (A) Repeatability (R) vs coefficient of individual variation (CVi). (B) Coefficient of variation of predictability (CVP) vs CVi. Each point is a behavioural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behaviours at a similar level of behavioural consistency within themselves across different days, and cows differed little from one another in how predictable they were. The corresponding rIIV values indicate that the least-predictable cows showed only about 1.2 times more variable than most-predictable cows for these behaviours.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behavioural consistency: some cows were more consistent than others in these behaviours,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ural-variables"/>
    <w:p>
      <w:pPr>
        <w:pStyle w:val="Heading2"/>
      </w:pPr>
      <w:r>
        <w:t xml:space="preserve">3.3 Classifying Behavioural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Behaviour Cluster 1 — high R, high CVi</w:t>
      </w:r>
      <w:r>
        <w:t xml:space="preserve"> </w:t>
      </w:r>
      <w:r>
        <w:t xml:space="preserve">contained 8 variables: total non-nutritive feed visits, total actor events, median non-nutritive visits per meal, total drinking duration, total reactor events, median visits per meal, total feeding visits, total drinking visits. Variables in this cluster differentiated cows from one another based on their average behavioural expression, and these differences remained stable over time. These variables are the most useful for characterising individual behavioural profiles.</w:t>
      </w:r>
    </w:p>
    <w:p>
      <w:pPr>
        <w:pStyle w:val="BodyText"/>
      </w:pPr>
      <w:r>
        <w:rPr>
          <w:b/>
          <w:bCs/>
        </w:rPr>
        <w:t xml:space="preserve">Behaviour Cluster 2 — high R, low CVi</w:t>
      </w:r>
      <w:r>
        <w:t xml:space="preserve"> </w:t>
      </w:r>
      <w:r>
        <w:t xml:space="preserve">contained 3 variables: total feeding duration, total water intake, median percentage of meal time spent feeding. Individual differences were again consistent over time, but the spread of individual differences across the herd was narrow relative to the herd mean.</w:t>
      </w:r>
    </w:p>
    <w:p>
      <w:pPr>
        <w:pStyle w:val="BodyText"/>
      </w:pPr>
      <w:r>
        <w:rPr>
          <w:b/>
          <w:bCs/>
        </w:rPr>
        <w:t xml:space="preserve">Behaviour Cluster 3 — low R, low CVi</w:t>
      </w:r>
      <w:r>
        <w:t xml:space="preserve"> </w:t>
      </w:r>
      <w:r>
        <w:t xml:space="preserve">contained 5 variables: median meal duration, median feed intake per meal, total meals per day, median proportion of feed remaining at visit start, total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behavioural tendencies.</w:t>
      </w:r>
    </w:p>
    <w:bookmarkEnd w:id="41"/>
    <w:bookmarkStart w:id="48" w:name="identifying-cow-types-via-pca"/>
    <w:p>
      <w:pPr>
        <w:pStyle w:val="Heading2"/>
      </w:pPr>
      <w:r>
        <w:t xml:space="preserve">3.4 Identifying Cow Types via PCA</w:t>
      </w:r>
    </w:p>
    <w:p>
      <w:pPr>
        <w:pStyle w:val="FirstParagraph"/>
      </w:pPr>
      <w:r>
        <w:t xml:space="preserve">We applied PCA with varimax rotation to the intercepts (average individual cow’s behavioural expression) of the 8 behavioural variables in Cluster 1. Three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behaviour and feeding patterns. RC2 explained 21.3% of variance and was most strongly associated with drinking patterns. RC3 captured the remaining variance, primarily related to agonistic behaviour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Behaviour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6"/>
        </w:tc>
      </w:tr>
    </w:tbl>
    <w:bookmarkEnd w:id="47"/>
    <w:p>
      <w:pPr>
        <w:pStyle w:val="BodyText"/>
      </w:pPr>
    </w:p>
    <w:p>
      <w:pPr>
        <w:pStyle w:val="BodyText"/>
      </w:pPr>
      <w:r>
        <w:t xml:space="preserve">The 4 retained clusters (</w:t>
      </w:r>
      <w:hyperlink w:anchor="fig-pca-biplots">
        <w:r>
          <w:rPr>
            <w:rStyle w:val="Hyperlink"/>
          </w:rPr>
          <w:t xml:space="preserve">Figure 2</w:t>
        </w:r>
      </w:hyperlink>
      <w:r>
        <w:t xml:space="preserve">) correspond to distinct behavioural profiles that can be characterized as follows:</w:t>
      </w: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behavioural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behaviours, and meal patterns are otherwise unremarkable. These cows likely benefit from preferential access to feed bins.</w:t>
      </w:r>
    </w:p>
    <w:bookmarkEnd w:id="48"/>
    <w:bookmarkStart w:id="49" w:name="individual-cow-stories"/>
    <w:p>
      <w:pPr>
        <w:pStyle w:val="Heading2"/>
      </w:pPr>
      <w:r>
        <w:t xml:space="preserve">3.5 Individual Cow Stories</w:t>
      </w:r>
    </w:p>
    <w:p>
      <w:pPr>
        <w:pStyle w:val="FirstParagraph"/>
      </w:pPr>
      <w:r>
        <w:t xml:space="preserve">We selected one cow from each of the 4 clusters and describe their individual profiles through their average behavioural expression compared to the herd. All behavioural values reported below are posterior means of each cow’s behavioural type (i.e., her individual intercept from the mixed models in Section 3.1),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behaviour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behaviour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behaviour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manages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behaviour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56" w:name="discussion"/>
    <w:p>
      <w:pPr>
        <w:pStyle w:val="Heading1"/>
      </w:pPr>
      <w:r>
        <w:t xml:space="preserve">4. Discussion</w:t>
      </w:r>
    </w:p>
    <w:p>
      <w:pPr>
        <w:pStyle w:val="FirstParagraph"/>
      </w:pPr>
      <w:r>
        <w:t xml:space="preserve">This study demonstrates that existing data streams from electronic feeders and drinkers contain far richer behavioural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behavioural variables that go beyond basic daily intake and visit counts. Using 16 variables spanning feeding, drinking, meal patterns, non-nutritive behaviour, and social competition, we quantified repeatability and predictability for each variable, identified behaviours most informative for individual profiling, and used those behaviours to characterize four distinct cow types within the herd.</w:t>
      </w:r>
    </w:p>
    <w:bookmarkStart w:id="51"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proportion of feed remaining at visit start) to 0.74 (total drinking duration), with most variables falling between 0.38 and 0.64. This places the majority of our behavioural variables above the cross-species average, indicating that the behaviours captured from electronic feeders and drinkers likely reflect stable individual differences.</w:t>
      </w:r>
    </w:p>
    <w:p>
      <w:pPr>
        <w:pStyle w:val="BodyText"/>
      </w:pPr>
      <w:r>
        <w:t xml:space="preserve">Two methodological points are worth noting when comparing our results to prior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(water drinking duration: 0.74; daily feeding visits: 0.68; non-nutritive visits: 0.64) capture behaviours that have never been assessed for repeatability before, and have no published comparison. Even our lowest R value (median proportion of feed remaining at visit start: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behaviours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behavioural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prior work: by removing days disrupted by illness, lameness, estrus, and regrouping, we restricted our analyses to a stable behavioural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1"/>
    <w:bookmarkStart w:id="52" w:name="Xcf6d434faa0176b9ddbe0057f7d2f8999a28949"/>
    <w:p>
      <w:pPr>
        <w:pStyle w:val="Heading2"/>
      </w:pPr>
      <w:r>
        <w:t xml:space="preserve">4.2 Novel behavioural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behaviour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behaviours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Actor events (CVi = 0.47 [0.40, 0.54]) and reactor events (CVi = 0.38 [0.32, 0.43]) also showed high among-individual variation. In contrast, daily feed intake (CVi = 0.10 [0.08, 0.11]) showed the smallest relative variation. The finding that cows are nearly indistinguishable from one another in daily feed intake, despite exhibiting different feeding profiles, suggests compensatory feeding: cows converge to similar intakes through different behavioural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2"/>
    <w:bookmarkStart w:id="53" w:name="behavioural-profiles-and-cow-types"/>
    <w:p>
      <w:pPr>
        <w:pStyle w:val="Heading2"/>
      </w:pPr>
      <w:r>
        <w:t xml:space="preserve">4.3 Behavioural profiles and cow types</w:t>
      </w:r>
    </w:p>
    <w:p>
      <w:pPr>
        <w:pStyle w:val="FirstParagraph"/>
      </w:pPr>
      <w:r>
        <w:t xml:space="preserve">By applying PCA with varimax rotation to the variables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However, the patterns we observed are consistent with the personality framework as behavioural differences were not explained purely by the fixed effects in our models. These sensor-derived behavioural profiles appear to reflect some personality-like traits.</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behaviour.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behaviour is not primarily driven by hydration needs. Cow 7150, whose case we highlighted in detail, showed long drinking durations and frequent drinker visits during a period when THI remained consistently below 68, ruling out heat load as an explanation.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3"/>
    <w:bookmarkStart w:id="54"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prior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4"/>
    <w:bookmarkStart w:id="55"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behavioural extraction pipeline and the analytical framework generalize beyond dairy cattle. The package was designed with flexibility in mind, and testing its applicability across diverse farm settings would strengthen its utility as a general tool for behavioural phenotyping.</w:t>
      </w:r>
    </w:p>
    <w:p>
      <w:pPr>
        <w:pStyle w:val="BodyText"/>
      </w:pPr>
      <w:r>
        <w:t xml:space="preserve">Second, future research should go deeper into the temporal and spatial dimensions of feeding behaviour. Our analyses characterized what cows do on average across the day, but not when or where they choose to compete.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behavioural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behaviours over time, and especially changes in a cow’s predictability (a highly consistent cow suddenly showing large variation in her behaviour), could serve as early indicators of disease or distress. The personality-dependent sickness behaviour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behaviour in opposite directions when sick, suggests that the four cow types identified here may respond to illness differently. Prospective validation of whether individual behavioural profiles predict the nature, direction, and timing of health-related behavioural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5"/>
    <w:bookmarkEnd w:id="56"/>
    <w:bookmarkStart w:id="57"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behavioural profiles. Using dairy cows as an example, we demonstrate that animals living in the same environment differ consistently and substantially from one another across feeding, drinking, and social behaviours. Variables capturing exploratory behaviour, social competition at the feed bunk, and drinking duration showed the greatest and most consistent among-individual variation. Daily feed intake was among the least discriminating, suggesting that individuals in the observed group converged to similar daily intakes through different strategies. Using behaviours showing consistent among-individual differences, we identified four distinct behavioural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behavioural profiling as a practical foundation for disease and distress monitoring in farm animals and beyond.</w:t>
      </w:r>
    </w:p>
    <w:bookmarkEnd w:id="57"/>
    <w:bookmarkStart w:id="58"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8"/>
    <w:bookmarkStart w:id="59"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59"/>
    <w:bookmarkStart w:id="60"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0"/>
    <w:bookmarkStart w:id="131"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30" w:name="references"/>
    <w:p>
      <w:pPr>
        <w:pStyle w:val="Heading2"/>
      </w:pPr>
      <w:r>
        <w:t xml:space="preserve">References</w:t>
      </w:r>
    </w:p>
    <w:bookmarkStart w:id="129" w:name="refs"/>
    <w:bookmarkStart w:id="62"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1">
        <w:r>
          <w:rPr>
            <w:rStyle w:val="Hyperlink"/>
          </w:rPr>
          <w:t xml:space="preserve">https://doi.org/10.2527/jas.2017.1593</w:t>
        </w:r>
      </w:hyperlink>
    </w:p>
    <w:bookmarkEnd w:id="62"/>
    <w:bookmarkStart w:id="64" w:name="ref-Bell2009"/>
    <w:p>
      <w:pPr>
        <w:pStyle w:val="Bibliography"/>
      </w:pPr>
      <w:r>
        <w:t xml:space="preserve">Bell, A.M., Hankison, S.J., Laskowski, K.L., 2009. The repeatability of behaviour: A meta-analysis. Animal Behaviour 77, 771–783.</w:t>
      </w:r>
      <w:r>
        <w:t xml:space="preserve"> </w:t>
      </w:r>
      <w:hyperlink r:id="rId63">
        <w:r>
          <w:rPr>
            <w:rStyle w:val="Hyperlink"/>
          </w:rPr>
          <w:t xml:space="preserve">https://doi.org/10.1016/j.anbehav.2008.12.022</w:t>
        </w:r>
      </w:hyperlink>
    </w:p>
    <w:bookmarkEnd w:id="64"/>
    <w:bookmarkStart w:id="65" w:name="ref-biro2012"/>
    <w:p>
      <w:pPr>
        <w:pStyle w:val="Bibliography"/>
      </w:pPr>
      <w:r>
        <w:t xml:space="preserve">Biro, P.A., 2012. Do rapid assays predict repeatability in labile (behavioural) traits? Animal Behaviour 83, 1295–1300.</w:t>
      </w:r>
    </w:p>
    <w:bookmarkEnd w:id="65"/>
    <w:bookmarkStart w:id="67"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6">
        <w:r>
          <w:rPr>
            <w:rStyle w:val="Hyperlink"/>
          </w:rPr>
          <w:t xml:space="preserve">https://doi.org/10.3168/jdsc.2021-0184</w:t>
        </w:r>
      </w:hyperlink>
    </w:p>
    <w:bookmarkEnd w:id="67"/>
    <w:bookmarkStart w:id="69"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68">
        <w:r>
          <w:rPr>
            <w:rStyle w:val="Hyperlink"/>
          </w:rPr>
          <w:t xml:space="preserve">https://doi.org/10.3168/jds.2022-23176</w:t>
        </w:r>
      </w:hyperlink>
    </w:p>
    <w:bookmarkEnd w:id="69"/>
    <w:bookmarkStart w:id="70" w:name="ref-budaev2010using"/>
    <w:p>
      <w:pPr>
        <w:pStyle w:val="Bibliography"/>
      </w:pPr>
      <w:r>
        <w:t xml:space="preserve">Budaev, S.V., 2010. Using principal components and factor analysis in animal behaviour research: Caveats and guidelines. Ethology 116, 472–480.</w:t>
      </w:r>
    </w:p>
    <w:bookmarkEnd w:id="70"/>
    <w:bookmarkStart w:id="71" w:name="ref-burkner2017brms"/>
    <w:p>
      <w:pPr>
        <w:pStyle w:val="Bibliography"/>
      </w:pPr>
      <w:r>
        <w:t xml:space="preserve">Bürkner, P.-C., 2017. Brms: An r package for bayesian multilevel models using stan. Journal of statistical software 80, 1–28.</w:t>
      </w:r>
    </w:p>
    <w:bookmarkEnd w:id="71"/>
    <w:bookmarkStart w:id="73"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2">
        <w:r>
          <w:rPr>
            <w:rStyle w:val="Hyperlink"/>
          </w:rPr>
          <w:t xml:space="preserve">https://doi.org/10.1186/1745-6150-2-2</w:t>
        </w:r>
      </w:hyperlink>
    </w:p>
    <w:bookmarkEnd w:id="73"/>
    <w:bookmarkStart w:id="74"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74"/>
    <w:bookmarkStart w:id="75"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75"/>
    <w:bookmarkStart w:id="76"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76"/>
    <w:bookmarkStart w:id="78"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77">
        <w:r>
          <w:rPr>
            <w:rStyle w:val="Hyperlink"/>
          </w:rPr>
          <w:t xml:space="preserve">https://doi.org/10.1016/j.applanim.2024.106315</w:t>
        </w:r>
      </w:hyperlink>
    </w:p>
    <w:bookmarkEnd w:id="78"/>
    <w:bookmarkStart w:id="79" w:name="ref-dawkins2021"/>
    <w:p>
      <w:pPr>
        <w:pStyle w:val="Bibliography"/>
      </w:pPr>
      <w:r>
        <w:t xml:space="preserve">Dawkins, M.S., 2021. The science of animal welfare: Understanding what animals want. Oxford University Press.</w:t>
      </w:r>
    </w:p>
    <w:bookmarkEnd w:id="79"/>
    <w:bookmarkStart w:id="81"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80">
        <w:r>
          <w:rPr>
            <w:rStyle w:val="Hyperlink"/>
          </w:rPr>
          <w:t xml:space="preserve">https://doi.org/10.3168/JDS.S0022-0302(03)74020-X</w:t>
        </w:r>
      </w:hyperlink>
    </w:p>
    <w:bookmarkEnd w:id="81"/>
    <w:bookmarkStart w:id="82"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82"/>
    <w:bookmarkStart w:id="84"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83">
        <w:r>
          <w:rPr>
            <w:rStyle w:val="Hyperlink"/>
          </w:rPr>
          <w:t xml:space="preserve">https://doi.org/10.3168/jds.2010-3147</w:t>
        </w:r>
      </w:hyperlink>
    </w:p>
    <w:bookmarkEnd w:id="84"/>
    <w:bookmarkStart w:id="85" w:name="ref-finkemeier2018"/>
    <w:p>
      <w:pPr>
        <w:pStyle w:val="Bibliography"/>
      </w:pPr>
      <w:r>
        <w:t xml:space="preserve">Finkemeier, M.-A., Langbein, J., Puppe, B., 2018. Personality research in mammalian farm animals: Concepts, measures, and relationship to welfare. Frontiers in veterinary science 5, 131.</w:t>
      </w:r>
    </w:p>
    <w:bookmarkEnd w:id="85"/>
    <w:bookmarkStart w:id="86" w:name="ref-flower2006effect"/>
    <w:p>
      <w:pPr>
        <w:pStyle w:val="Bibliography"/>
      </w:pPr>
      <w:r>
        <w:t xml:space="preserve">Flower, F., Weary, D., 2006. Effect of hoof pathologies on subjective assessments of dairy cow gait. Journal of dairy science 89, 139–146.</w:t>
      </w:r>
    </w:p>
    <w:bookmarkEnd w:id="86"/>
    <w:bookmarkStart w:id="88" w:name="ref-Foris2021"/>
    <w:p>
      <w:pPr>
        <w:pStyle w:val="Bibliography"/>
      </w:pPr>
      <w:r>
        <w:t xml:space="preserve">Foris, B., Haas, H.G., Langbein, J., Melzer, N., 2021. Familiarity influences social networks in dairy cows after regrouping. Journal of Dairy Science 104, 3485–3494.</w:t>
      </w:r>
      <w:r>
        <w:t xml:space="preserve"> </w:t>
      </w:r>
      <w:hyperlink r:id="rId87">
        <w:r>
          <w:rPr>
            <w:rStyle w:val="Hyperlink"/>
          </w:rPr>
          <w:t xml:space="preserve">https://doi.org/10.3168/jds.2020-18896</w:t>
        </w:r>
      </w:hyperlink>
    </w:p>
    <w:bookmarkEnd w:id="88"/>
    <w:bookmarkStart w:id="89"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89"/>
    <w:bookmarkStart w:id="91"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90">
        <w:r>
          <w:rPr>
            <w:rStyle w:val="Hyperlink"/>
          </w:rPr>
          <w:t xml:space="preserve">https://doi.org/10.1111/rssa.12378</w:t>
        </w:r>
      </w:hyperlink>
    </w:p>
    <w:bookmarkEnd w:id="91"/>
    <w:bookmarkStart w:id="93"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92">
        <w:r>
          <w:rPr>
            <w:rStyle w:val="Hyperlink"/>
          </w:rPr>
          <w:t xml:space="preserve">https://doi.org/10.2527/1995.7392791x</w:t>
        </w:r>
      </w:hyperlink>
    </w:p>
    <w:bookmarkEnd w:id="93"/>
    <w:bookmarkStart w:id="94" w:name="ref-hertel2020"/>
    <w:p>
      <w:pPr>
        <w:pStyle w:val="Bibliography"/>
      </w:pPr>
      <w:r>
        <w:t xml:space="preserve">Hertel, A.G., Niemelä, P.T., Dingemanse, N.J., Mueller, T., 2020. A guide for studying among-individual behavioral variation from movement data in the wild. Movement ecology 8, 30.</w:t>
      </w:r>
    </w:p>
    <w:bookmarkEnd w:id="94"/>
    <w:bookmarkStart w:id="96"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95">
        <w:r>
          <w:rPr>
            <w:rStyle w:val="Hyperlink"/>
          </w:rPr>
          <w:t xml:space="preserve">https://doi.org/10.3168/jds.2011-5038</w:t>
        </w:r>
      </w:hyperlink>
    </w:p>
    <w:bookmarkEnd w:id="96"/>
    <w:bookmarkStart w:id="97" w:name="ref-huzzey2014automatic"/>
    <w:p>
      <w:pPr>
        <w:pStyle w:val="Bibliography"/>
      </w:pPr>
      <w:r>
        <w:t xml:space="preserve">Huzzey, J., Weary, D., Tiau, B., Von Keyserlingk, M., 2014. Automatic detection of social competition using an electronic feeding system. Journal of dairy science 97, 2953–2958.</w:t>
      </w:r>
    </w:p>
    <w:bookmarkEnd w:id="97"/>
    <w:bookmarkStart w:id="98"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98"/>
    <w:bookmarkStart w:id="100"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99">
        <w:r>
          <w:rPr>
            <w:rStyle w:val="Hyperlink"/>
          </w:rPr>
          <w:t xml:space="preserve">https://doi.org/10.1016/0168-1591(91)90086-D</w:t>
        </w:r>
      </w:hyperlink>
    </w:p>
    <w:bookmarkEnd w:id="100"/>
    <w:bookmarkStart w:id="101"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01"/>
    <w:bookmarkStart w:id="103"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02">
        <w:r>
          <w:rPr>
            <w:rStyle w:val="Hyperlink"/>
          </w:rPr>
          <w:t xml:space="preserve">https://doi.org/10.1002/ece3.7603</w:t>
        </w:r>
      </w:hyperlink>
    </w:p>
    <w:bookmarkEnd w:id="103"/>
    <w:bookmarkStart w:id="105"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04">
        <w:r>
          <w:rPr>
            <w:rStyle w:val="Hyperlink"/>
          </w:rPr>
          <w:t xml:space="preserve">https://doi.org/10.3168/jds.2017-14248</w:t>
        </w:r>
      </w:hyperlink>
    </w:p>
    <w:bookmarkEnd w:id="105"/>
    <w:bookmarkStart w:id="106"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06"/>
    <w:bookmarkStart w:id="108"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07">
        <w:r>
          <w:rPr>
            <w:rStyle w:val="Hyperlink"/>
          </w:rPr>
          <w:t xml:space="preserve">https://doi.org/10.3168/jds.S0022-0302(01)74692-9</w:t>
        </w:r>
      </w:hyperlink>
    </w:p>
    <w:bookmarkEnd w:id="108"/>
    <w:bookmarkStart w:id="110" w:name="ref-R-base"/>
    <w:p>
      <w:pPr>
        <w:pStyle w:val="Bibliography"/>
      </w:pPr>
      <w:r>
        <w:t xml:space="preserve">R Core Team, 2025.</w:t>
      </w:r>
      <w:r>
        <w:t xml:space="preserve"> </w:t>
      </w:r>
      <w:hyperlink r:id="rId109">
        <w:r>
          <w:rPr>
            <w:rStyle w:val="Hyperlink"/>
          </w:rPr>
          <w:t xml:space="preserve">R: A language and environment for statistical computing</w:t>
        </w:r>
      </w:hyperlink>
      <w:r>
        <w:t xml:space="preserve">. R Foundation for Statistical Computing, Vienna, Austria.</w:t>
      </w:r>
    </w:p>
    <w:bookmarkEnd w:id="110"/>
    <w:bookmarkStart w:id="111" w:name="ref-reale2007"/>
    <w:p>
      <w:pPr>
        <w:pStyle w:val="Bibliography"/>
      </w:pPr>
      <w:r>
        <w:t xml:space="preserve">Réale, D., Reader, S.M., Sol, D., McDougall, P.T., Dingemanse, N.J., 2007. Integrating animal temperament within ecology and evolution. Biological reviews 82, 291–318.</w:t>
      </w:r>
    </w:p>
    <w:bookmarkEnd w:id="111"/>
    <w:bookmarkStart w:id="113"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12">
        <w:r>
          <w:rPr>
            <w:rStyle w:val="Hyperlink"/>
          </w:rPr>
          <w:t xml:space="preserve">https://doi.org/10.1016/j.applanim.2018.12.012</w:t>
        </w:r>
      </w:hyperlink>
    </w:p>
    <w:bookmarkEnd w:id="113"/>
    <w:bookmarkStart w:id="115"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14">
        <w:r>
          <w:rPr>
            <w:rStyle w:val="Hyperlink"/>
          </w:rPr>
          <w:t xml:space="preserve">https://doi.org/10.1016/0377-0427(87)90125-7</w:t>
        </w:r>
      </w:hyperlink>
    </w:p>
    <w:bookmarkEnd w:id="115"/>
    <w:bookmarkStart w:id="117" w:name="ref-schwanke2025graduate"/>
    <w:p>
      <w:pPr>
        <w:pStyle w:val="Bibliography"/>
      </w:pPr>
      <w:r>
        <w:t xml:space="preserve">Schwanke, A., DeVries, T., 2025. Graduate student literature review: Temperament, personality, and coping style in dairy cattle—understanding individual variation in response to challenges and management strategies. Journal of Dairy Science.</w:t>
      </w:r>
      <w:r>
        <w:t xml:space="preserve"> </w:t>
      </w:r>
      <w:hyperlink r:id="rId116">
        <w:r>
          <w:rPr>
            <w:rStyle w:val="Hyperlink"/>
          </w:rPr>
          <w:t xml:space="preserve">https://doi.org/10.3168/jds.2025-26552</w:t>
        </w:r>
      </w:hyperlink>
    </w:p>
    <w:bookmarkEnd w:id="117"/>
    <w:bookmarkStart w:id="118"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p>
    <w:bookmarkEnd w:id="118"/>
    <w:bookmarkStart w:id="119"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p>
    <w:bookmarkEnd w:id="119"/>
    <w:bookmarkStart w:id="120"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20"/>
    <w:bookmarkStart w:id="122"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21">
        <w:r>
          <w:rPr>
            <w:rStyle w:val="Hyperlink"/>
          </w:rPr>
          <w:t xml:space="preserve">https://doi.org/10.1007/978-1-4615-7575-7_2</w:t>
        </w:r>
      </w:hyperlink>
    </w:p>
    <w:bookmarkEnd w:id="122"/>
    <w:bookmarkStart w:id="123"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23"/>
    <w:bookmarkStart w:id="124" w:name="ref-tolkamp1998satiety"/>
    <w:p>
      <w:pPr>
        <w:pStyle w:val="Bibliography"/>
      </w:pPr>
      <w:r>
        <w:t xml:space="preserve">Tolkamp, B., Allcroft, D., Austin, E., Nielsen, B.L., Kyriazakis, I., 1998. Satiety splits feeding behaviour into bouts. Journal of Theoretical Biology 194, 235–250.</w:t>
      </w:r>
    </w:p>
    <w:bookmarkEnd w:id="124"/>
    <w:bookmarkStart w:id="126"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25">
        <w:r>
          <w:rPr>
            <w:rStyle w:val="Hyperlink"/>
          </w:rPr>
          <w:t xml:space="preserve">https://doi.org/10.1214/20-BA1221</w:t>
        </w:r>
      </w:hyperlink>
    </w:p>
    <w:bookmarkEnd w:id="126"/>
    <w:bookmarkStart w:id="128" w:name="ref-webster2011personality"/>
    <w:p>
      <w:pPr>
        <w:pStyle w:val="Bibliography"/>
      </w:pPr>
      <w:r>
        <w:t xml:space="preserve">Webster, M.M., Ward, A.J., 2011. Personality and social context. Biological reviews 86, 759–773.</w:t>
      </w:r>
      <w:r>
        <w:t xml:space="preserve"> </w:t>
      </w:r>
      <w:hyperlink r:id="rId127">
        <w:r>
          <w:rPr>
            <w:rStyle w:val="Hyperlink"/>
          </w:rPr>
          <w:t xml:space="preserve">https://doi.org/10.1111/j.1469-185X.2010.00169.x</w:t>
        </w:r>
      </w:hyperlink>
    </w:p>
    <w:bookmarkEnd w:id="128"/>
    <w:bookmarkEnd w:id="129"/>
    <w:bookmarkEnd w:id="130"/>
    <w:bookmarkEnd w:id="131"/>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8B5B9D"/>
    <w:rsid w:val="00BB1731"/>
    <w:rsid w:val="00C95531"/>
    <w:rsid w:val="00D82B74"/>
    <w:rsid w:val="00D82D1C"/>
    <w:rsid w:val="00E1106E"/>
    <w:rsid w:val="00E23478"/>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21"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7"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5"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16" Target="https://doi.org/10.3168/jds.2025-26552"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21"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7"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5"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16" Target="https://doi.org/10.3168/jds.2025-26552"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behavioural profiles through electronic feeder and drinker data</dc:title>
  <dc:creator>Kehan Sheng1, Borbala Foris1,2, Daniel M. Weary1, Marina A.G. von Keyserlingk1</dc:creator>
  <cp:keywords/>
  <dcterms:created xsi:type="dcterms:W3CDTF">2026-05-11T22:46:43Z</dcterms:created>
  <dcterms:modified xsi:type="dcterms:W3CDTF">2026-05-11T22:46:43Z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