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behavioural profiles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interpretive-summary"/>
    <w:p>
      <w:pPr>
        <w:pStyle w:val="Heading1"/>
      </w:pPr>
      <w:r>
        <w:t xml:space="preserve">Interpretive Summary</w:t>
      </w:r>
    </w:p>
    <w:p>
      <w:pPr>
        <w:pStyle w:val="FirstParagraph"/>
      </w:pPr>
      <w:r>
        <w:t xml:space="preserve">Dairy cows differ in how they feed, drink, explore and compete even when housed in the same environment, but these individual differences are usually lost in group averages. Using data from electronic feed and water bins from 107 cows over 207 days, we extracted 16 behavioural traits and identified which ones reliably distinguished individual cows from each other. Four distinct cow types emerged:</w:t>
      </w:r>
      <w:r>
        <w:t xml:space="preserve"> </w:t>
      </w:r>
      <w:r>
        <w:t xml:space="preserve">“frequently replaced”</w:t>
      </w:r>
      <w:r>
        <w:t xml:space="preserve"> </w:t>
      </w:r>
      <w:r>
        <w:t xml:space="preserve">cows,</w:t>
      </w:r>
      <w:r>
        <w:t xml:space="preserve"> </w:t>
      </w:r>
      <w:r>
        <w:t xml:space="preserve">“water lovers”</w:t>
      </w:r>
      <w:r>
        <w:t xml:space="preserve">,</w:t>
      </w:r>
      <w:r>
        <w:t xml:space="preserve"> </w:t>
      </w:r>
      <w:r>
        <w:t xml:space="preserve">“fragmented feeders”</w:t>
      </w:r>
      <w:r>
        <w:t xml:space="preserve"> </w:t>
      </w:r>
      <w:r>
        <w:t xml:space="preserve">and</w:t>
      </w:r>
      <w:r>
        <w:t xml:space="preserve"> </w:t>
      </w:r>
      <w:r>
        <w:t xml:space="preserve">“contest-winning”</w:t>
      </w:r>
      <w:r>
        <w:t xml:space="preserve"> </w:t>
      </w:r>
      <w:r>
        <w:t xml:space="preserve">cows. We provide an open-source tool, moo4feed, to extract these behavioural traits from data many farms already collect, supporting individualised behaviour monitoring.</w:t>
      </w:r>
    </w:p>
    <w:bookmarkEnd w:id="20"/>
    <w:bookmarkStart w:id="22" w:name="abstract"/>
    <w:p>
      <w:pPr>
        <w:pStyle w:val="Heading1"/>
      </w:pPr>
      <w:r>
        <w:t xml:space="preserve">Abstract</w:t>
      </w:r>
    </w:p>
    <w:p>
      <w:pPr>
        <w:pStyle w:val="FirstParagraph"/>
      </w:pPr>
      <w:r>
        <w:t xml:space="preserve">Individual animals can differ considerably in how they feed, drink, and compete for resources, yet much data analysis still relies on group-level comparisons that obscure these individual differences. Electronic feeding and drinking systems make it possible to characterise individual behavioural profiles within groups. Using 107 lactating Holstein dairy cows tracked over 207 days, we extracted 16 behavioural variables from electronic feed bin and water trough data, capturing conventional metrics (feeding and drinking intake, duration and meal frequency) alongside measures of exploratory behaviour (non-nutritive visits), social competition (agonistic replacement events), and indicators of feed quality (e.g., proportion of fresh feed remaining upon arrival). Bayesian mixed-effects models quantified repeatability (between-individual variation in average behavioural expression) and predictability (between-individual variation in within-individual consistency). Variables capturing exploratory behaviour, social competition, and drinking duration showed the greatest and most consistent among-individual variation, while daily feed intake was among the least discriminating, suggesting individuals converge to similar intakes through different strategies. To identify behavioural profiles, we applied principal component analysis with varimax rotation to the eight most repeatable and individually variable behavioural measures, then used k-means clustering on the same variables. This yielded four distinct profiles:</w:t>
      </w:r>
      <w:r>
        <w:t xml:space="preserve"> </w:t>
      </w:r>
      <w:r>
        <w:t xml:space="preserve">“frequently replaced”</w:t>
      </w:r>
      <w:r>
        <w:t xml:space="preserve"> </w:t>
      </w:r>
      <w:r>
        <w:t xml:space="preserve">cows (the majority of the herd,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feeders”</w:t>
      </w:r>
      <w:r>
        <w:t xml:space="preserve"> </w:t>
      </w:r>
      <w:r>
        <w:t xml:space="preserve">(many short, interrupted visits with frequent agonistic interactions). These results illustrate how data streams from electronic feeders and drinkers can be used to build individual behavioural profiles that would not be apparent using generic group-level analyses. This framework may help researchers identify cows most susceptible to negative impacts when housed in competitive environments. To facilitate access across species and systems we developed moo4feed (</w:t>
      </w:r>
      <w:hyperlink r:id="rId21">
        <w:r>
          <w:rPr>
            <w:rStyle w:val="Hyperlink"/>
          </w:rPr>
          <w:t xml:space="preserve">https://www.skysheng.io/moo4feed/</w:t>
        </w:r>
      </w:hyperlink>
      <w:r>
        <w:t xml:space="preserve">), an open-source R package designed to extract individual behavioural variables from electronic feeder and drinker data.</w:t>
      </w:r>
    </w:p>
    <w:p>
      <w:pPr>
        <w:pStyle w:val="BodyText"/>
      </w:pPr>
      <w:r>
        <w:rPr>
          <w:b/>
          <w:bCs/>
        </w:rPr>
        <w:t xml:space="preserve">Keywords:</w:t>
      </w:r>
      <w:r>
        <w:t xml:space="preserve"> </w:t>
      </w:r>
      <w:r>
        <w:t xml:space="preserve">repeatability, reproducibility, precision livestock farming, behavioural monitoring, animal personality</w:t>
      </w:r>
    </w:p>
    <w:bookmarkEnd w:id="22"/>
    <w:bookmarkStart w:id="23" w:name="introduction"/>
    <w:p>
      <w:pPr>
        <w:pStyle w:val="Heading1"/>
      </w:pPr>
      <w:r>
        <w:t xml:space="preserve">1. Introduction</w:t>
      </w:r>
    </w:p>
    <w:p>
      <w:pPr>
        <w:pStyle w:val="FirstParagraph"/>
      </w:pPr>
      <w:r>
        <w:t xml:space="preserve">That animals vary in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hyperlink w:anchor="ref-schwanke2025graduate">
        <w:r>
          <w:rPr>
            <w:rStyle w:val="Hyperlink"/>
          </w:rPr>
          <w:t xml:space="preserve">Schwanke and DeVries, 2025</w:t>
        </w:r>
      </w:hyperlink>
      <w:r>
        <w:t xml:space="preserve">)</w:t>
      </w:r>
      <w:r>
        <w:t xml:space="preserve"> </w:t>
      </w:r>
      <w:r>
        <w:t xml:space="preserve">and in animal welfare research</w:t>
      </w:r>
      <w:r>
        <w:t xml:space="preserve"> </w:t>
      </w:r>
      <w:r>
        <w:t xml:space="preserve">(</w:t>
      </w:r>
      <w:hyperlink w:anchor="ref-Richter2019">
        <w:r>
          <w:rPr>
            <w:rStyle w:val="Hyperlink"/>
          </w:rPr>
          <w:t xml:space="preserve">Richter and Hintze, 2019</w:t>
        </w:r>
      </w:hyperlink>
      <w:r>
        <w:t xml:space="preserve">)</w:t>
      </w:r>
      <w:r>
        <w:t xml:space="preserve">. The shift in focus from group to individual recognises that identical environments can affect animals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maximise milk production through precision feeding and improved dry matter intake (DMI), the DMI of group-housed cows is shaped by the feeding behaviour of individuals within the group, which is in turn modulated by the environment, management, health status of the individuals,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behaviour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behaviour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 is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w:t>
      </w:r>
      <w:r>
        <w:t xml:space="preserve"> </w:t>
      </w:r>
      <w:hyperlink w:anchor="ref-phillips2001effects">
        <w:r>
          <w:rPr>
            <w:rStyle w:val="Hyperlink"/>
          </w:rPr>
          <w:t xml:space="preserve">Phillips and Rind, 2001</w:t>
        </w:r>
      </w:hyperlink>
      <w:r>
        <w:t xml:space="preserve">)</w:t>
      </w:r>
      <w:r>
        <w:t xml:space="preserve">. Both approaches are labour-intensive and require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sensor-derived measurements allow researchers to characterise behaviours of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Incorporating continuous data streams could revolutionise personality assessment in farm animals</w:t>
      </w:r>
      <w:r>
        <w:t xml:space="preserve"> </w:t>
      </w:r>
      <w:r>
        <w:t xml:space="preserve">(</w:t>
      </w:r>
      <w:hyperlink w:anchor="ref-schwanke2025graduate">
        <w:r>
          <w:rPr>
            <w:rStyle w:val="Hyperlink"/>
          </w:rPr>
          <w:t xml:space="preserve">Schwanke and DeVries, 2025</w:t>
        </w:r>
      </w:hyperlink>
      <w:r>
        <w:t xml:space="preserve">;</w:t>
      </w:r>
      <w:r>
        <w:t xml:space="preserve"> </w:t>
      </w:r>
      <w:hyperlink w:anchor="ref-setser2024b">
        <w:r>
          <w:rPr>
            <w:rStyle w:val="Hyperlink"/>
          </w:rPr>
          <w:t xml:space="preserve">Setser et al., 2024a</w:t>
        </w:r>
      </w:hyperlink>
      <w:r>
        <w:t xml:space="preserve">)</w:t>
      </w:r>
      <w:r>
        <w:t xml:space="preserve">.</w:t>
      </w:r>
    </w:p>
    <w:p>
      <w:pPr>
        <w:pStyle w:val="BodyText"/>
      </w:pPr>
      <w:r>
        <w:t xml:space="preserve">Data from electronic feeding systems may be well-suited to this approach. For example,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(e.g., Canada:</w:t>
      </w:r>
      <w:r>
        <w:t xml:space="preserve"> </w:t>
      </w:r>
      <w:hyperlink w:anchor="ref-huzzey2014automatic">
        <w:r>
          <w:rPr>
            <w:rStyle w:val="Hyperlink"/>
          </w:rPr>
          <w:t xml:space="preserve">Huzzey et al., 2014</w:t>
        </w:r>
      </w:hyperlink>
      <w:r>
        <w:t xml:space="preserve">; United States:</w:t>
      </w:r>
      <w:r>
        <w:t xml:space="preserve"> </w:t>
      </w:r>
      <w:hyperlink w:anchor="ref-allwardt2017technical">
        <w:r>
          <w:rPr>
            <w:rStyle w:val="Hyperlink"/>
          </w:rPr>
          <w:t xml:space="preserve">Allwardt et al., 2017</w:t>
        </w:r>
      </w:hyperlink>
      <w:r>
        <w:t xml:space="preserve">; Germany:</w:t>
      </w:r>
      <w:r>
        <w:t xml:space="preserve"> </w:t>
      </w:r>
      <w:hyperlink w:anchor="ref-Foris2021">
        <w:r>
          <w:rPr>
            <w:rStyle w:val="Hyperlink"/>
          </w:rPr>
          <w:t xml:space="preserve">Foris et al., 2021</w:t>
        </w:r>
      </w:hyperlink>
      <w:r>
        <w:t xml:space="preserve">; New Zealand:</w:t>
      </w:r>
      <w:r>
        <w:t xml:space="preserve"> </w:t>
      </w:r>
      <w:hyperlink w:anchor="ref-biswas2022methane">
        <w:r>
          <w:rPr>
            <w:rStyle w:val="Hyperlink"/>
          </w:rPr>
          <w:t xml:space="preserve">Biswas et al., 2022</w:t>
        </w:r>
      </w:hyperlink>
      <w:r>
        <w:t xml:space="preserve">)</w:t>
      </w:r>
      <w:r>
        <w:t xml:space="preserve">. The primary purpose of these systems is to monitor feed intake, but each visit is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data, researchers have derived additional behavioural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modelling to longitudinal data streams from animal data loggers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behavioural type (an individual’s average expression of a behaviour), repeatability (consistent among-individual differences), and predictability (individual differences in within-individual consistency)</w:t>
      </w:r>
      <w:r>
        <w:t xml:space="preserve"> </w:t>
      </w:r>
      <w:r>
        <w:t xml:space="preserve">(dairy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 dairy cows:</w:t>
      </w:r>
      <w:r>
        <w:t xml:space="preserve"> </w:t>
      </w:r>
      <w:hyperlink w:anchor="ref-thomas2024">
        <w:r>
          <w:rPr>
            <w:rStyle w:val="Hyperlink"/>
          </w:rPr>
          <w:t xml:space="preserve">Thomas et al., 2024</w:t>
        </w:r>
      </w:hyperlink>
      <w:r>
        <w:t xml:space="preserve">)</w:t>
      </w:r>
      <w:r>
        <w:t xml:space="preserve">. However, most of this research has prioritised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contains more information, including how feed availability along the bunk changes over time, when and where a cow chooses to eat relative to feed availability, whether she visits the feeding area without consuming feed (non-nutritive visits), and how often she switches among feed bins within a meal. These measures may capture aspects of individual feeding and social strategies that daily behavioural summaries cannot.</w:t>
      </w:r>
    </w:p>
    <w:p>
      <w:pPr>
        <w:pStyle w:val="BodyText"/>
      </w:pPr>
      <w:r>
        <w:t xml:space="preserve">To date, no comprehensive and accessible framework exists for extracting these higher-resolution behavioural variables from raw electronic feeder and drinker data. A framework that automates this extraction would allow individual animals to be characterised routinely within groups. Data cleaning approaches also differ among labs and are rarely shared in a reusable form, which limits reproducibility across studies and routine application of these measures in dairy research</w:t>
      </w:r>
      <w:r>
        <w:t xml:space="preserve"> </w:t>
      </w:r>
      <w:r>
        <w:t xml:space="preserve">(</w:t>
      </w:r>
      <w:hyperlink w:anchor="ref-wilkinson2016fair">
        <w:r>
          <w:rPr>
            <w:rStyle w:val="Hyperlink"/>
          </w:rPr>
          <w:t xml:space="preserve">Wilkinson et al., 2016</w:t>
        </w:r>
      </w:hyperlink>
      <w:r>
        <w:t xml:space="preserve">)</w:t>
      </w:r>
      <w:r>
        <w:t xml:space="preserve">.</w:t>
      </w:r>
    </w:p>
    <w:p>
      <w:pPr>
        <w:pStyle w:val="BodyText"/>
      </w:pPr>
      <w:r>
        <w:t xml:space="preserve">Our primary aim was to quantify individual-level behavioural consistency and among-individual differences in dairy cattle feeding and social behaviours captured from an electronic feeding system; we used repeatability and predictability to identify which behaviours were most informative for characterising individual differences. Our secondary aim was to identify distinct behavioural profiles based on the most consistent among-individual differences, and to demonstrate how these measures could characterise feeding and social strategies present within a herd. To facilitate broad and reproducible application of the approach for researchers with varying technical backgrounds, we developed moo4feed (</w:t>
      </w:r>
      <w:hyperlink r:id="rId21">
        <w:r>
          <w:rPr>
            <w:rStyle w:val="Hyperlink"/>
          </w:rPr>
          <w:t xml:space="preserve">https://www.skysheng.io/moo4feed/</w:t>
        </w:r>
      </w:hyperlink>
      <w:r>
        <w:t xml:space="preserve">), an easy-to-use open-source R package that processes raw electronic feeder and drinker data, and extracts both standard and higher-resolution behavioural variables.</w:t>
      </w:r>
    </w:p>
    <w:bookmarkEnd w:id="23"/>
    <w:bookmarkStart w:id="35" w:name="methods"/>
    <w:p>
      <w:pPr>
        <w:pStyle w:val="Heading1"/>
      </w:pPr>
      <w:r>
        <w:t xml:space="preserve">2. Methods</w:t>
      </w:r>
    </w:p>
    <w:bookmarkStart w:id="24" w:name="animals-housing-and-data-collection"/>
    <w:p>
      <w:pPr>
        <w:pStyle w:val="Heading2"/>
      </w:pPr>
      <w:r>
        <w:t xml:space="preserve">2.1 Animals, Housing, and Data Collection</w:t>
      </w:r>
    </w:p>
    <w:p>
      <w:pPr>
        <w:pStyle w:val="FirstParagraph"/>
      </w:pPr>
      <w:r>
        <w:t xml:space="preserve">Data were collected as part of a previous study</w:t>
      </w:r>
      <w:r>
        <w:t xml:space="preserve"> </w:t>
      </w:r>
      <w:r>
        <w:t xml:space="preserve">(</w:t>
      </w:r>
      <w:hyperlink w:anchor="ref-sheng2024redefining">
        <w:r>
          <w:rPr>
            <w:rStyle w:val="Hyperlink"/>
          </w:rPr>
          <w:t xml:space="preserve">Sheng et al., 2024</w:t>
        </w:r>
      </w:hyperlink>
      <w:r>
        <w:t xml:space="preserve">)</w:t>
      </w:r>
      <w:r>
        <w:t xml:space="preserve"> </w:t>
      </w:r>
      <w:r>
        <w:t xml:space="preserve">using 159 lactating Holstein dairy cows (12 primiparous, 147 multiparous; parity = 3.0 ± 1.1; mean ± SD)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w:t>
      </w:r>
    </w:p>
    <w:bookmarkEnd w:id="24"/>
    <w:bookmarkStart w:id="25" w:name="data-cleaning-and-filtering"/>
    <w:p>
      <w:pPr>
        <w:pStyle w:val="Heading2"/>
      </w:pPr>
      <w:r>
        <w:t xml:space="preserve">2.2 Data Cleaning and Filtering</w:t>
      </w:r>
    </w:p>
    <w:p>
      <w:pPr>
        <w:pStyle w:val="FirstParagraph"/>
      </w:pPr>
      <w:r>
        <w:t xml:space="preserve">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analysed reflected the baseline patterns of cows when they were healthy, not lame and not in oestrus, we applied strict data cleaning and filtering criteria that extended beyond the data cleaning procedure described in Sheng et al.</w:t>
      </w:r>
      <w:r>
        <w:t xml:space="preserve"> </w:t>
      </w:r>
      <w:r>
        <w:t xml:space="preserve">(</w:t>
      </w:r>
      <w:hyperlink w:anchor="ref-sheng2024redefining">
        <w:r>
          <w:rPr>
            <w:rStyle w:val="Hyperlink"/>
          </w:rPr>
          <w:t xml:space="preserve">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loss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not pregnant)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oestrus events, as any cow in heat can potentially disturb the behaviour of all other cows in the group (55 oestrus events, 2,381 cow-days)</w:t>
      </w:r>
      <w:r>
        <w:t xml:space="preserve"> </w:t>
      </w:r>
      <w:r>
        <w:t xml:space="preserve">(</w:t>
      </w:r>
      <w:hyperlink w:anchor="ref-reith2018behavioral">
        <w:r>
          <w:rPr>
            <w:rStyle w:val="Hyperlink"/>
          </w:rPr>
          <w:t xml:space="preserve">Reith and Hoy, 2018</w:t>
        </w:r>
      </w:hyperlink>
      <w:r>
        <w:t xml:space="preserve">)</w:t>
      </w:r>
      <w:r>
        <w:t xml:space="preserve">.</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was destabilized (16 events, 674 cow-days)</w:t>
      </w:r>
      <w:r>
        <w:t xml:space="preserve"> </w:t>
      </w:r>
      <w:r>
        <w:t xml:space="preserve">(</w:t>
      </w:r>
      <w:hyperlink w:anchor="ref-von2008acute">
        <w:r>
          <w:rPr>
            <w:rStyle w:val="Hyperlink"/>
          </w:rPr>
          <w:t xml:space="preserve">von Keyserlingk et al., 2008</w:t>
        </w:r>
      </w:hyperlink>
      <w:r>
        <w:t xml:space="preserve">)</w:t>
      </w:r>
      <w:r>
        <w:t xml:space="preserve">.</w:t>
      </w:r>
    </w:p>
    <w:p>
      <w:pPr>
        <w:pStyle w:val="FirstParagraph"/>
      </w:pPr>
      <w:r>
        <w:t xml:space="preserve">After filtering, 107 cows contributed data across 207 days (10-130 days of observation per cow), resulting in 6226 unique cow-days retained.</w:t>
      </w:r>
    </w:p>
    <w:bookmarkEnd w:id="25"/>
    <w:bookmarkStart w:id="27" w:name="behavioural-variable-extraction"/>
    <w:p>
      <w:pPr>
        <w:pStyle w:val="Heading2"/>
      </w:pPr>
      <w:r>
        <w:t xml:space="preserve">2.3 Behavioural Variable Extraction</w:t>
      </w:r>
    </w:p>
    <w:p>
      <w:pPr>
        <w:pStyle w:val="FirstParagraph"/>
      </w:pPr>
      <w:r>
        <w:t xml:space="preserve">To process the raw feeding and drinking data and extract behavioural variables, we developed an open-source R package,</w:t>
      </w:r>
      <w:r>
        <w:t xml:space="preserve"> </w:t>
      </w:r>
      <w:r>
        <w:t xml:space="preserve">‘moo4feed’</w:t>
      </w:r>
      <w:r>
        <w:t xml:space="preserve"> </w:t>
      </w:r>
      <w:r>
        <w:t xml:space="preserve">(</w:t>
      </w:r>
      <w:hyperlink r:id="rId21">
        <w:r>
          <w:rPr>
            <w:rStyle w:val="Hyperlink"/>
          </w:rPr>
          <w:t xml:space="preserve">https://www.skysheng.io/moo4feed/</w:t>
        </w:r>
      </w:hyperlink>
      <w:r>
        <w:t xml:space="preserve">), providing a standardised, customisable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For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standardised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During fall-back transitions (when clocks move back one hour, causing chronological order of visits within the repeated hour to be ambiguous), we removed all visits from the duplicated hour, since it is not possible to determine the true chronological order, and adjusted subsequent timestamps accordingly. During spring-forward transitions (when clocks move forward by one hour), visit timestamps were shifted forward by one hour for the remainder of the day. Records were then passed through a sequence of automated quality control checks, summarised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and thus no hard-coded numerical threshold applies. Action: Flag = abnormal record is retained and sent to researchers on the farm to review for bin health check; Correct = the record is automatically corrected; Remove = the record is deleted from the dataset. For negative weight corrections, feed or water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listed in Section 2.2). Following these checks, multivariate outlier detection was performed using a k-nearest neighbour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(SD)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behavioural variables were calculated per cow: (i) daily feed intake (kg), (ii) daily feeding duration (s), (iii) daily feeding visits, (iv) daily water intake (L), (v) daily drinking duration (s), and (vi) daily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In brief,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behaviour was summarised into two variables: (vii) daily number of times the focal cow acted as the actor (displacing another cow from a bin), and (viii) daily number of times the focal cow acted as the reactor (being displaced from a bin).</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daily non-nutritive/ feed visits per cow.</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were never longer than 1h). The 5 kg threshold filtered out small spurious weight increases from occasional bin malfunctions or human disturbance (e.g., due to someone leaning on a bin), and requiring at least three bins to increase concurrently to reduce false positives, since these artefacts rarely affect multiple bins at once. All detected delivery times were manually verified by the researchers to confirm accuracy. This allowed us to summarise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maximum time gap between consecutive visits within a meal (the meal criterion), and a minimum number of visits required to form a meal.</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captured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visualisations of the resulting meal clusters were generated and visually inspected for each animal-day to confirm clustering quality (example:</w:t>
      </w:r>
      <w:r>
        <w:t xml:space="preserve"> </w:t>
      </w:r>
      <w:hyperlink r:id="rId26">
        <w:r>
          <w:rPr>
            <w:rStyle w:val="Hyperlink"/>
          </w:rPr>
          <w:t xml:space="preserve">https://www.skysheng.io/moo4feed/articles/meal_clustering.html</w:t>
        </w:r>
      </w:hyperlink>
      <w:r>
        <w:t xml:space="preserve">).</w:t>
      </w:r>
    </w:p>
    <w:p>
      <w:pPr>
        <w:pStyle w:val="BodyText"/>
      </w:pPr>
      <w:r>
        <w:t xml:space="preserve">Once visits were grouped into meals, meal-level variables were computed by aggregating visit-level data within each meal and then summarising across all meals within each cow-day. This step yielded six meal-level variables: (xi) daily meals,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behavioural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recognise that this set is not exhaustive as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7"/>
    <w:bookmarkStart w:id="28"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behavioural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modelled using a Gaussian likelihood (feed intake, feeding duration, water intake, median percentage of time spent feeding per meal, median proportion of feed remaining when cow starts feeding), while strongly right-skewed variables were modelled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behavioural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temperature-humidity index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 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greatly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behaviours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visualised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generalised linear model (DHGLM) implemented in brms. In addition to modelling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summarised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standardised,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behaviour is: for example, some cows may eat similar amounts of feed every day, while others fluctuate their intake substantially across days. A low CVP value means that cows are similar to each other in their predictability: whether that means all cows are highly consistent, or all cows are highly variable is not known, but there is little difference between individuals in their within-individual consistency.</w:t>
      </w:r>
    </w:p>
    <w:p>
      <w:pPr>
        <w:pStyle w:val="BodyText"/>
      </w:pPr>
      <w:r>
        <w:rPr>
          <w:b/>
          <w:bCs/>
        </w:rPr>
        <w:t xml:space="preserve">Behavioural variable clustering.</w:t>
      </w:r>
      <w:r>
        <w:t xml:space="preserve"> </w:t>
      </w:r>
      <w:r>
        <w:t xml:space="preserve">To organise the 16 behavioural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had low predictability values, thus measures of predictability were not used in behavioural variable clustering. The number of clusters was selected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over k = 2 to 10. The mean silhouette width was highest at k = 3 and k = 5; we chose k = 3 as the more parsimonious solution given the small number of variables (n = 16).</w:t>
      </w:r>
    </w:p>
    <w:p>
      <w:pPr>
        <w:pStyle w:val="BodyText"/>
      </w:pPr>
      <w:r>
        <w:rPr>
          <w:b/>
          <w:bCs/>
        </w:rPr>
        <w:t xml:space="preserve">Individual-level behavioural profiles.</w:t>
      </w:r>
      <w:r>
        <w:t xml:space="preserve"> </w:t>
      </w:r>
      <w:r>
        <w:t xml:space="preserve">For each cow and each behavioural variable in the cluster with the highest CVi and R (i.e., Cluster 1), we extracted the individual intercept from the posterior distribution: the population intercept plus each cow’s random effect (back-transformed to the original scale for lognormal models). This provided us with a representation of a cow’s average behavioural type (i.e., a cow’s typical expression of their behaviour). For example, for daily feed intake modelled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behavioural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behavioural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the PCA, cows were grouped into behavioural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visualised using component score biplots and an interactive 3D scatter plot for exploration of cow clusters across the principal components.</w:t>
      </w:r>
    </w:p>
    <w:bookmarkEnd w:id="28"/>
    <w:bookmarkStart w:id="34" w:name="workflow-and-software"/>
    <w:p>
      <w:pPr>
        <w:pStyle w:val="Heading2"/>
      </w:pPr>
      <w:r>
        <w:t xml:space="preserve">2.5 Workflow and Software</w:t>
      </w:r>
    </w:p>
    <w:p>
      <w:pPr>
        <w:pStyle w:val="FirstParagraph"/>
      </w:pPr>
      <w:r>
        <w:t xml:space="preserve">To support transparency and reproducibility, all data processing, variable extraction, and analytical steps were implemented in the moo4feed R package</w:t>
      </w:r>
      <w:r>
        <w:t xml:space="preserve"> </w:t>
      </w:r>
      <w:hyperlink r:id="rId21">
        <w:r>
          <w:rPr>
            <w:rStyle w:val="Hyperlink"/>
          </w:rPr>
          <w:t xml:space="preserve">https://www.skysheng.io/moo4feed/</w:t>
        </w:r>
      </w:hyperlink>
      <w:r>
        <w:t xml:space="preserve">. The functions implemented in this R package have been tested with 96% code coverage (code coverage report:</w:t>
      </w:r>
      <w:r>
        <w:t xml:space="preserve"> </w:t>
      </w:r>
      <w:hyperlink r:id="rId29">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behavioural measures. The source code and example data included in the R package is hosted on GitHub:</w:t>
      </w:r>
      <w:r>
        <w:t xml:space="preserve"> </w:t>
      </w:r>
      <w:hyperlink r:id="rId30">
        <w:r>
          <w:rPr>
            <w:rStyle w:val="Hyperlink"/>
          </w:rPr>
          <w:t xml:space="preserve">https://github.com/skysheng7/moo4feed.git</w:t>
        </w:r>
      </w:hyperlink>
      <w:r>
        <w:t xml:space="preserve">. We used the newly developed R package to extract the behavioural variables described in Section 2.3 and conducted all statistical analyses described in Section 2.4. Data and code for all the data analysis are available at:</w:t>
      </w:r>
      <w:r>
        <w:t xml:space="preserve"> </w:t>
      </w:r>
      <w:hyperlink r:id="rId31">
        <w:r>
          <w:rPr>
            <w:rStyle w:val="Hyperlink"/>
          </w:rPr>
          <w:t xml:space="preserve">https://github.com/skysheng7/competition_dominance_analysis.git</w:t>
        </w:r>
      </w:hyperlink>
      <w:r>
        <w:t xml:space="preserve">. We have also used Borealis to archive the R package at:</w:t>
      </w:r>
      <w:r>
        <w:t xml:space="preserve"> </w:t>
      </w:r>
      <w:hyperlink r:id="rId32">
        <w:r>
          <w:rPr>
            <w:rStyle w:val="Hyperlink"/>
          </w:rPr>
          <w:t xml:space="preserve">https://doi.org/10.5683/SP3/LF4DRO</w:t>
        </w:r>
      </w:hyperlink>
      <w:r>
        <w:t xml:space="preserve"> </w:t>
      </w:r>
      <w:r>
        <w:t xml:space="preserve">and data analysis code at:</w:t>
      </w:r>
      <w:r>
        <w:t xml:space="preserve"> </w:t>
      </w:r>
      <w:hyperlink r:id="rId33">
        <w:r>
          <w:rPr>
            <w:rStyle w:val="Hyperlink"/>
          </w:rPr>
          <w:t xml:space="preserve">https://doi.org/10.5683/SP3/K6J350</w:t>
        </w:r>
      </w:hyperlink>
      <w:r>
        <w:t xml:space="preserve">.</w:t>
      </w:r>
    </w:p>
    <w:bookmarkEnd w:id="34"/>
    <w:bookmarkEnd w:id="35"/>
    <w:bookmarkStart w:id="52" w:name="results"/>
    <w:p>
      <w:pPr>
        <w:pStyle w:val="Heading1"/>
      </w:pPr>
      <w:r>
        <w:t xml:space="preserve">3. Results</w:t>
      </w:r>
    </w:p>
    <w:p>
      <w:pPr>
        <w:pStyle w:val="FirstParagraph"/>
      </w:pPr>
      <w:r>
        <w:t xml:space="preserve">All repeatability and predictability measures (R, CVi, CVP, and rIIV) are reported as posterior means followed by 95% credible intervals (CrIs) in square brackets.</w:t>
      </w:r>
    </w:p>
    <w:bookmarkStart w:id="41"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behavioural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behavioural variables. Values are posterior means with 95% credible intervals in brackets. Cell colour encodes the posterior mean within each metric (darker = higher). Rows are grouped by behavioural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behaviour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daily non-nutritive visits showed the largest relative among-individual variation (CVi = 0.53 [0.45, 0.61]), meaning that on average, cows differ from one another by more than half the population mean in how often they visit a feed bin without eating. Daily actor events (CVi = 0.47 [0.40, 0.54]) and the median number of non-nutritive visits per meal (CVi = 0.44 [0.38, 0.51]) were also highly variable across individuals. Indeed, among all variables we evaluated, the agonistic and non-nutritive visiting frequencies were the most individually distinguishing behaviours in this study. Conversely,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information. Daily drinking duration had the highest R (0.74 [0.69, 0.79]), followed by daily feeding visits (R = 0.68 [0.62, 0.74]) and daily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(0.09 [0.08, 0.10]) in comparison with all 16 variables. The high R values are not driven by high among-individual variation, instead are driven by the low within-individual variance. In other words, each cow is very consistent within themselves from day to day, causing the R to be inflated by the low residual (within-individual) variance rather than by high among-individual variance. Variables ranked near the top on both R and CVi (e.g., daily non-nutritive visits, daily drinking duration), represent the biological meaningful candidates for individual profiling, since cows differ from one another and behave consistently for those differences to be detectable from repeated observations.</w:t>
      </w:r>
    </w:p>
    <w:bookmarkStart w:id="40" w:name="cell-fig-rep-cvp-scatter"/>
    <w:tbl>
      <w:tblPr>
        <w:tblStyle w:val="Table"/>
        <w:tblW w:type="pct" w:w="5000"/>
        <w:tblLayout w:type="fixed"/>
        <w:tblLook w:firstRow="0" w:lastRow="0" w:firstColumn="0" w:lastColumn="0" w:noHBand="0" w:noVBand="0" w:val="0000"/>
      </w:tblPr>
      <w:tblGrid>
        <w:gridCol w:w="7920"/>
      </w:tblGrid>
      <w:tr>
        <w:tc>
          <w:tcPr/>
          <w:bookmarkStart w:id="39" w:name="fig-rep-cvp-scatter"/>
          <w:p>
            <w:pPr>
              <w:pStyle w:val="Compact"/>
              <w:jc w:val="center"/>
            </w:pPr>
            <w:r>
              <w:drawing>
                <wp:inline>
                  <wp:extent cx="5943600" cy="2701636"/>
                  <wp:effectExtent b="0" l="0" r="0" t="0"/>
                  <wp:docPr descr="" title="" id="37" name="Picture"/>
                  <a:graphic>
                    <a:graphicData uri="http://schemas.openxmlformats.org/drawingml/2006/picture">
                      <pic:pic>
                        <pic:nvPicPr>
                          <pic:cNvPr descr="results/14_individual_traits/ellipse_scatter_grid_AB.png" id="38" name="Picture"/>
                          <pic:cNvPicPr>
                            <a:picLocks noChangeArrowheads="1" noChangeAspect="1"/>
                          </pic:cNvPicPr>
                        </pic:nvPicPr>
                        <pic:blipFill>
                          <a:blip r:embed="rId36"/>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behavioural variables. (A) Repeatability (R) vs coefficient of individual variation (CVi). (B) Coefficient of variation of predictability (CVP) vs CVi. Each point is a behavioural variable; ellipses show 95% credible intervals on both axes. Points are coloured by the 3-cluster k-means solution of Section 3.3 (Cluster 1 = high R, high CVi; Cluster 2 = high R, low CVi; Cluster 3 = low R, low CVi). Point shape distinguishes the likelihood family used for the mixed model.</w:t>
            </w:r>
          </w:p>
          <w:bookmarkEnd w:id="39"/>
        </w:tc>
      </w:tr>
    </w:tbl>
    <w:bookmarkEnd w:id="40"/>
    <w:p>
      <w:pPr>
        <w:pStyle w:val="BodyText"/>
      </w:pPr>
    </w:p>
    <w:bookmarkEnd w:id="41"/>
    <w:bookmarkStart w:id="42"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This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behaviours at a similar level of behavioural consistency within themselves across different days, and cows differed little from one another in how predictable they were. The corresponding rIIV values indicate that the least-predictable cows were only about 1.2 times more variable than the most-predictable cows for these behaviours.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behavioural consistency: some cows were more consistent than others in these behaviours, with the least-predictable cows being roughly 1.5 times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2"/>
    <w:bookmarkStart w:id="43" w:name="classifying-behavioural-variables"/>
    <w:p>
      <w:pPr>
        <w:pStyle w:val="Heading2"/>
      </w:pPr>
      <w:r>
        <w:t xml:space="preserve">3.3 Classifying Behavioural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Behaviour Cluster 1 (high R, high CVi, 8 variables)</w:t>
      </w:r>
      <w:r>
        <w:t xml:space="preserve">: daily non-nutritive visits, daily actor events, median non-nutritive visits per meal, daily drinking duration, daily reactor events, median visits per meal, daily feeding visits, daily drinking visits. Variables in this cluster differentiated cows from one another based on their average behavioural expression, and these differences remained stable over time. These variables are the most useful for characterising individual behavioural profiles.</w:t>
      </w:r>
    </w:p>
    <w:p>
      <w:pPr>
        <w:pStyle w:val="BodyText"/>
      </w:pPr>
      <w:r>
        <w:rPr>
          <w:b/>
          <w:bCs/>
        </w:rPr>
        <w:t xml:space="preserve">Behaviour Cluster 2 (high R, low CVi, 3 variables)</w:t>
      </w:r>
      <w:r>
        <w:t xml:space="preserve">: daily feeding duration, daily water intake, median percentage of meal time spent feeding. Individual differences were again consistent over time, but the spread of individual differences across the herd was narrow relative to the herd mean.</w:t>
      </w:r>
    </w:p>
    <w:p>
      <w:pPr>
        <w:pStyle w:val="BodyText"/>
      </w:pPr>
      <w:r>
        <w:rPr>
          <w:b/>
          <w:bCs/>
        </w:rPr>
        <w:t xml:space="preserve">Behaviour Cluster 3 (low R, low CVi, 5 variables)</w:t>
      </w:r>
      <w:r>
        <w:t xml:space="preserve">: median meal duration, median feed intake per meal, daily meals, median proportion of feed remaining at visit start, daily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behavioural tendencies.</w:t>
      </w:r>
    </w:p>
    <w:bookmarkEnd w:id="43"/>
    <w:bookmarkStart w:id="50" w:name="identifying-cow-types-via-pca"/>
    <w:p>
      <w:pPr>
        <w:pStyle w:val="Heading2"/>
      </w:pPr>
      <w:r>
        <w:t xml:space="preserve">3.4 Identifying Cow Types via PCA</w:t>
      </w:r>
    </w:p>
    <w:p>
      <w:pPr>
        <w:pStyle w:val="FirstParagraph"/>
      </w:pPr>
      <w:r>
        <w:t xml:space="preserve">We applied PCA with varimax rotation to the intercepts (average individual cow’s behavioural expression) of the 8 behavioural variables in Cluster 1. Three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behaviour and feeding patterns. RC2 explained 21.3% of variance and was most strongly associated with drinking patterns. RC3 captured the remaining variance, primarily related to agonistic behaviour (actor and reactor events).</w:t>
      </w:r>
    </w:p>
    <w:p>
      <w:pPr>
        <w:pStyle w:val="BodyText"/>
      </w:pPr>
    </w:p>
    <w:p>
      <w:pPr>
        <w:pStyle w:val="BodyText"/>
      </w:pPr>
      <w:r>
        <w:rPr>
          <w:b/>
          <w:bCs/>
        </w:rPr>
        <w:t xml:space="preserve">Table 3.</w:t>
      </w:r>
      <w:r>
        <w:t xml:space="preserve"> </w:t>
      </w:r>
      <w:r>
        <w:t xml:space="preserve">Varimax-rotated PCA loadings for the 8 Behaviour Cluster-1 intercept variables (i.e., variables with the highest CVi and R in repeatability) across three retained rotated components (RC1–RC3), together explaining 86.1% of total variance.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visualisation of the 4 clusters of cows in the 3D space, coloured by cluster assignment, is available at</w:t>
      </w:r>
      <w:r>
        <w:t xml:space="preserve"> </w:t>
      </w:r>
      <w:hyperlink r:id="rId44">
        <w:r>
          <w:rPr>
            <w:rStyle w:val="Hyperlink"/>
          </w:rPr>
          <w:t xml:space="preserve">https://www.skysheng.io/moo4feed_decoding_animal/</w:t>
        </w:r>
      </w:hyperlink>
      <w:r>
        <w:t xml:space="preserve">.</w:t>
      </w:r>
    </w:p>
    <w:p>
      <w:pPr>
        <w:pStyle w:val="BodyText"/>
      </w:pPr>
    </w:p>
    <w:p>
      <w:pPr>
        <w:pStyle w:val="BodyText"/>
      </w:pPr>
    </w:p>
    <w:bookmarkStart w:id="49" w:name="cell-fig-pca-biplots"/>
    <w:tbl>
      <w:tblPr>
        <w:tblStyle w:val="Table"/>
        <w:tblW w:type="pct" w:w="5000"/>
        <w:tblLayout w:type="fixed"/>
        <w:tblLook w:firstRow="0" w:lastRow="0" w:firstColumn="0" w:lastColumn="0" w:noHBand="0" w:noVBand="0" w:val="0000"/>
      </w:tblPr>
      <w:tblGrid>
        <w:gridCol w:w="7920"/>
      </w:tblGrid>
      <w:tr>
        <w:tc>
          <w:tcPr/>
          <w:bookmarkStart w:id="48" w:name="fig-pca-biplots"/>
          <w:p>
            <w:pPr>
              <w:pStyle w:val="Compact"/>
              <w:jc w:val="center"/>
            </w:pPr>
            <w:r>
              <w:drawing>
                <wp:inline>
                  <wp:extent cx="5943600" cy="2674620"/>
                  <wp:effectExtent b="0" l="0" r="0" t="0"/>
                  <wp:docPr descr="" title="" id="46" name="Picture"/>
                  <a:graphic>
                    <a:graphicData uri="http://schemas.openxmlformats.org/drawingml/2006/picture">
                      <pic:pic>
                        <pic:nvPicPr>
                          <pic:cNvPr descr="results/15_pca_clustering/pca_M3_c1_int_biplot_clusters_AB.png" id="47" name="Picture"/>
                          <pic:cNvPicPr>
                            <a:picLocks noChangeArrowheads="1" noChangeAspect="1"/>
                          </pic:cNvPicPr>
                        </pic:nvPicPr>
                        <pic:blipFill>
                          <a:blip r:embed="rId45"/>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(i.e., variables with the highest CVi and R in repeatability). (A) RC1 vs RC2. (B) RC1 vs RC3. Each point is a cow, coloured by k-means cluster assignment (coral orange for Cluster 1, pink for Cluster 2, purple for Cluster 3, and blue for Cluster 4); arrows represent variable loadings scaled to the score space. Ellipses show 95% confidence regions around each cluster centroid.</w:t>
            </w:r>
          </w:p>
          <w:bookmarkEnd w:id="48"/>
        </w:tc>
      </w:tr>
    </w:tbl>
    <w:bookmarkEnd w:id="49"/>
    <w:p>
      <w:pPr>
        <w:pStyle w:val="BodyText"/>
      </w:pPr>
    </w:p>
    <w:p>
      <w:pPr>
        <w:pStyle w:val="BodyText"/>
      </w:pPr>
      <w:r>
        <w:t xml:space="preserve">The 4 retained clusters (</w:t>
      </w:r>
      <w:hyperlink w:anchor="fig-pca-biplots">
        <w:r>
          <w:rPr>
            <w:rStyle w:val="Hyperlink"/>
          </w:rPr>
          <w:t xml:space="preserve">Figure 2</w:t>
        </w:r>
      </w:hyperlink>
      <w:r>
        <w:t xml:space="preserve">) correspond to distinct behavioural profiles that can be characterised as follows:</w:t>
      </w:r>
    </w:p>
    <w:p>
      <w:pPr>
        <w:pStyle w:val="BodyText"/>
      </w:pPr>
      <w:r>
        <w:rPr>
          <w:b/>
          <w:bCs/>
        </w:rPr>
        <w:t xml:space="preserve">Cow Cluster 1 —</w:t>
      </w:r>
      <w:r>
        <w:rPr>
          <w:b/>
          <w:bCs/>
        </w:rPr>
        <w:t xml:space="preserve"> </w:t>
      </w:r>
      <w:r>
        <w:rPr>
          <w:b/>
          <w:bCs/>
        </w:rPr>
        <w:t xml:space="preserve">“frequently replaced”</w:t>
      </w:r>
      <w:r>
        <w:rPr>
          <w:b/>
          <w:bCs/>
        </w:rPr>
        <w:t xml:space="preserve"> </w:t>
      </w:r>
      <w:r>
        <w:rPr>
          <w:b/>
          <w:bCs/>
        </w:rPr>
        <w:t xml:space="preserve">(n = 55, ~51% of the herd, the largest group).</w:t>
      </w:r>
      <w:r>
        <w:t xml:space="preserve"> </w:t>
      </w:r>
      <w:r>
        <w:t xml:space="preserve">Cows in this cluster sat near the herd average on RC1 (mean score = -0.21) and slightly below average on RC2 (-0.41), but scored noticeably high on RC3 (0.58). These cows were replaced from feed bins (reactor events) more often than they replaced others (actor events), and had slightly low drinking activity (</w:t>
      </w:r>
      <w:hyperlink w:anchor="fig-pca-biplots">
        <w:r>
          <w:rPr>
            <w:rStyle w:val="Hyperlink"/>
          </w:rPr>
          <w:t xml:space="preserve">Figure 2</w:t>
        </w:r>
      </w:hyperlink>
      <w:r>
        <w:t xml:space="preserve"> </w:t>
      </w:r>
      <w:r>
        <w:t xml:space="preserve">A). Cows in this cluster were the unremarkable majority of the herd: they fed, drank, and took their meals within typical ranges, but routinely yielded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were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expressed substantially high drinking activity even after controlling for DIM and THI. They also had relatively low feeding activity, and got replaced slightly more often than they replaced others.</w:t>
      </w:r>
    </w:p>
    <w:p>
      <w:pPr>
        <w:pStyle w:val="BodyText"/>
      </w:pPr>
      <w:r>
        <w:rPr>
          <w:b/>
          <w:bCs/>
        </w:rPr>
        <w:t xml:space="preserve">Cow Cluster 3 —</w:t>
      </w:r>
      <w:r>
        <w:rPr>
          <w:b/>
          <w:bCs/>
        </w:rPr>
        <w:t xml:space="preserve"> </w:t>
      </w:r>
      <w:r>
        <w:rPr>
          <w:b/>
          <w:bCs/>
        </w:rPr>
        <w:t xml:space="preserve">“fragmented feeders”</w:t>
      </w:r>
      <w:r>
        <w:rPr>
          <w:b/>
          <w:bCs/>
        </w:rPr>
        <w:t xml:space="preserve"> </w:t>
      </w:r>
      <w:r>
        <w:rPr>
          <w:b/>
          <w:bCs/>
        </w:rPr>
        <w:t xml:space="preserve">(n = 5, ~5%, the smallest group).</w:t>
      </w:r>
      <w:r>
        <w:t xml:space="preserve"> </w:t>
      </w:r>
      <w:r>
        <w:t xml:space="preserve">This small group of extreme individuals scored very high on RC1 (3.09), driven by a combination of many feed visits per day, many non-nutritive visits, and highly fragmented meals (many short visits per meal, with repeated head-in/head-out events rather than sustained feeding). RC2 (-0.43) was slightly below average, and RC3 (0.03) score was very close to the herd average. These cows had relatively low drinking activity, and repeatedly switched among bins in search of preferred feed, even though there was feed remaining in the bins they visited.</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showed average RC1 (0.03) and RC2 (0.00) scores but very negative RC3 score (-1.12), meaning they rarely got replaced at the feeders and instead tended to be the ones initiating replacements of others (</w:t>
      </w:r>
      <w:hyperlink w:anchor="fig-pca-biplots">
        <w:r>
          <w:rPr>
            <w:rStyle w:val="Hyperlink"/>
          </w:rPr>
          <w:t xml:space="preserve">Figure 2</w:t>
        </w:r>
      </w:hyperlink>
      <w:r>
        <w:t xml:space="preserve"> </w:t>
      </w:r>
      <w:r>
        <w:t xml:space="preserve">B). Their feeding, drinking behaviours, and meal patterns were otherwise unremarkable. These cows likely benefited from preferential access to feed bins.</w:t>
      </w:r>
    </w:p>
    <w:bookmarkEnd w:id="50"/>
    <w:bookmarkStart w:id="51" w:name="individual-cow-stories"/>
    <w:p>
      <w:pPr>
        <w:pStyle w:val="Heading2"/>
      </w:pPr>
      <w:r>
        <w:t xml:space="preserve">3.5 Individual Cow Stories</w:t>
      </w:r>
    </w:p>
    <w:p>
      <w:pPr>
        <w:pStyle w:val="FirstParagraph"/>
      </w:pPr>
      <w:r>
        <w:t xml:space="preserve">We selected one cow from each of the 4 clusters and described their individual profiles through their average behavioural expression compared to the herd. All behavioural values reported below are posterior means of each cow’s behavioural type (i.e., her individual intercept from the mixed models in Section 3.1), so they represent the cow’s typical day-to-day expression after accounting for DIM and THI. Percentiles were calculated within the herd on those same posterior means.</w:t>
      </w:r>
    </w:p>
    <w:p>
      <w:pPr>
        <w:pStyle w:val="BodyText"/>
      </w:pPr>
      <w:r>
        <w:rPr>
          <w:b/>
          <w:bCs/>
        </w:rPr>
        <w:t xml:space="preserve">Cow 7068 — a</w:t>
      </w:r>
      <w:r>
        <w:rPr>
          <w:b/>
          <w:bCs/>
        </w:rPr>
        <w:t xml:space="preserve"> </w:t>
      </w:r>
      <w:r>
        <w:rPr>
          <w:b/>
          <w:bCs/>
        </w:rPr>
        <w:t xml:space="preserve">“frequently replaced”</w:t>
      </w:r>
      <w:r>
        <w:rPr>
          <w:b/>
          <w:bCs/>
        </w:rPr>
        <w:t xml:space="preserve"> </w:t>
      </w:r>
      <w:r>
        <w:rPr>
          <w:b/>
          <w:bCs/>
        </w:rPr>
        <w:t xml:space="preserve">cow (Cluster 1).</w:t>
      </w:r>
      <w:r>
        <w:t xml:space="preserve"> </w:t>
      </w:r>
      <w:r>
        <w:t xml:space="preserve">Cow 7068 rarely replaced other cows at the feed bin (daily actor events: 9.12, 4th percentile of the herd) but was frequently replaced by others (daily reactor events: 52.56, 90th percentile). Despite being routinely replaced at the bin, she still achieved one of the highest daily feed intakes in the herd (daily feed intake: 71.01, 91th percentile). She did not maintain the high feed intake by visiting the feed bins more often, as her feeding visits per day (78.85, 29th percentile) were actually below the herd median. She maintained high feed intake through an efficient feeding strategy. Specifically, when she did enter a bin, she continued to feed from that bin for a long time. Being frequently replaced does not contradict a long feeding duration, indeed simply by chance long bouts are more likely to be displaced. This cow’s daily feeding duration was long (388.2 min, 87th percentile), and a very high fraction of her meal time was spent with her occupying a feed bin rather than waiting to enter a bin (median percentage of time spent feeding per meal: 90.45%, 92th percentile). This feeding strategy was combined with a high median intake per meal (9.55 kg, 84th percentile). Consistent with this feeding style, non-nutritive visits were low (daily non-nutritive visits: 31.82, 31th percentile) and her drinking profile was unremarkable (daily drinking duration: 11.2 min, 52th percentile; daily drinking visits: 7.71, 36th percentile). In short, cow 7068 rarely won social encounters, but she compensated by making each meal count,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were the highest in the herd, several times higher than the herd mean. Although she visited the water bins often and for extended periods, her daily water intake (50.89 kg, 25th percentile) was below the herd median. She simply kept returning to the drinkers throughout the day in many short bouts. Her feeding-related variables were within the low to median range in the herd (feeding visits per day: 98.08, 57th percentile; median visits per meal: 10.67, 37th percentile). Although she spent 76.15% of the time feeding within a meal, this was well below the herd median (16th percentile); her median intake per meal was also low (6.81 kg, 13th percentile). Her non-nutritive behaviour (daily non-nutritive visits: 45.95, 60th percentile; median non-nutritive per meal: 4.77, 46th percentile) was close to the herd average. Socially she initiated more replacements than the typical cow (daily actor events: 33.79, 78th percentile) while being replaced at a near-average rate (daily reactor events: 36.61, 57th percentile). Her daily feed intake (65.17 kg, 50th percentile) sat right at the herd median, consistent with her feeding profile. What anchored her in this cluster was her distinctive drinking style: many long drinking visits spread across the day.</w:t>
      </w:r>
    </w:p>
    <w:p>
      <w:pPr>
        <w:pStyle w:val="BodyText"/>
      </w:pPr>
      <w:r>
        <w:rPr>
          <w:b/>
          <w:bCs/>
        </w:rPr>
        <w:t xml:space="preserve">Cow 5042 — a</w:t>
      </w:r>
      <w:r>
        <w:rPr>
          <w:b/>
          <w:bCs/>
        </w:rPr>
        <w:t xml:space="preserve"> </w:t>
      </w:r>
      <w:r>
        <w:rPr>
          <w:b/>
          <w:bCs/>
        </w:rPr>
        <w:t xml:space="preserve">“fragmented feeder”</w:t>
      </w:r>
      <w:r>
        <w:rPr>
          <w:b/>
          <w:bCs/>
        </w:rPr>
        <w:t xml:space="preserve"> </w:t>
      </w:r>
      <w:r>
        <w:rPr>
          <w:b/>
          <w:bCs/>
        </w:rPr>
        <w:t xml:space="preserve">(Cluster 3).</w:t>
      </w:r>
      <w:r>
        <w:t xml:space="preserve"> </w:t>
      </w:r>
      <w:r>
        <w:t xml:space="preserve">Cow 5042 was the most extreme individual in the herd on nearly every RC1 variable, and illustrated the fragmented-feeder profile. Her feeding visits per day (205.63, 100th percentile), median visits per meal (30.54, 100th percentile), daily non-nutritive visits (161.71, 100th percentile), and median non-nutritive visits per meal (22.32, 100th percentile) were all at the herd maximum. She visited feed bins near constantly and pulled her head in and out of bins many times per meal. Although her meals were unusually long (median meal duration: 92.0 min, 98th percentile), only 57.21% of her meal was spent occupying a feed bin (1st percentile, the lowest in the herd), meaning that on average, she spent about half of her meal time standing and waiting next to the feed bins rather than actually occupying it. Her cumulative daily feeding duration was low (310.5 min, 8th percentile), but her daily feed intake was still high (72.50 kg, 94th percentile); and her median intake per meal was near the top of the herd (10.43 kg, 97th percentile), meaning that during brief moments when she occupied the feed bins, she managed to consume a lot of feed. She was also highly socially active, appearing as both an actor (48.73, 98th percentile) and a reactor (62.67, 99th percentile) far more often than typical, suggesting that her fragmented feeding style was accompanied by (and possibly driven by) frequent agonistic interactions at the feeding area. Her daily drinking duration (13.7 min, 76th percentile) was modestly above the herd median, and she had relatively more drinking visits per day than the average cow (11.87, 88th percentile). In sum, cow 5042’s time at the feeding area was made up of many short, interrupted visits rather than sustained feeding; but when she managed to occupy a feed bin, she ate a lot.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replaced herdmates from feed bins (daily actor events: 37.80, 90th percentile) and was almost never herself replaced by others (daily reactor events: 12.53, 3rd percentile). Her meal structure reflected the feeding style of a cow that did not have to compete for access: she took a typical number of feeding visits per day (89.57, 40th percentile) and spread them into a typical number of meals (median visits per meal: 12.49, 53th percentile). Each meal was efficient with a moderately high fraction of meal time spent occupying a feed bin (median percentage of time spent feeding per meal: 84.94%, 65th percentile), yielding an above-average median intake per meal (9.55 kg, 85th percentile) and a high daily feed intake (69.60, 81th percentile). Her non-nutritive behaviour was on the lower side (daily non-nutritive visits: 33.50, 35th percentile; median non-nutritive per meal: 4.24, 38th percentile), and her drinking profile was unremarkable (daily drinking duration: 12.4 min, 66th percentile; daily drinking visits: 9.00, 56th percentile). When 5120 wanted to feed, she went directly to the bin she wanted, replacing whoever was there and was then rarely uninterrupted by other cows.</w:t>
      </w:r>
    </w:p>
    <w:bookmarkEnd w:id="51"/>
    <w:bookmarkEnd w:id="52"/>
    <w:bookmarkStart w:id="58" w:name="discussion"/>
    <w:p>
      <w:pPr>
        <w:pStyle w:val="Heading1"/>
      </w:pPr>
      <w:r>
        <w:t xml:space="preserve">4. Discussion</w:t>
      </w:r>
    </w:p>
    <w:p>
      <w:pPr>
        <w:pStyle w:val="FirstParagraph"/>
      </w:pPr>
      <w:r>
        <w:t xml:space="preserve">This study illustrates how the use of existing data streams from electronic feeders and drinkers can be used to describe far richer behavioural information than is typically extracted. By developing the</w:t>
      </w:r>
      <w:r>
        <w:t xml:space="preserve"> </w:t>
      </w:r>
      <w:r>
        <w:rPr>
          <w:rStyle w:val="VerbatimChar"/>
        </w:rPr>
        <w:t xml:space="preserve">moo4feed</w:t>
      </w:r>
      <w:r>
        <w:t xml:space="preserve"> </w:t>
      </w:r>
      <w:r>
        <w:t xml:space="preserve">R package, we introduced a standardised and reproducible pipeline for processing raw electronic feeder and drinker data and extracting behavioural variables that go beyond basic daily intake and visit counts. Using 16 variables spanning feeding, drinking, meal patterns, non-nutritive behaviour, and social competition, we quantified repeatability and predictability for each variable, identified behaviours most informative for individual profiling, and used those behaviours to characterise four distinct cow types within the herd.</w:t>
      </w:r>
    </w:p>
    <w:bookmarkStart w:id="53"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rPr>
          <w:t xml:space="preserve">Bell et al., 2009</w:t>
        </w:r>
      </w:hyperlink>
      <w:r>
        <w:t xml:space="preserve">)</w:t>
      </w:r>
      <w:r>
        <w:t xml:space="preserve">. Our repeatability values ranged from 0.21 (median proportion of feed remaining at visit start) to 0.74 (daily drinking duration), with most variables falling between 0.38 and 0.64. This places the majority of our behavioural variables above average, indicating that the behaviours captured from electronic feeders and drinkers likely reflect stable individual differences.</w:t>
      </w:r>
    </w:p>
    <w:p>
      <w:pPr>
        <w:pStyle w:val="BodyText"/>
      </w:pPr>
      <w:r>
        <w:t xml:space="preserve">Two methodological points are worth noting when comparing our results to previous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report both metrics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Neave et al.</w:t>
      </w:r>
      <w:r>
        <w:t xml:space="preserve"> </w:t>
      </w:r>
      <w:r>
        <w:t xml:space="preserve">(</w:t>
      </w:r>
      <w:hyperlink w:anchor="ref-neave2020long">
        <w:r>
          <w:rPr>
            <w:rStyle w:val="Hyperlink"/>
          </w:rPr>
          <w:t xml:space="preserve">2020</w:t>
        </w:r>
      </w:hyperlink>
      <w:r>
        <w:t xml:space="preserve">)</w:t>
      </w:r>
      <w:r>
        <w:t xml:space="preserve"> </w:t>
      </w:r>
      <w:r>
        <w:t xml:space="preserve">found that bold and exploratory traits were consistent within each rearing period (before and after weaning; after puberty to first lactation), but were not consistent across the pubertal transition, suggesting that major physiological changes at sexual maturation can disrupt previously stable behavioural profiles.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oestrus, and other disruptions. These design choices reduce within-individual noise and would be expected to yield higher repeatability.</w:t>
      </w:r>
    </w:p>
    <w:p>
      <w:pPr>
        <w:pStyle w:val="BodyText"/>
      </w:pPr>
      <w:r>
        <w:t xml:space="preserve">Many of our highest-R variables (daily drinking duration: 0.74; daily feeding visits: 0.68; daily non-nutritive visits: 0.64) capture behaviours that have never before been assessed for repeatability, which prevents comparison. Even our lowest R value (median proportion of feed remaining at visit start: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behaviours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behavioural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strict data filtering that inflated our R estimates relative to previous work: by removing days disrupted by illness, lameness, oestrus, and regrouping, we restricted our analyses to a stable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3"/>
    <w:bookmarkStart w:id="54" w:name="novel-behavioural-variables"/>
    <w:p>
      <w:pPr>
        <w:pStyle w:val="Heading2"/>
      </w:pPr>
      <w:r>
        <w:t xml:space="preserve">4.2 Novel Behavioural Variables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behaviour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behaviours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Daily actor events (CVi = 0.47 [0.40, 0.54]) and daily reactor events (CVi = 0.38 [0.32, 0.43]) also showed high among-individual variation. In contrast, daily feed intake (CVi = 0.10 [0.08, 0.11]) showed the smallest relative variation. The finding that cows are nearly indistinguishable from one another in daily feed intake, despite exhibiting different feeding profiles, suggests compensatory feeding: cows converge to similar intakes through different behavioural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behaviours.</w:t>
      </w:r>
    </w:p>
    <w:bookmarkEnd w:id="54"/>
    <w:bookmarkStart w:id="55" w:name="behavioural-profiles-and-cow-types"/>
    <w:p>
      <w:pPr>
        <w:pStyle w:val="Heading2"/>
      </w:pPr>
      <w:r>
        <w:t xml:space="preserve">4.3 Behavioural Profiles and Cow Types</w:t>
      </w:r>
    </w:p>
    <w:p>
      <w:pPr>
        <w:pStyle w:val="FirstParagraph"/>
      </w:pPr>
      <w:r>
        <w:t xml:space="preserve">By applying PCA with varimax rotation to the variables with both high R and high CVi, we identified three principal components explaining over 80% of variance. K-means clustering on these component scores identified four cow types: a frequently replaced, contest-winning, water lovers, and fragmented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variables that showed consistent and large among-individual variation, meaning these cows differed from one another in stable, characteristic ways throughout the study. However, we do not claim that this constitutes personality. Such assessment requires data capturing a more diverse range of variables spanning a longer time window, more diverse contexts, and ideally replication across farms and management systems. Nevertheless, the patterns we observed are consistent with the personality framework as behavioural differences were not explained purely by the fixed effects in our models. These sensor-derived behavioural profiles appear to reflect some aspects of personality or personality-like traits. It is worth noting that cows in this study were overstocked at the feeder (48 cows for 30 feed bins), which likely increased competition for feed access</w:t>
      </w:r>
      <w:r>
        <w:t xml:space="preserve"> </w:t>
      </w:r>
      <w:r>
        <w:t xml:space="preserve">(</w:t>
      </w:r>
      <w:hyperlink w:anchor="ref-sheng2024redefining">
        <w:r>
          <w:rPr>
            <w:rStyle w:val="Hyperlink"/>
          </w:rPr>
          <w:t xml:space="preserve">Sheng et al., 2024</w:t>
        </w:r>
      </w:hyperlink>
      <w:r>
        <w:t xml:space="preserve">)</w:t>
      </w:r>
      <w:r>
        <w:t xml:space="preserve">. The profiles we identified may only be relevant under high-competition conditions</w:t>
      </w:r>
      <w:r>
        <w:t xml:space="preserve"> </w:t>
      </w:r>
      <w:r>
        <w:t xml:space="preserve">(</w:t>
      </w:r>
      <w:hyperlink w:anchor="ref-schwanke2025graduate">
        <w:r>
          <w:rPr>
            <w:rStyle w:val="Hyperlink"/>
          </w:rPr>
          <w:t xml:space="preserve">Schwanke and DeVries, 2025</w:t>
        </w:r>
      </w:hyperlink>
      <w:r>
        <w:t xml:space="preserve">)</w:t>
      </w:r>
      <w:r>
        <w:t xml:space="preserve">.</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 replaced”</w:t>
      </w:r>
      <w:r>
        <w:t xml:space="preserve"> </w:t>
      </w:r>
      <w:r>
        <w:t xml:space="preserve">cows captures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should not be considered a clear proxy for dominance as these are likely associated with motivation to access fresh feed in intensive and competitive environment, in addition to social rank.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engaged in less non-nutritive and exploratory behaviour.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behaviour is not primarily driven by thirst. Cow 7150, whose case we highlighted, showed long drinking durations and frequent drinker visits during a period when THI remained consistently below 68, suggesting that this behaviour was not related to heat load</w:t>
      </w:r>
      <w:r>
        <w:t xml:space="preserve"> </w:t>
      </w:r>
      <w:r>
        <w:t xml:space="preserve">(</w:t>
      </w:r>
      <w:hyperlink w:anchor="ref-McDonald2020">
        <w:r>
          <w:rPr>
            <w:rStyle w:val="Hyperlink"/>
          </w:rPr>
          <w:t xml:space="preserve">McDonald et al., 2020</w:t>
        </w:r>
      </w:hyperlink>
      <w:r>
        <w:t xml:space="preserve">)</w:t>
      </w:r>
      <w:r>
        <w:t xml:space="preserve">. The</w:t>
      </w:r>
      <w:r>
        <w:t xml:space="preserve"> </w:t>
      </w:r>
      <w:r>
        <w:t xml:space="preserve">“fragmented feeders”</w:t>
      </w:r>
      <w:r>
        <w:t xml:space="preserve"> </w:t>
      </w:r>
      <w:r>
        <w:t xml:space="preserve">represent a qualitatively distinct type, defined by an exceptionally high rate of non-nutritive visits, approaching bins with feed available but withdrew without eating.</w:t>
      </w:r>
    </w:p>
    <w:bookmarkEnd w:id="55"/>
    <w:bookmarkStart w:id="56"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generalisability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previous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and could in principle be modelled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normalised even after log transformation. Fitting these variables with appropriate non-Gaussian families and deriving comparable repeatability metrics through simulation is beyond the scope of this paper but represents a worthwhile extension for future work.</w:t>
      </w:r>
    </w:p>
    <w:bookmarkEnd w:id="56"/>
    <w:bookmarkStart w:id="57"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behavioural extraction pipeline and the analytical framework is generalisable beyond dairy cattle. The package was designed with flexibility in mind, and testing its applicability across diverse farm settings would strengthen its utility as a general tool for behavioural phenotyping.</w:t>
      </w:r>
    </w:p>
    <w:p>
      <w:pPr>
        <w:pStyle w:val="BodyText"/>
      </w:pPr>
      <w:r>
        <w:t xml:space="preserve">Second, future research should explore the temporal and spatial dimensions of feeding behaviour. Our analyses characterised what cows do on average across the day, but not when or where they choose to compete for access to food and water.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behavioural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enhance our understanding about the social network structure of farm animals.</w:t>
      </w:r>
    </w:p>
    <w:p>
      <w:pPr>
        <w:pStyle w:val="BodyText"/>
      </w:pPr>
      <w:r>
        <w:t xml:space="preserve">Fourth, changes in these behaviours over time, and especially changes in a cow’s predictability (a highly consistent cow suddenly showing large variation in her behaviour), could serve as early indicators of disease or distress. The personality-dependent sickness behaviour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behaviour in opposite directions when sick, suggests that the four cow types identified here may respond to illness differently. Prospective validation of whether individual behavioural profiles predict the nature, direction, and timing of health-related behavioural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7"/>
    <w:bookmarkEnd w:id="58"/>
    <w:bookmarkStart w:id="59" w:name="conclusion"/>
    <w:p>
      <w:pPr>
        <w:pStyle w:val="Heading1"/>
      </w:pPr>
      <w:r>
        <w:t xml:space="preserve">5. Conclusion</w:t>
      </w:r>
    </w:p>
    <w:p>
      <w:pPr>
        <w:pStyle w:val="FirstParagraph"/>
      </w:pPr>
      <w:r>
        <w:t xml:space="preserve">In this study, we showed that data streams collected from automatic feeding and drinking systems contain rich biological information that can be used to decode individual behavioural profiles. Using dairy cows as an example, we demonstrated that animals living in the same environment differ consistently and substantially from one another across feeding, drinking, and social behaviours. Variables capturing exploratory behaviour, social competition at the feed bunk, and drinking duration showed the greatest and most consistent among-individual variation. Daily feed intake was among the least discriminating, suggesting that individuals in the observed group converged to similar daily intakes through different strategies. Using behaviours showing consistent among-individual differences, we identified four distinct behavioural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standardised and reproducible pipeline for extracting these variables from electronic feeder and drinker data already collected across many production systems, enabling individual-level behavioural profiling as a practical foundation for disease and distress monitoring in farm animals and beyond.</w:t>
      </w:r>
    </w:p>
    <w:bookmarkEnd w:id="59"/>
    <w:bookmarkStart w:id="60"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60"/>
    <w:bookmarkStart w:id="61"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61"/>
    <w:bookmarkStart w:id="62"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2"/>
    <w:bookmarkStart w:id="164"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63" w:name="references"/>
    <w:p>
      <w:pPr>
        <w:pStyle w:val="Heading2"/>
      </w:pPr>
      <w:r>
        <w:t xml:space="preserve">References</w:t>
      </w:r>
    </w:p>
    <w:bookmarkStart w:id="162" w:name="refs"/>
    <w:bookmarkStart w:id="64"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3">
        <w:r>
          <w:rPr>
            <w:rStyle w:val="Hyperlink"/>
          </w:rPr>
          <w:t xml:space="preserve">https://doi.org/10.2527/jas.2017.1593</w:t>
        </w:r>
      </w:hyperlink>
    </w:p>
    <w:bookmarkEnd w:id="64"/>
    <w:bookmarkStart w:id="66" w:name="ref-Bell2009"/>
    <w:p>
      <w:pPr>
        <w:pStyle w:val="Bibliography"/>
      </w:pPr>
      <w:r>
        <w:t xml:space="preserve">Bell, A.M., Hankison, S.J., Laskowski, K.L., 2009. The repeatability of behaviour: A meta-analysis. Animal Behaviour 77, 771–783.</w:t>
      </w:r>
      <w:r>
        <w:t xml:space="preserve"> </w:t>
      </w:r>
      <w:hyperlink r:id="rId65">
        <w:r>
          <w:rPr>
            <w:rStyle w:val="Hyperlink"/>
          </w:rPr>
          <w:t xml:space="preserve">https://doi.org/10.1016/j.anbehav.2008.12.022</w:t>
        </w:r>
      </w:hyperlink>
    </w:p>
    <w:bookmarkEnd w:id="66"/>
    <w:bookmarkStart w:id="68" w:name="ref-biro2012"/>
    <w:p>
      <w:pPr>
        <w:pStyle w:val="Bibliography"/>
      </w:pPr>
      <w:r>
        <w:t xml:space="preserve">Biro, P.A., 2012. Do rapid assays predict repeatability in labile (behavioural) traits? Animal Behaviour 83, 1295–1300.</w:t>
      </w:r>
      <w:r>
        <w:t xml:space="preserve"> </w:t>
      </w:r>
      <w:hyperlink r:id="rId67">
        <w:r>
          <w:rPr>
            <w:rStyle w:val="Hyperlink"/>
          </w:rPr>
          <w:t xml:space="preserve">https://doi.org/10.1016/j.anbehav.2012.01.036</w:t>
        </w:r>
      </w:hyperlink>
    </w:p>
    <w:bookmarkEnd w:id="68"/>
    <w:bookmarkStart w:id="70"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9">
        <w:r>
          <w:rPr>
            <w:rStyle w:val="Hyperlink"/>
          </w:rPr>
          <w:t xml:space="preserve">https://doi.org/10.3168/jdsc.2021-0184</w:t>
        </w:r>
      </w:hyperlink>
    </w:p>
    <w:bookmarkEnd w:id="70"/>
    <w:bookmarkStart w:id="72"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71">
        <w:r>
          <w:rPr>
            <w:rStyle w:val="Hyperlink"/>
          </w:rPr>
          <w:t xml:space="preserve">https://doi.org/10.3168/jds.2022-23176</w:t>
        </w:r>
      </w:hyperlink>
    </w:p>
    <w:bookmarkEnd w:id="72"/>
    <w:bookmarkStart w:id="74" w:name="ref-budaev2010using"/>
    <w:p>
      <w:pPr>
        <w:pStyle w:val="Bibliography"/>
      </w:pPr>
      <w:r>
        <w:t xml:space="preserve">Budaev, S.V., 2010. Using principal components and factor analysis in animal behaviour research: Caveats and guidelines. Ethology 116, 472–480.</w:t>
      </w:r>
      <w:r>
        <w:t xml:space="preserve"> </w:t>
      </w:r>
      <w:hyperlink r:id="rId73">
        <w:r>
          <w:rPr>
            <w:rStyle w:val="Hyperlink"/>
          </w:rPr>
          <w:t xml:space="preserve">https://doi.org/10.1111/j.1439-0310.2010.01758.x</w:t>
        </w:r>
      </w:hyperlink>
    </w:p>
    <w:bookmarkEnd w:id="74"/>
    <w:bookmarkStart w:id="76" w:name="ref-burkner2017brms"/>
    <w:p>
      <w:pPr>
        <w:pStyle w:val="Bibliography"/>
      </w:pPr>
      <w:r>
        <w:t xml:space="preserve">Bürkner, P.-C., 2017. Brms: An r package for bayesian multilevel models using stan. Journal of statistical software 80, 1–28.</w:t>
      </w:r>
      <w:r>
        <w:t xml:space="preserve"> </w:t>
      </w:r>
      <w:hyperlink r:id="rId75">
        <w:r>
          <w:rPr>
            <w:rStyle w:val="Hyperlink"/>
          </w:rPr>
          <w:t xml:space="preserve">https://doi.org/10.18637/jss.v080.i01</w:t>
        </w:r>
      </w:hyperlink>
    </w:p>
    <w:bookmarkEnd w:id="76"/>
    <w:bookmarkStart w:id="78"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7">
        <w:r>
          <w:rPr>
            <w:rStyle w:val="Hyperlink"/>
          </w:rPr>
          <w:t xml:space="preserve">https://doi.org/10.1186/1745-6150-2-2</w:t>
        </w:r>
      </w:hyperlink>
    </w:p>
    <w:bookmarkEnd w:id="78"/>
    <w:bookmarkStart w:id="80"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r>
        <w:t xml:space="preserve"> </w:t>
      </w:r>
      <w:hyperlink r:id="rId79">
        <w:r>
          <w:rPr>
            <w:rStyle w:val="Hyperlink"/>
          </w:rPr>
          <w:t xml:space="preserve">https://doi.org/10.1038/s41598-022-24076-x</w:t>
        </w:r>
      </w:hyperlink>
    </w:p>
    <w:bookmarkEnd w:id="80"/>
    <w:bookmarkStart w:id="82"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r>
        <w:t xml:space="preserve"> </w:t>
      </w:r>
      <w:hyperlink r:id="rId81">
        <w:r>
          <w:rPr>
            <w:rStyle w:val="Hyperlink"/>
          </w:rPr>
          <w:t xml:space="preserve">https://doi.org/10.3389/fvets.2022.827124</w:t>
        </w:r>
      </w:hyperlink>
    </w:p>
    <w:bookmarkEnd w:id="82"/>
    <w:bookmarkStart w:id="84" w:name="ref-chapinal2007validation"/>
    <w:p>
      <w:pPr>
        <w:pStyle w:val="Bibliography"/>
      </w:pPr>
      <w:r>
        <w:t xml:space="preserve">Chapinal, N., Veira, D.M., Weary, D.M., von Keyserlingk, M.A.G., 2007. Validation of a system for monitoring individual feeding and drinking behavior and intake in group-housed cattle. Journal of dairy science 90, 5732–5736.</w:t>
      </w:r>
      <w:r>
        <w:t xml:space="preserve"> </w:t>
      </w:r>
      <w:hyperlink r:id="rId83">
        <w:r>
          <w:rPr>
            <w:rStyle w:val="Hyperlink"/>
          </w:rPr>
          <w:t xml:space="preserve">https://doi.org/10.3168/jds.2007-0331</w:t>
        </w:r>
      </w:hyperlink>
    </w:p>
    <w:bookmarkEnd w:id="84"/>
    <w:bookmarkStart w:id="86"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85">
        <w:r>
          <w:rPr>
            <w:rStyle w:val="Hyperlink"/>
          </w:rPr>
          <w:t xml:space="preserve">https://doi.org/10.1016/j.applanim.2024.106315</w:t>
        </w:r>
      </w:hyperlink>
    </w:p>
    <w:bookmarkEnd w:id="86"/>
    <w:bookmarkStart w:id="87" w:name="ref-dawkins2021"/>
    <w:p>
      <w:pPr>
        <w:pStyle w:val="Bibliography"/>
      </w:pPr>
      <w:r>
        <w:t xml:space="preserve">Dawkins, M.S., 2021. The science of animal welfare: Understanding what animals want. Oxford University Press.</w:t>
      </w:r>
    </w:p>
    <w:bookmarkEnd w:id="87"/>
    <w:bookmarkStart w:id="89" w:name="ref-DeVries2003"/>
    <w:p>
      <w:pPr>
        <w:pStyle w:val="Bibliography"/>
      </w:pPr>
      <w:r>
        <w:t xml:space="preserve">DeVries, T.J., von Keyserlingk, M.A.G., Beauchemin, K.A., 2003. Short communication: Diurnal feeding pattern of lactating dairy cows. Journal of Dairy Science 86, 4079–4082.</w:t>
      </w:r>
      <w:r>
        <w:t xml:space="preserve"> </w:t>
      </w:r>
      <w:hyperlink r:id="rId88">
        <w:r>
          <w:rPr>
            <w:rStyle w:val="Hyperlink"/>
          </w:rPr>
          <w:t xml:space="preserve">https://doi.org/10.3168/JDS.S0022-0302(03)74020-X</w:t>
        </w:r>
      </w:hyperlink>
    </w:p>
    <w:bookmarkEnd w:id="89"/>
    <w:bookmarkStart w:id="91" w:name="ref-eriksson2020effects"/>
    <w:p>
      <w:pPr>
        <w:pStyle w:val="Bibliography"/>
      </w:pPr>
      <w:r>
        <w:t xml:space="preserve">Eriksson, H.K., Daros, R.R., von Keyserlingk, M.A.G., Weary, D.M., 2020. Effects of case definition and assessment frequency on lameness incidence estimates. Journal of dairy science 103, 638–648.</w:t>
      </w:r>
      <w:r>
        <w:t xml:space="preserve"> </w:t>
      </w:r>
      <w:hyperlink r:id="rId90">
        <w:r>
          <w:rPr>
            <w:rStyle w:val="Hyperlink"/>
          </w:rPr>
          <w:t xml:space="preserve">https://doi.org/10.3168/jds.2019-16426</w:t>
        </w:r>
      </w:hyperlink>
    </w:p>
    <w:bookmarkEnd w:id="91"/>
    <w:bookmarkStart w:id="93"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2">
        <w:r>
          <w:rPr>
            <w:rStyle w:val="Hyperlink"/>
          </w:rPr>
          <w:t xml:space="preserve">https://doi.org/10.3168/jds.2010-3147</w:t>
        </w:r>
      </w:hyperlink>
    </w:p>
    <w:bookmarkEnd w:id="93"/>
    <w:bookmarkStart w:id="95" w:name="ref-finkemeier2018"/>
    <w:p>
      <w:pPr>
        <w:pStyle w:val="Bibliography"/>
      </w:pPr>
      <w:r>
        <w:t xml:space="preserve">Finkemeier, M.-A., Langbein, J., Puppe, B., 2018. Personality research in mammalian farm animals: Concepts, measures, and relationship to welfare. Frontiers in veterinary science 5, 131.</w:t>
      </w:r>
      <w:r>
        <w:t xml:space="preserve"> </w:t>
      </w:r>
      <w:hyperlink r:id="rId94">
        <w:r>
          <w:rPr>
            <w:rStyle w:val="Hyperlink"/>
          </w:rPr>
          <w:t xml:space="preserve">https://doi.org/10.3389/fvets.2018.00131</w:t>
        </w:r>
      </w:hyperlink>
    </w:p>
    <w:bookmarkEnd w:id="95"/>
    <w:bookmarkStart w:id="97" w:name="ref-flower2006effect"/>
    <w:p>
      <w:pPr>
        <w:pStyle w:val="Bibliography"/>
      </w:pPr>
      <w:r>
        <w:t xml:space="preserve">Flower, F.C., Weary, D.M., 2006. Effect of hoof pathologies on subjective assessments of dairy cow gait. Journal of dairy science 89, 139–146.</w:t>
      </w:r>
      <w:r>
        <w:t xml:space="preserve"> </w:t>
      </w:r>
      <w:hyperlink r:id="rId96">
        <w:r>
          <w:rPr>
            <w:rStyle w:val="Hyperlink"/>
          </w:rPr>
          <w:t xml:space="preserve">https://doi.org/10.3168/jds.S0022-0302(06)72077-X</w:t>
        </w:r>
      </w:hyperlink>
    </w:p>
    <w:bookmarkEnd w:id="97"/>
    <w:bookmarkStart w:id="99" w:name="ref-Foris2021"/>
    <w:p>
      <w:pPr>
        <w:pStyle w:val="Bibliography"/>
      </w:pPr>
      <w:r>
        <w:t xml:space="preserve">Foris, B., Haas, H.G., Langbein, J., Melzer, N., 2021. Familiarity influences social networks in dairy cows after regrouping. Journal of Dairy Science 104, 3485–3494.</w:t>
      </w:r>
      <w:r>
        <w:t xml:space="preserve"> </w:t>
      </w:r>
      <w:hyperlink r:id="rId98">
        <w:r>
          <w:rPr>
            <w:rStyle w:val="Hyperlink"/>
          </w:rPr>
          <w:t xml:space="preserve">https://doi.org/10.3168/jds.2020-18896</w:t>
        </w:r>
      </w:hyperlink>
    </w:p>
    <w:bookmarkEnd w:id="99"/>
    <w:bookmarkStart w:id="101" w:name="ref-foris2019automatic"/>
    <w:p>
      <w:pPr>
        <w:pStyle w:val="Bibliography"/>
      </w:pPr>
      <w:r>
        <w:t xml:space="preserve">Foris, B., Thompson, A.J., von Keyserlingk, M.A.G., Melzer, N., Weary, D.M., 2019. Automatic detection of feeding-and drinking-related agonistic behavior and dominance in dairy cows. Journal of dairy science 102, 9176–9186.</w:t>
      </w:r>
      <w:r>
        <w:t xml:space="preserve"> </w:t>
      </w:r>
      <w:hyperlink r:id="rId100">
        <w:r>
          <w:rPr>
            <w:rStyle w:val="Hyperlink"/>
          </w:rPr>
          <w:t xml:space="preserve">https://doi.org/10.3168/jds.2019-16697</w:t>
        </w:r>
      </w:hyperlink>
    </w:p>
    <w:bookmarkEnd w:id="101"/>
    <w:bookmarkStart w:id="103"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2">
        <w:r>
          <w:rPr>
            <w:rStyle w:val="Hyperlink"/>
          </w:rPr>
          <w:t xml:space="preserve">https://doi.org/10.1111/rssa.12378</w:t>
        </w:r>
      </w:hyperlink>
    </w:p>
    <w:bookmarkEnd w:id="103"/>
    <w:bookmarkStart w:id="105"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4">
        <w:r>
          <w:rPr>
            <w:rStyle w:val="Hyperlink"/>
          </w:rPr>
          <w:t xml:space="preserve">https://doi.org/10.2527/1995.7392791x</w:t>
        </w:r>
      </w:hyperlink>
    </w:p>
    <w:bookmarkEnd w:id="105"/>
    <w:bookmarkStart w:id="107" w:name="ref-hertel2020"/>
    <w:p>
      <w:pPr>
        <w:pStyle w:val="Bibliography"/>
      </w:pPr>
      <w:r>
        <w:t xml:space="preserve">Hertel, A.G., Niemelä, P.T., Dingemanse, N.J., Mueller, T., 2020. A guide for studying among-individual behavioral variation from movement data in the wild. Movement ecology 8, 30.</w:t>
      </w:r>
      <w:r>
        <w:t xml:space="preserve"> </w:t>
      </w:r>
      <w:hyperlink r:id="rId106">
        <w:r>
          <w:rPr>
            <w:rStyle w:val="Hyperlink"/>
          </w:rPr>
          <w:t xml:space="preserve">https://doi.org/10.1186/s40462-020-00216-8</w:t>
        </w:r>
      </w:hyperlink>
    </w:p>
    <w:bookmarkEnd w:id="107"/>
    <w:bookmarkStart w:id="109"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08">
        <w:r>
          <w:rPr>
            <w:rStyle w:val="Hyperlink"/>
          </w:rPr>
          <w:t xml:space="preserve">https://doi.org/10.3168/jds.2011-5038</w:t>
        </w:r>
      </w:hyperlink>
    </w:p>
    <w:bookmarkEnd w:id="109"/>
    <w:bookmarkStart w:id="111" w:name="ref-huzzey2014automatic"/>
    <w:p>
      <w:pPr>
        <w:pStyle w:val="Bibliography"/>
      </w:pPr>
      <w:r>
        <w:t xml:space="preserve">Huzzey, J.M., Weary, D.M., Tiau, B., von Keyserlingk, M.A.G., 2014. Automatic detection of social competition using an electronic feeding system. Journal of dairy science 97, 2953–2958.</w:t>
      </w:r>
      <w:r>
        <w:t xml:space="preserve"> </w:t>
      </w:r>
      <w:hyperlink r:id="rId110">
        <w:r>
          <w:rPr>
            <w:rStyle w:val="Hyperlink"/>
          </w:rPr>
          <w:t xml:space="preserve">https://doi.org/10.3168/jds.2013-7434</w:t>
        </w:r>
      </w:hyperlink>
    </w:p>
    <w:bookmarkEnd w:id="111"/>
    <w:bookmarkStart w:id="113"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r>
        <w:t xml:space="preserve"> </w:t>
      </w:r>
      <w:hyperlink r:id="rId112">
        <w:r>
          <w:rPr>
            <w:rStyle w:val="Hyperlink"/>
          </w:rPr>
          <w:t xml:space="preserve">https://doi.org/10.1109/ICADIWT.2014.6814687</w:t>
        </w:r>
      </w:hyperlink>
    </w:p>
    <w:bookmarkEnd w:id="113"/>
    <w:bookmarkStart w:id="115"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4">
        <w:r>
          <w:rPr>
            <w:rStyle w:val="Hyperlink"/>
          </w:rPr>
          <w:t xml:space="preserve">https://doi.org/10.1016/0168-1591(91)90086-D</w:t>
        </w:r>
      </w:hyperlink>
    </w:p>
    <w:bookmarkEnd w:id="115"/>
    <w:bookmarkStart w:id="117"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r>
        <w:t xml:space="preserve"> </w:t>
      </w:r>
      <w:hyperlink r:id="rId116">
        <w:r>
          <w:rPr>
            <w:rStyle w:val="Hyperlink"/>
          </w:rPr>
          <w:t xml:space="preserve">https://doi.org/10.1109/AEEICB.2017.7972424</w:t>
        </w:r>
      </w:hyperlink>
    </w:p>
    <w:bookmarkEnd w:id="117"/>
    <w:bookmarkStart w:id="119" w:name="ref-McDonald2020"/>
    <w:p>
      <w:pPr>
        <w:pStyle w:val="Bibliography"/>
      </w:pPr>
      <w:r>
        <w:t xml:space="preserve">McDonald, P.V., von Keyserlingk, M.A.G., Weary, D.M., 2020. Hot weather increases competition between dairy cows at the drinker. Journal of Dairy Science 103, 3447–3458.</w:t>
      </w:r>
      <w:r>
        <w:t xml:space="preserve"> </w:t>
      </w:r>
      <w:hyperlink r:id="rId118">
        <w:r>
          <w:rPr>
            <w:rStyle w:val="Hyperlink"/>
          </w:rPr>
          <w:t xml:space="preserve">https://doi.org/10.3168/jds.2019-17456</w:t>
        </w:r>
      </w:hyperlink>
    </w:p>
    <w:bookmarkEnd w:id="119"/>
    <w:bookmarkStart w:id="121"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20">
        <w:r>
          <w:rPr>
            <w:rStyle w:val="Hyperlink"/>
          </w:rPr>
          <w:t xml:space="preserve">https://doi.org/10.1002/ece3.7603</w:t>
        </w:r>
      </w:hyperlink>
    </w:p>
    <w:bookmarkEnd w:id="121"/>
    <w:bookmarkStart w:id="123" w:name="ref-neave2020long"/>
    <w:p>
      <w:pPr>
        <w:pStyle w:val="Bibliography"/>
      </w:pPr>
      <w:r>
        <w:t xml:space="preserve">Neave, H.W., Costa, J.H.C., Weary, D.M., von Keyserlingk, M.A.G., 2020. Long-term consistency of personality traits of cattle. Royal Society open science 7.</w:t>
      </w:r>
      <w:r>
        <w:t xml:space="preserve"> </w:t>
      </w:r>
      <w:hyperlink r:id="rId122">
        <w:r>
          <w:rPr>
            <w:rStyle w:val="Hyperlink"/>
          </w:rPr>
          <w:t xml:space="preserve">https://doi.org/10.1098/rsos.191849</w:t>
        </w:r>
      </w:hyperlink>
    </w:p>
    <w:bookmarkEnd w:id="123"/>
    <w:bookmarkStart w:id="125"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24">
        <w:r>
          <w:rPr>
            <w:rStyle w:val="Hyperlink"/>
          </w:rPr>
          <w:t xml:space="preserve">https://doi.org/10.3168/jds.2017-14248</w:t>
        </w:r>
      </w:hyperlink>
    </w:p>
    <w:bookmarkEnd w:id="125"/>
    <w:bookmarkStart w:id="127"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r>
        <w:t xml:space="preserve"> </w:t>
      </w:r>
      <w:hyperlink r:id="rId126">
        <w:r>
          <w:rPr>
            <w:rStyle w:val="Hyperlink"/>
          </w:rPr>
          <w:t xml:space="preserve">https://doi.org/10.1098/rsos.212019</w:t>
        </w:r>
      </w:hyperlink>
    </w:p>
    <w:bookmarkEnd w:id="127"/>
    <w:bookmarkStart w:id="129"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28">
        <w:r>
          <w:rPr>
            <w:rStyle w:val="Hyperlink"/>
          </w:rPr>
          <w:t xml:space="preserve">https://doi.org/10.3168/jds.S0022-0302(01)74692-9</w:t>
        </w:r>
      </w:hyperlink>
    </w:p>
    <w:bookmarkEnd w:id="129"/>
    <w:bookmarkStart w:id="131" w:name="ref-R-base"/>
    <w:p>
      <w:pPr>
        <w:pStyle w:val="Bibliography"/>
      </w:pPr>
      <w:r>
        <w:t xml:space="preserve">R Core Team, 2025.</w:t>
      </w:r>
      <w:r>
        <w:t xml:space="preserve"> </w:t>
      </w:r>
      <w:hyperlink r:id="rId130">
        <w:r>
          <w:rPr>
            <w:rStyle w:val="Hyperlink"/>
          </w:rPr>
          <w:t xml:space="preserve">R: A language and environment for statistical computing</w:t>
        </w:r>
      </w:hyperlink>
      <w:r>
        <w:t xml:space="preserve">. R Foundation for Statistical Computing, Vienna, Austria.</w:t>
      </w:r>
    </w:p>
    <w:bookmarkEnd w:id="131"/>
    <w:bookmarkStart w:id="133" w:name="ref-reale2007"/>
    <w:p>
      <w:pPr>
        <w:pStyle w:val="Bibliography"/>
      </w:pPr>
      <w:r>
        <w:t xml:space="preserve">Réale, D., Reader, S.M., Sol, D., McDougall, P.T., Dingemanse, N.J., 2007. Integrating animal temperament within ecology and evolution. Biological reviews 82, 291–318.</w:t>
      </w:r>
      <w:r>
        <w:t xml:space="preserve"> </w:t>
      </w:r>
      <w:hyperlink r:id="rId132">
        <w:r>
          <w:rPr>
            <w:rStyle w:val="Hyperlink"/>
          </w:rPr>
          <w:t xml:space="preserve">https://doi.org/10.1111/j.1469-185X.2007.00010.x</w:t>
        </w:r>
      </w:hyperlink>
    </w:p>
    <w:bookmarkEnd w:id="133"/>
    <w:bookmarkStart w:id="135" w:name="ref-reith2018behavioral"/>
    <w:p>
      <w:pPr>
        <w:pStyle w:val="Bibliography"/>
      </w:pPr>
      <w:r>
        <w:t xml:space="preserve">Reith, S., Hoy, S., 2018. Behavioral signs of estrus and the potential of fully automated systems for detection of estrus in dairy cattle. Animal 12, 398–407.</w:t>
      </w:r>
      <w:r>
        <w:t xml:space="preserve"> </w:t>
      </w:r>
      <w:hyperlink r:id="rId134">
        <w:r>
          <w:rPr>
            <w:rStyle w:val="Hyperlink"/>
          </w:rPr>
          <w:t xml:space="preserve">https://doi.org/10.1017/S1751731117001975</w:t>
        </w:r>
      </w:hyperlink>
    </w:p>
    <w:bookmarkEnd w:id="135"/>
    <w:bookmarkStart w:id="137"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36">
        <w:r>
          <w:rPr>
            <w:rStyle w:val="Hyperlink"/>
          </w:rPr>
          <w:t xml:space="preserve">https://doi.org/10.1016/j.applanim.2018.12.012</w:t>
        </w:r>
      </w:hyperlink>
    </w:p>
    <w:bookmarkEnd w:id="137"/>
    <w:bookmarkStart w:id="139"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38">
        <w:r>
          <w:rPr>
            <w:rStyle w:val="Hyperlink"/>
          </w:rPr>
          <w:t xml:space="preserve">https://doi.org/10.1016/0377-0427(87)90125-7</w:t>
        </w:r>
      </w:hyperlink>
    </w:p>
    <w:bookmarkEnd w:id="139"/>
    <w:bookmarkStart w:id="141" w:name="ref-schwanke2025graduate"/>
    <w:p>
      <w:pPr>
        <w:pStyle w:val="Bibliography"/>
      </w:pPr>
      <w:r>
        <w:t xml:space="preserve">Schwanke, A., DeVries, T., 2025. Graduate student literature review: Temperament, personality, and coping style in dairy cattle—understanding individual variation in response to challenges and management strategies. Journal of Dairy Science.</w:t>
      </w:r>
      <w:r>
        <w:t xml:space="preserve"> </w:t>
      </w:r>
      <w:hyperlink r:id="rId140">
        <w:r>
          <w:rPr>
            <w:rStyle w:val="Hyperlink"/>
          </w:rPr>
          <w:t xml:space="preserve">https://doi.org/10.3168/jds.2025-26552</w:t>
        </w:r>
      </w:hyperlink>
    </w:p>
    <w:bookmarkEnd w:id="141"/>
    <w:bookmarkStart w:id="143"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r>
        <w:t xml:space="preserve"> </w:t>
      </w:r>
      <w:hyperlink r:id="rId142">
        <w:r>
          <w:rPr>
            <w:rStyle w:val="Hyperlink"/>
          </w:rPr>
          <w:t xml:space="preserve">https://doi.org/10.3168/jds.2023-24514</w:t>
        </w:r>
      </w:hyperlink>
    </w:p>
    <w:bookmarkEnd w:id="143"/>
    <w:bookmarkStart w:id="145"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r>
        <w:t xml:space="preserve"> </w:t>
      </w:r>
      <w:hyperlink r:id="rId144">
        <w:r>
          <w:rPr>
            <w:rStyle w:val="Hyperlink"/>
          </w:rPr>
          <w:t xml:space="preserve">https://doi.org/10.3168/jds.2023-24257</w:t>
        </w:r>
      </w:hyperlink>
    </w:p>
    <w:bookmarkEnd w:id="145"/>
    <w:bookmarkStart w:id="147" w:name="ref-sheng2024redefining"/>
    <w:p>
      <w:pPr>
        <w:pStyle w:val="Bibliography"/>
      </w:pPr>
      <w:r>
        <w:t xml:space="preserve">Sheng, K., Foris, B., Krahn, J., Weary, D.M., von Keyserlingk, M.A.G., 2024. Redefining dominance calculation: Increased competition flattens the dominance hierarchy in dairy cows. Journal of Dairy Science 107, 7286–7298.</w:t>
      </w:r>
      <w:r>
        <w:t xml:space="preserve"> </w:t>
      </w:r>
      <w:hyperlink r:id="rId146">
        <w:r>
          <w:rPr>
            <w:rStyle w:val="Hyperlink"/>
          </w:rPr>
          <w:t xml:space="preserve">https://doi.org/10.3168/jds.2023-24587</w:t>
        </w:r>
      </w:hyperlink>
    </w:p>
    <w:bookmarkEnd w:id="147"/>
    <w:bookmarkStart w:id="149"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48">
        <w:r>
          <w:rPr>
            <w:rStyle w:val="Hyperlink"/>
          </w:rPr>
          <w:t xml:space="preserve">https://doi.org/10.1007/978-1-4615-7575-7_2</w:t>
        </w:r>
      </w:hyperlink>
    </w:p>
    <w:bookmarkEnd w:id="149"/>
    <w:bookmarkStart w:id="151" w:name="ref-thomas2024"/>
    <w:p>
      <w:pPr>
        <w:pStyle w:val="Bibliography"/>
      </w:pPr>
      <w:r>
        <w:t xml:space="preserve">Thomas, M., Occhiuto, F., Green, M., Vázquez-Diosdado, J.A., Kaler, J., 2024. Repeatability and predictability of lying and feeding behaviours in dairy cattle. Preventive Veterinary Medicine 233, 106357.</w:t>
      </w:r>
      <w:r>
        <w:t xml:space="preserve"> </w:t>
      </w:r>
      <w:hyperlink r:id="rId150">
        <w:r>
          <w:rPr>
            <w:rStyle w:val="Hyperlink"/>
          </w:rPr>
          <w:t xml:space="preserve">https://doi.org/10.1016/j.prevetmed.2024.106357</w:t>
        </w:r>
      </w:hyperlink>
    </w:p>
    <w:bookmarkEnd w:id="151"/>
    <w:bookmarkStart w:id="153" w:name="ref-tolkamp1998satiety"/>
    <w:p>
      <w:pPr>
        <w:pStyle w:val="Bibliography"/>
      </w:pPr>
      <w:r>
        <w:t xml:space="preserve">Tolkamp, B., Allcroft, D., Austin, E., Nielsen, B.L., Kyriazakis, I., 1998. Satiety splits feeding behaviour into bouts. Journal of Theoretical Biology 194, 235–250.</w:t>
      </w:r>
      <w:r>
        <w:t xml:space="preserve"> </w:t>
      </w:r>
      <w:hyperlink r:id="rId152">
        <w:r>
          <w:rPr>
            <w:rStyle w:val="Hyperlink"/>
          </w:rPr>
          <w:t xml:space="preserve">https://doi.org/10.1006/jtbi.1998.0759</w:t>
        </w:r>
      </w:hyperlink>
    </w:p>
    <w:bookmarkEnd w:id="153"/>
    <w:bookmarkStart w:id="155"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54">
        <w:r>
          <w:rPr>
            <w:rStyle w:val="Hyperlink"/>
          </w:rPr>
          <w:t xml:space="preserve">https://doi.org/10.1214/20-BA1221</w:t>
        </w:r>
      </w:hyperlink>
    </w:p>
    <w:bookmarkEnd w:id="155"/>
    <w:bookmarkStart w:id="157" w:name="ref-von2008acute"/>
    <w:p>
      <w:pPr>
        <w:pStyle w:val="Bibliography"/>
      </w:pPr>
      <w:r>
        <w:t xml:space="preserve">von Keyserlingk, M.A.G., Olenick, D.M., Weary, D.M., 2008. Acute behavioral effects of regrouping dairy cows. Journal of Dairy Science 91, 1011–1016.</w:t>
      </w:r>
      <w:r>
        <w:t xml:space="preserve"> </w:t>
      </w:r>
      <w:hyperlink r:id="rId156">
        <w:r>
          <w:rPr>
            <w:rStyle w:val="Hyperlink"/>
          </w:rPr>
          <w:t xml:space="preserve">https://doi.org/10.3168/jds.2007-0532</w:t>
        </w:r>
      </w:hyperlink>
    </w:p>
    <w:bookmarkEnd w:id="157"/>
    <w:bookmarkStart w:id="159" w:name="ref-webster2011personality"/>
    <w:p>
      <w:pPr>
        <w:pStyle w:val="Bibliography"/>
      </w:pPr>
      <w:r>
        <w:t xml:space="preserve">Webster, M.M., Ward, A.J., 2011. Personality and social context. Biological reviews 86, 759–773.</w:t>
      </w:r>
      <w:r>
        <w:t xml:space="preserve"> </w:t>
      </w:r>
      <w:hyperlink r:id="rId158">
        <w:r>
          <w:rPr>
            <w:rStyle w:val="Hyperlink"/>
          </w:rPr>
          <w:t xml:space="preserve">https://doi.org/10.1111/j.1469-185X.2010.00169.x</w:t>
        </w:r>
      </w:hyperlink>
    </w:p>
    <w:bookmarkEnd w:id="159"/>
    <w:bookmarkStart w:id="161" w:name="ref-wilkinson2016fair"/>
    <w:p>
      <w:pPr>
        <w:pStyle w:val="Bibliography"/>
      </w:pPr>
      <w:r>
        <w:t xml:space="preserve">Wilkinson, M.D., Dumontier, M., Aalbersberg, Ij.J., Appleton, G., Axton, M., Baak, A., Blomberg, N., Boiten, J.-W., Silva Santos, L.B. da, Bourne, P.E., others, 2016. The FAIR guiding principles for scientific data management and stewardship. Scientific data 3, 1–9.</w:t>
      </w:r>
      <w:r>
        <w:t xml:space="preserve"> </w:t>
      </w:r>
      <w:hyperlink r:id="rId160">
        <w:r>
          <w:rPr>
            <w:rStyle w:val="Hyperlink"/>
          </w:rPr>
          <w:t xml:space="preserve">https://doi.org/10.1038/sdata.2016.18</w:t>
        </w:r>
      </w:hyperlink>
    </w:p>
    <w:bookmarkEnd w:id="161"/>
    <w:bookmarkEnd w:id="162"/>
    <w:bookmarkEnd w:id="163"/>
    <w:bookmarkEnd w:id="164"/>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7621EB"/>
    <w:rsid w:val="008B5B9D"/>
    <w:rsid w:val="008D2737"/>
    <w:rsid w:val="00906878"/>
    <w:rsid w:val="00A23682"/>
    <w:rsid w:val="00A87D45"/>
    <w:rsid w:val="00BB1731"/>
    <w:rsid w:val="00C95531"/>
    <w:rsid w:val="00D82B74"/>
    <w:rsid w:val="00D82D1C"/>
    <w:rsid w:val="00E1106E"/>
    <w:rsid w:val="00E23478"/>
    <w:rsid w:val="00F01327"/>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A23682"/>
    <w:pPr>
      <w:spacing w:after="80" w:line="480" w:lineRule="auto"/>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A23682"/>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hyperlink" Id="rId29" Target="https://app.codecov.io/gh/skysheng7/moo4feed" TargetMode="External" /><Relationship Type="http://schemas.openxmlformats.org/officeDocument/2006/relationships/hyperlink" Id="rId120" Target="https://doi.org/10.1002/ece3.7603" TargetMode="External" /><Relationship Type="http://schemas.openxmlformats.org/officeDocument/2006/relationships/hyperlink" Id="rId152" Target="https://doi.org/10.1006/jtbi.1998.0759" TargetMode="External" /><Relationship Type="http://schemas.openxmlformats.org/officeDocument/2006/relationships/hyperlink" Id="rId148" Target="https://doi.org/10.1007/978-1-4615-7575-7_2" TargetMode="External" /><Relationship Type="http://schemas.openxmlformats.org/officeDocument/2006/relationships/hyperlink" Id="rId114" Target="https://doi.org/10.1016/0168-1591(91)90086-D" TargetMode="External" /><Relationship Type="http://schemas.openxmlformats.org/officeDocument/2006/relationships/hyperlink" Id="rId138" Target="https://doi.org/10.1016/0377-0427(87)90125-7" TargetMode="External" /><Relationship Type="http://schemas.openxmlformats.org/officeDocument/2006/relationships/hyperlink" Id="rId65" Target="https://doi.org/10.1016/j.anbehav.2008.12.022" TargetMode="External" /><Relationship Type="http://schemas.openxmlformats.org/officeDocument/2006/relationships/hyperlink" Id="rId67" Target="https://doi.org/10.1016/j.anbehav.2012.01.036" TargetMode="External" /><Relationship Type="http://schemas.openxmlformats.org/officeDocument/2006/relationships/hyperlink" Id="rId136" Target="https://doi.org/10.1016/j.applanim.2018.12.012" TargetMode="External" /><Relationship Type="http://schemas.openxmlformats.org/officeDocument/2006/relationships/hyperlink" Id="rId85" Target="https://doi.org/10.1016/j.applanim.2024.106315" TargetMode="External" /><Relationship Type="http://schemas.openxmlformats.org/officeDocument/2006/relationships/hyperlink" Id="rId150" Target="https://doi.org/10.1016/j.prevetmed.2024.106357" TargetMode="External" /><Relationship Type="http://schemas.openxmlformats.org/officeDocument/2006/relationships/hyperlink" Id="rId134" Target="https://doi.org/10.1017/S1751731117001975" TargetMode="External" /><Relationship Type="http://schemas.openxmlformats.org/officeDocument/2006/relationships/hyperlink" Id="rId79" Target="https://doi.org/10.1038/s41598-022-24076-x" TargetMode="External" /><Relationship Type="http://schemas.openxmlformats.org/officeDocument/2006/relationships/hyperlink" Id="rId160" Target="https://doi.org/10.1038/sdata.2016.18" TargetMode="External" /><Relationship Type="http://schemas.openxmlformats.org/officeDocument/2006/relationships/hyperlink" Id="rId122" Target="https://doi.org/10.1098/rsos.191849" TargetMode="External" /><Relationship Type="http://schemas.openxmlformats.org/officeDocument/2006/relationships/hyperlink" Id="rId126" Target="https://doi.org/10.1098/rsos.212019" TargetMode="External" /><Relationship Type="http://schemas.openxmlformats.org/officeDocument/2006/relationships/hyperlink" Id="rId116" Target="https://doi.org/10.1109/AEEICB.2017.7972424" TargetMode="External" /><Relationship Type="http://schemas.openxmlformats.org/officeDocument/2006/relationships/hyperlink" Id="rId112" Target="https://doi.org/10.1109/ICADIWT.2014.6814687" TargetMode="External" /><Relationship Type="http://schemas.openxmlformats.org/officeDocument/2006/relationships/hyperlink" Id="rId73" Target="https://doi.org/10.1111/j.1439-0310.2010.01758.x" TargetMode="External" /><Relationship Type="http://schemas.openxmlformats.org/officeDocument/2006/relationships/hyperlink" Id="rId132" Target="https://doi.org/10.1111/j.1469-185X.2007.00010.x" TargetMode="External" /><Relationship Type="http://schemas.openxmlformats.org/officeDocument/2006/relationships/hyperlink" Id="rId158" Target="https://doi.org/10.1111/j.1469-185X.2010.00169.x" TargetMode="External" /><Relationship Type="http://schemas.openxmlformats.org/officeDocument/2006/relationships/hyperlink" Id="rId102" Target="https://doi.org/10.1111/rssa.12378" TargetMode="External" /><Relationship Type="http://schemas.openxmlformats.org/officeDocument/2006/relationships/hyperlink" Id="rId77" Target="https://doi.org/10.1186/1745-6150-2-2" TargetMode="External" /><Relationship Type="http://schemas.openxmlformats.org/officeDocument/2006/relationships/hyperlink" Id="rId106" Target="https://doi.org/10.1186/s40462-020-00216-8" TargetMode="External" /><Relationship Type="http://schemas.openxmlformats.org/officeDocument/2006/relationships/hyperlink" Id="rId154" Target="https://doi.org/10.1214/20-BA1221" TargetMode="External" /><Relationship Type="http://schemas.openxmlformats.org/officeDocument/2006/relationships/hyperlink" Id="rId75" Target="https://doi.org/10.18637/jss.v080.i01" TargetMode="External" /><Relationship Type="http://schemas.openxmlformats.org/officeDocument/2006/relationships/hyperlink" Id="rId104" Target="https://doi.org/10.2527/1995.7392791x" TargetMode="External" /><Relationship Type="http://schemas.openxmlformats.org/officeDocument/2006/relationships/hyperlink" Id="rId63" Target="https://doi.org/10.2527/jas.2017.1593" TargetMode="External" /><Relationship Type="http://schemas.openxmlformats.org/officeDocument/2006/relationships/hyperlink" Id="rId88" Target="https://doi.org/10.3168/JDS.S0022-0302(03)74020-X" TargetMode="External" /><Relationship Type="http://schemas.openxmlformats.org/officeDocument/2006/relationships/hyperlink" Id="rId83" Target="https://doi.org/10.3168/jds.2007-0331" TargetMode="External" /><Relationship Type="http://schemas.openxmlformats.org/officeDocument/2006/relationships/hyperlink" Id="rId156" Target="https://doi.org/10.3168/jds.2007-0532" TargetMode="External" /><Relationship Type="http://schemas.openxmlformats.org/officeDocument/2006/relationships/hyperlink" Id="rId92" Target="https://doi.org/10.3168/jds.2010-3147" TargetMode="External" /><Relationship Type="http://schemas.openxmlformats.org/officeDocument/2006/relationships/hyperlink" Id="rId108" Target="https://doi.org/10.3168/jds.2011-5038" TargetMode="External" /><Relationship Type="http://schemas.openxmlformats.org/officeDocument/2006/relationships/hyperlink" Id="rId110" Target="https://doi.org/10.3168/jds.2013-7434" TargetMode="External" /><Relationship Type="http://schemas.openxmlformats.org/officeDocument/2006/relationships/hyperlink" Id="rId124" Target="https://doi.org/10.3168/jds.2017-14248" TargetMode="External" /><Relationship Type="http://schemas.openxmlformats.org/officeDocument/2006/relationships/hyperlink" Id="rId90" Target="https://doi.org/10.3168/jds.2019-16426" TargetMode="External" /><Relationship Type="http://schemas.openxmlformats.org/officeDocument/2006/relationships/hyperlink" Id="rId100" Target="https://doi.org/10.3168/jds.2019-16697" TargetMode="External" /><Relationship Type="http://schemas.openxmlformats.org/officeDocument/2006/relationships/hyperlink" Id="rId118" Target="https://doi.org/10.3168/jds.2019-17456" TargetMode="External" /><Relationship Type="http://schemas.openxmlformats.org/officeDocument/2006/relationships/hyperlink" Id="rId98" Target="https://doi.org/10.3168/jds.2020-18896" TargetMode="External" /><Relationship Type="http://schemas.openxmlformats.org/officeDocument/2006/relationships/hyperlink" Id="rId71" Target="https://doi.org/10.3168/jds.2022-23176" TargetMode="External" /><Relationship Type="http://schemas.openxmlformats.org/officeDocument/2006/relationships/hyperlink" Id="rId144" Target="https://doi.org/10.3168/jds.2023-24257" TargetMode="External" /><Relationship Type="http://schemas.openxmlformats.org/officeDocument/2006/relationships/hyperlink" Id="rId142" Target="https://doi.org/10.3168/jds.2023-24514" TargetMode="External" /><Relationship Type="http://schemas.openxmlformats.org/officeDocument/2006/relationships/hyperlink" Id="rId146" Target="https://doi.org/10.3168/jds.2023-24587" TargetMode="External" /><Relationship Type="http://schemas.openxmlformats.org/officeDocument/2006/relationships/hyperlink" Id="rId140" Target="https://doi.org/10.3168/jds.2025-26552" TargetMode="External" /><Relationship Type="http://schemas.openxmlformats.org/officeDocument/2006/relationships/hyperlink" Id="rId128" Target="https://doi.org/10.3168/jds.S0022-0302(01)74692-9" TargetMode="External" /><Relationship Type="http://schemas.openxmlformats.org/officeDocument/2006/relationships/hyperlink" Id="rId96" Target="https://doi.org/10.3168/jds.S0022-0302(06)72077-X" TargetMode="External" /><Relationship Type="http://schemas.openxmlformats.org/officeDocument/2006/relationships/hyperlink" Id="rId69" Target="https://doi.org/10.3168/jdsc.2021-0184" TargetMode="External" /><Relationship Type="http://schemas.openxmlformats.org/officeDocument/2006/relationships/hyperlink" Id="rId94" Target="https://doi.org/10.3389/fvets.2018.00131" TargetMode="External" /><Relationship Type="http://schemas.openxmlformats.org/officeDocument/2006/relationships/hyperlink" Id="rId81" Target="https://doi.org/10.3389/fvets.2022.827124" TargetMode="External" /><Relationship Type="http://schemas.openxmlformats.org/officeDocument/2006/relationships/hyperlink" Id="rId33" Target="https://doi.org/10.5683/SP3/K6J350" TargetMode="External" /><Relationship Type="http://schemas.openxmlformats.org/officeDocument/2006/relationships/hyperlink" Id="rId32" Target="https://doi.org/10.5683/SP3/LF4DRO" TargetMode="External" /><Relationship Type="http://schemas.openxmlformats.org/officeDocument/2006/relationships/hyperlink" Id="rId31" Target="https://github.com/skysheng7/competition_dominance_analysis.git" TargetMode="External" /><Relationship Type="http://schemas.openxmlformats.org/officeDocument/2006/relationships/hyperlink" Id="rId30" Target="https://github.com/skysheng7/moo4feed.git" TargetMode="External" /><Relationship Type="http://schemas.openxmlformats.org/officeDocument/2006/relationships/hyperlink" Id="rId130" Target="https://www.R-project.org/" TargetMode="External" /><Relationship Type="http://schemas.openxmlformats.org/officeDocument/2006/relationships/hyperlink" Id="rId21" Target="https://www.skysheng.io/moo4feed/" TargetMode="External" /><Relationship Type="http://schemas.openxmlformats.org/officeDocument/2006/relationships/hyperlink" Id="rId26" Target="https://www.skysheng.io/moo4feed/articles/meal_clustering.html" TargetMode="External" /><Relationship Type="http://schemas.openxmlformats.org/officeDocument/2006/relationships/hyperlink" Id="rId44"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9" Target="https://app.codecov.io/gh/skysheng7/moo4feed" TargetMode="External" /><Relationship Type="http://schemas.openxmlformats.org/officeDocument/2006/relationships/hyperlink" Id="rId120" Target="https://doi.org/10.1002/ece3.7603" TargetMode="External" /><Relationship Type="http://schemas.openxmlformats.org/officeDocument/2006/relationships/hyperlink" Id="rId152" Target="https://doi.org/10.1006/jtbi.1998.0759" TargetMode="External" /><Relationship Type="http://schemas.openxmlformats.org/officeDocument/2006/relationships/hyperlink" Id="rId148" Target="https://doi.org/10.1007/978-1-4615-7575-7_2" TargetMode="External" /><Relationship Type="http://schemas.openxmlformats.org/officeDocument/2006/relationships/hyperlink" Id="rId114" Target="https://doi.org/10.1016/0168-1591(91)90086-D" TargetMode="External" /><Relationship Type="http://schemas.openxmlformats.org/officeDocument/2006/relationships/hyperlink" Id="rId138" Target="https://doi.org/10.1016/0377-0427(87)90125-7" TargetMode="External" /><Relationship Type="http://schemas.openxmlformats.org/officeDocument/2006/relationships/hyperlink" Id="rId65" Target="https://doi.org/10.1016/j.anbehav.2008.12.022" TargetMode="External" /><Relationship Type="http://schemas.openxmlformats.org/officeDocument/2006/relationships/hyperlink" Id="rId67" Target="https://doi.org/10.1016/j.anbehav.2012.01.036" TargetMode="External" /><Relationship Type="http://schemas.openxmlformats.org/officeDocument/2006/relationships/hyperlink" Id="rId136" Target="https://doi.org/10.1016/j.applanim.2018.12.012" TargetMode="External" /><Relationship Type="http://schemas.openxmlformats.org/officeDocument/2006/relationships/hyperlink" Id="rId85" Target="https://doi.org/10.1016/j.applanim.2024.106315" TargetMode="External" /><Relationship Type="http://schemas.openxmlformats.org/officeDocument/2006/relationships/hyperlink" Id="rId150" Target="https://doi.org/10.1016/j.prevetmed.2024.106357" TargetMode="External" /><Relationship Type="http://schemas.openxmlformats.org/officeDocument/2006/relationships/hyperlink" Id="rId134" Target="https://doi.org/10.1017/S1751731117001975" TargetMode="External" /><Relationship Type="http://schemas.openxmlformats.org/officeDocument/2006/relationships/hyperlink" Id="rId79" Target="https://doi.org/10.1038/s41598-022-24076-x" TargetMode="External" /><Relationship Type="http://schemas.openxmlformats.org/officeDocument/2006/relationships/hyperlink" Id="rId160" Target="https://doi.org/10.1038/sdata.2016.18" TargetMode="External" /><Relationship Type="http://schemas.openxmlformats.org/officeDocument/2006/relationships/hyperlink" Id="rId122" Target="https://doi.org/10.1098/rsos.191849" TargetMode="External" /><Relationship Type="http://schemas.openxmlformats.org/officeDocument/2006/relationships/hyperlink" Id="rId126" Target="https://doi.org/10.1098/rsos.212019" TargetMode="External" /><Relationship Type="http://schemas.openxmlformats.org/officeDocument/2006/relationships/hyperlink" Id="rId116" Target="https://doi.org/10.1109/AEEICB.2017.7972424" TargetMode="External" /><Relationship Type="http://schemas.openxmlformats.org/officeDocument/2006/relationships/hyperlink" Id="rId112" Target="https://doi.org/10.1109/ICADIWT.2014.6814687" TargetMode="External" /><Relationship Type="http://schemas.openxmlformats.org/officeDocument/2006/relationships/hyperlink" Id="rId73" Target="https://doi.org/10.1111/j.1439-0310.2010.01758.x" TargetMode="External" /><Relationship Type="http://schemas.openxmlformats.org/officeDocument/2006/relationships/hyperlink" Id="rId132" Target="https://doi.org/10.1111/j.1469-185X.2007.00010.x" TargetMode="External" /><Relationship Type="http://schemas.openxmlformats.org/officeDocument/2006/relationships/hyperlink" Id="rId158" Target="https://doi.org/10.1111/j.1469-185X.2010.00169.x" TargetMode="External" /><Relationship Type="http://schemas.openxmlformats.org/officeDocument/2006/relationships/hyperlink" Id="rId102" Target="https://doi.org/10.1111/rssa.12378" TargetMode="External" /><Relationship Type="http://schemas.openxmlformats.org/officeDocument/2006/relationships/hyperlink" Id="rId77" Target="https://doi.org/10.1186/1745-6150-2-2" TargetMode="External" /><Relationship Type="http://schemas.openxmlformats.org/officeDocument/2006/relationships/hyperlink" Id="rId106" Target="https://doi.org/10.1186/s40462-020-00216-8" TargetMode="External" /><Relationship Type="http://schemas.openxmlformats.org/officeDocument/2006/relationships/hyperlink" Id="rId154" Target="https://doi.org/10.1214/20-BA1221" TargetMode="External" /><Relationship Type="http://schemas.openxmlformats.org/officeDocument/2006/relationships/hyperlink" Id="rId75" Target="https://doi.org/10.18637/jss.v080.i01" TargetMode="External" /><Relationship Type="http://schemas.openxmlformats.org/officeDocument/2006/relationships/hyperlink" Id="rId104" Target="https://doi.org/10.2527/1995.7392791x" TargetMode="External" /><Relationship Type="http://schemas.openxmlformats.org/officeDocument/2006/relationships/hyperlink" Id="rId63" Target="https://doi.org/10.2527/jas.2017.1593" TargetMode="External" /><Relationship Type="http://schemas.openxmlformats.org/officeDocument/2006/relationships/hyperlink" Id="rId88" Target="https://doi.org/10.3168/JDS.S0022-0302(03)74020-X" TargetMode="External" /><Relationship Type="http://schemas.openxmlformats.org/officeDocument/2006/relationships/hyperlink" Id="rId83" Target="https://doi.org/10.3168/jds.2007-0331" TargetMode="External" /><Relationship Type="http://schemas.openxmlformats.org/officeDocument/2006/relationships/hyperlink" Id="rId156" Target="https://doi.org/10.3168/jds.2007-0532" TargetMode="External" /><Relationship Type="http://schemas.openxmlformats.org/officeDocument/2006/relationships/hyperlink" Id="rId92" Target="https://doi.org/10.3168/jds.2010-3147" TargetMode="External" /><Relationship Type="http://schemas.openxmlformats.org/officeDocument/2006/relationships/hyperlink" Id="rId108" Target="https://doi.org/10.3168/jds.2011-5038" TargetMode="External" /><Relationship Type="http://schemas.openxmlformats.org/officeDocument/2006/relationships/hyperlink" Id="rId110" Target="https://doi.org/10.3168/jds.2013-7434" TargetMode="External" /><Relationship Type="http://schemas.openxmlformats.org/officeDocument/2006/relationships/hyperlink" Id="rId124" Target="https://doi.org/10.3168/jds.2017-14248" TargetMode="External" /><Relationship Type="http://schemas.openxmlformats.org/officeDocument/2006/relationships/hyperlink" Id="rId90" Target="https://doi.org/10.3168/jds.2019-16426" TargetMode="External" /><Relationship Type="http://schemas.openxmlformats.org/officeDocument/2006/relationships/hyperlink" Id="rId100" Target="https://doi.org/10.3168/jds.2019-16697" TargetMode="External" /><Relationship Type="http://schemas.openxmlformats.org/officeDocument/2006/relationships/hyperlink" Id="rId118" Target="https://doi.org/10.3168/jds.2019-17456" TargetMode="External" /><Relationship Type="http://schemas.openxmlformats.org/officeDocument/2006/relationships/hyperlink" Id="rId98" Target="https://doi.org/10.3168/jds.2020-18896" TargetMode="External" /><Relationship Type="http://schemas.openxmlformats.org/officeDocument/2006/relationships/hyperlink" Id="rId71" Target="https://doi.org/10.3168/jds.2022-23176" TargetMode="External" /><Relationship Type="http://schemas.openxmlformats.org/officeDocument/2006/relationships/hyperlink" Id="rId144" Target="https://doi.org/10.3168/jds.2023-24257" TargetMode="External" /><Relationship Type="http://schemas.openxmlformats.org/officeDocument/2006/relationships/hyperlink" Id="rId142" Target="https://doi.org/10.3168/jds.2023-24514" TargetMode="External" /><Relationship Type="http://schemas.openxmlformats.org/officeDocument/2006/relationships/hyperlink" Id="rId146" Target="https://doi.org/10.3168/jds.2023-24587" TargetMode="External" /><Relationship Type="http://schemas.openxmlformats.org/officeDocument/2006/relationships/hyperlink" Id="rId140" Target="https://doi.org/10.3168/jds.2025-26552" TargetMode="External" /><Relationship Type="http://schemas.openxmlformats.org/officeDocument/2006/relationships/hyperlink" Id="rId128" Target="https://doi.org/10.3168/jds.S0022-0302(01)74692-9" TargetMode="External" /><Relationship Type="http://schemas.openxmlformats.org/officeDocument/2006/relationships/hyperlink" Id="rId96" Target="https://doi.org/10.3168/jds.S0022-0302(06)72077-X" TargetMode="External" /><Relationship Type="http://schemas.openxmlformats.org/officeDocument/2006/relationships/hyperlink" Id="rId69" Target="https://doi.org/10.3168/jdsc.2021-0184" TargetMode="External" /><Relationship Type="http://schemas.openxmlformats.org/officeDocument/2006/relationships/hyperlink" Id="rId94" Target="https://doi.org/10.3389/fvets.2018.00131" TargetMode="External" /><Relationship Type="http://schemas.openxmlformats.org/officeDocument/2006/relationships/hyperlink" Id="rId81" Target="https://doi.org/10.3389/fvets.2022.827124" TargetMode="External" /><Relationship Type="http://schemas.openxmlformats.org/officeDocument/2006/relationships/hyperlink" Id="rId33" Target="https://doi.org/10.5683/SP3/K6J350" TargetMode="External" /><Relationship Type="http://schemas.openxmlformats.org/officeDocument/2006/relationships/hyperlink" Id="rId32" Target="https://doi.org/10.5683/SP3/LF4DRO" TargetMode="External" /><Relationship Type="http://schemas.openxmlformats.org/officeDocument/2006/relationships/hyperlink" Id="rId31" Target="https://github.com/skysheng7/competition_dominance_analysis.git" TargetMode="External" /><Relationship Type="http://schemas.openxmlformats.org/officeDocument/2006/relationships/hyperlink" Id="rId30" Target="https://github.com/skysheng7/moo4feed.git" TargetMode="External" /><Relationship Type="http://schemas.openxmlformats.org/officeDocument/2006/relationships/hyperlink" Id="rId130" Target="https://www.R-project.org/" TargetMode="External" /><Relationship Type="http://schemas.openxmlformats.org/officeDocument/2006/relationships/hyperlink" Id="rId21" Target="https://www.skysheng.io/moo4feed/" TargetMode="External" /><Relationship Type="http://schemas.openxmlformats.org/officeDocument/2006/relationships/hyperlink" Id="rId26" Target="https://www.skysheng.io/moo4feed/articles/meal_clustering.html" TargetMode="External" /><Relationship Type="http://schemas.openxmlformats.org/officeDocument/2006/relationships/hyperlink" Id="rId44"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behavioural profiles through electronic feeder and drinker data</dc:title>
  <dc:creator>Kehan Sheng1, Borbala Foris1,2, Daniel M. Weary1, Marina A.G. von Keyserlingk1</dc:creator>
  <cp:keywords/>
  <dcterms:created xsi:type="dcterms:W3CDTF">2026-05-21T00:25:10Z</dcterms:created>
  <dcterms:modified xsi:type="dcterms:W3CDTF">2026-05-21T00:25:10Z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