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behaviour signatures through electronic feeder and drinker data</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abstract"/>
    <w:p>
      <w:pPr>
        <w:pStyle w:val="Heading1"/>
      </w:pPr>
      <w:r>
        <w:t xml:space="preserve">Abstract</w:t>
      </w:r>
    </w:p>
    <w:p>
      <w:pPr>
        <w:pStyle w:val="FirstParagraph"/>
      </w:pPr>
      <w:r>
        <w:t xml:space="preserve">Individual animals living in the same environment differ consistently in how they feed, drink, and compete for resources, yet most data analysis still relies on group-level comparisons that obscure meaningful individual differences. Electronic feeding and drinking systems make it possible to characterize individual behavioral strategies within their natural social groups, without isolating animals for personality testing, reducing time and labor costs. Using 107 lactating Holstein dairy cows tracked over 207 days, we extracted 16 behavioral variables from electronic feed bin and water trough data, capturing conventional metrics (feeding and drinking intake, duration and meal frequency) alongside exploratory behavior (non-nutritive visits), social competition (agonistic replacement events), and indicators of feed quality upon access (e.g., proportion of fresh feed remaining upon arrival). Bayesian mixed-effects models quantified repeatability (between-individual variation in average behavioral expression) and predictability (between-individual variation in within-individual consistency). Variables capturing exploratory behavior, social competition, and water drinking duration showed the greatest and most consistent among-individual variation, while daily feed intake was among the least discriminating, suggesting individuals converge to similar intakes through strikingly different strategies. Principal component analysis with varimax rotation followed by k-means clustering on the eight variables with the highest repeatability and among-individual variation identified four behavioral profiles:</w:t>
      </w:r>
      <w:r>
        <w:t xml:space="preserve"> </w:t>
      </w:r>
      <w:r>
        <w:t xml:space="preserve">“frequently replaced herd majority”</w:t>
      </w:r>
      <w:r>
        <w:t xml:space="preserve"> </w:t>
      </w:r>
      <w:r>
        <w:t xml:space="preserve">(the unremarkable majority, frequently replaced at the bins),</w:t>
      </w:r>
      <w:r>
        <w:t xml:space="preserve"> </w:t>
      </w:r>
      <w:r>
        <w:t xml:space="preserve">“contest-winning”</w:t>
      </w:r>
      <w:r>
        <w:t xml:space="preserve"> </w:t>
      </w:r>
      <w:r>
        <w:t xml:space="preserve">cows (initiating many replacements with efficient, uninterrupted meals),</w:t>
      </w:r>
      <w:r>
        <w:t xml:space="preserve"> </w:t>
      </w:r>
      <w:r>
        <w:t xml:space="preserve">“water lovers”</w:t>
      </w:r>
      <w:r>
        <w:t xml:space="preserve"> </w:t>
      </w:r>
      <w:r>
        <w:t xml:space="preserve">(many long drinking visits spread across the day), and</w:t>
      </w:r>
      <w:r>
        <w:t xml:space="preserve"> </w:t>
      </w:r>
      <w:r>
        <w:t xml:space="preserve">“fragmented, restless feeders”</w:t>
      </w:r>
      <w:r>
        <w:t xml:space="preserve"> </w:t>
      </w:r>
      <w:r>
        <w:t xml:space="preserve">(many short, interrupted visits with frequent agonistic interactions). These results show that data streams from electronic feeders and drinkers can be used to build individual behavioral profiles that would be largely invisible when using generic group-level analyses. This framework may help future research in identifing which cows are most susceptible to negative impacts in competitive feeding environments. To make this approach reproducible and accessible across species and systems, we developed moo4feed (https://www.skysheng.io/moo4feed/), an open-source R package designed to extract individual behavioral variables from raw electronic feeder and drinker data.</w:t>
      </w:r>
    </w:p>
    <w:p>
      <w:pPr>
        <w:pStyle w:val="BodyText"/>
      </w:pPr>
      <w:r>
        <w:rPr>
          <w:b/>
          <w:bCs/>
        </w:rPr>
        <w:t xml:space="preserve">Keywords:</w:t>
      </w:r>
      <w:r>
        <w:t xml:space="preserve"> </w:t>
      </w:r>
      <w:r>
        <w:t xml:space="preserve">repeatability, reproducibility, precision livestock farming, behavioral monitoring, individual differences</w:t>
      </w:r>
    </w:p>
    <w:bookmarkEnd w:id="20"/>
    <w:bookmarkStart w:id="21" w:name="introduction"/>
    <w:p>
      <w:pPr>
        <w:pStyle w:val="Heading1"/>
      </w:pPr>
      <w:r>
        <w:t xml:space="preserve">1. Introduction</w:t>
      </w:r>
    </w:p>
    <w:p>
      <w:pPr>
        <w:pStyle w:val="FirstParagraph"/>
      </w:pPr>
      <w:r>
        <w:t xml:space="preserve">That animals vary in their personalities has long been accepted</w:t>
      </w:r>
      <w:r>
        <w:t xml:space="preserve"> </w:t>
      </w:r>
      <w:r>
        <w:t xml:space="preserve">(</w:t>
      </w:r>
      <w:hyperlink w:anchor="ref-Slater1981">
        <w:r>
          <w:rPr>
            <w:rStyle w:val="Hyperlink"/>
          </w:rPr>
          <w:t xml:space="preserve">Slater, 1981</w:t>
        </w:r>
      </w:hyperlink>
      <w:r>
        <w:t xml:space="preserve">)</w:t>
      </w:r>
      <w:r>
        <w:t xml:space="preserve">, and this concept has gained traction in farmed animals</w:t>
      </w:r>
      <w:r>
        <w:t xml:space="preserve"> </w:t>
      </w:r>
      <w:r>
        <w:t xml:space="preserve">(</w:t>
      </w:r>
      <w:hyperlink w:anchor="ref-finkemeier2018">
        <w:r>
          <w:rPr>
            <w:rStyle w:val="Hyperlink"/>
          </w:rPr>
          <w:t xml:space="preserve">Finkemeier et al., 2018</w:t>
        </w:r>
      </w:hyperlink>
      <w:r>
        <w:t xml:space="preserve">)</w:t>
      </w:r>
      <w:r>
        <w:t xml:space="preserve"> </w:t>
      </w:r>
      <w:r>
        <w:t xml:space="preserve">alongside a renewed emphasis on consistent individual differences in animal welfare research</w:t>
      </w:r>
      <w:r>
        <w:t xml:space="preserve"> </w:t>
      </w:r>
      <w:r>
        <w:t xml:space="preserve">(</w:t>
      </w:r>
      <w:hyperlink w:anchor="ref-Richter2019">
        <w:r>
          <w:rPr>
            <w:rStyle w:val="Hyperlink"/>
          </w:rPr>
          <w:t xml:space="preserve">Richter and Hintze, 2019</w:t>
        </w:r>
      </w:hyperlink>
      <w:r>
        <w:t xml:space="preserve">)</w:t>
      </w:r>
      <w:r>
        <w:t xml:space="preserve">. This shift in focus from the group to the individual recognizes that identical environments can affect animals within a group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In most dairy production systems in the Northern hemisphere, lactating cows are housed intensively,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Although farms aim to maximize milk production through precision feeding and improved dry matter intake (DMI), the DMI of group-housed cows is shaped by the feeding behavior of individuals within the group, which is in turn modulated by environment, management, health, and social interactions</w:t>
      </w:r>
      <w:r>
        <w:t xml:space="preserve"> </w:t>
      </w:r>
      <w:r>
        <w:t xml:space="preserve">(</w:t>
      </w:r>
      <w:hyperlink w:anchor="ref-grant1995feeding">
        <w:r>
          <w:rPr>
            <w:rStyle w:val="Hyperlink"/>
          </w:rPr>
          <w:t xml:space="preserve">Grant and Albright, 1995</w:t>
        </w:r>
      </w:hyperlink>
      <w:r>
        <w:t xml:space="preserve">)</w:t>
      </w:r>
      <w:r>
        <w:t xml:space="preserve">. Cattle exhibit personality-related variability in feeding behavior</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w:t>
      </w:r>
      <w:r>
        <w:t xml:space="preserve">and develop different strategies to cope with social and environmental challenges</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Personality has been defined as consistent responses in the behavior of individual animals across contexts and over time</w:t>
      </w:r>
      <w:r>
        <w:t xml:space="preserve"> </w:t>
      </w:r>
      <w:r>
        <w:t xml:space="preserve">(</w:t>
      </w:r>
      <w:hyperlink w:anchor="ref-reale2007">
        <w:r>
          <w:rPr>
            <w:rStyle w:val="Hyperlink"/>
          </w:rPr>
          <w:t xml:space="preserve">Réale et al., 2007</w:t>
        </w:r>
      </w:hyperlink>
      <w:r>
        <w:t xml:space="preserve">)</w:t>
      </w:r>
      <w:r>
        <w:t xml:space="preserve">. Most traditional personality tests work by isolating animals to assess their choices and motivations</w:t>
      </w:r>
      <w:r>
        <w:t xml:space="preserve"> </w:t>
      </w:r>
      <w:r>
        <w:t xml:space="preserve">(</w:t>
      </w:r>
      <w:hyperlink w:anchor="ref-dawkins2021">
        <w:r>
          <w:rPr>
            <w:rStyle w:val="Hyperlink"/>
          </w:rPr>
          <w:t xml:space="preserve">Dawkins, 2021</w:t>
        </w:r>
      </w:hyperlink>
      <w:r>
        <w:t xml:space="preserve">)</w:t>
      </w:r>
      <w:r>
        <w:t xml:space="preserve">. The problem is that how an animal expresses its personality can look quite different depending on whether it’s alone or in a social group</w:t>
      </w:r>
      <w:r>
        <w:t xml:space="preserve"> </w:t>
      </w:r>
      <w:r>
        <w:t xml:space="preserve">(see review by</w:t>
      </w:r>
      <w:r>
        <w:t xml:space="preserve"> </w:t>
      </w:r>
      <w:hyperlink w:anchor="ref-webster2011personality">
        <w:r>
          <w:rPr>
            <w:rStyle w:val="Hyperlink"/>
          </w:rPr>
          <w:t xml:space="preserve">Webster and Ward, 2011</w:t>
        </w:r>
      </w:hyperlink>
      <w:r>
        <w:t xml:space="preserve">)</w:t>
      </w:r>
      <w:r>
        <w:t xml:space="preserve">. This has led to growing criticism of traditional personality testing approaches: not only because they may fail to capture how animals actually behave in social settings</w:t>
      </w:r>
      <w:r>
        <w:t xml:space="preserve"> </w:t>
      </w:r>
      <w:r>
        <w:t xml:space="preserve">(</w:t>
      </w:r>
      <w:hyperlink w:anchor="ref-biro2012">
        <w:r>
          <w:rPr>
            <w:rStyle w:val="Hyperlink"/>
          </w:rPr>
          <w:t xml:space="preserve">Biro, 2012</w:t>
        </w:r>
      </w:hyperlink>
      <w:r>
        <w:t xml:space="preserve">)</w:t>
      </w:r>
      <w:r>
        <w:t xml:space="preserve">, but also because the measures themselves tend to be inconsistent</w:t>
      </w:r>
      <w:r>
        <w:t xml:space="preserve"> </w:t>
      </w:r>
      <w:r>
        <w:t xml:space="preserve">(</w:t>
      </w:r>
      <w:hyperlink w:anchor="ref-finkemeier2018">
        <w:r>
          <w:rPr>
            <w:rStyle w:val="Hyperlink"/>
          </w:rPr>
          <w:t xml:space="preserve">Finkemeier et al., 2018</w:t>
        </w:r>
      </w:hyperlink>
      <w:r>
        <w:t xml:space="preserve">)</w:t>
      </w:r>
      <w:r>
        <w:t xml:space="preserve">. The same limitations apply to studies of social competition at the feed bunk, which have historically relied on live observation or video coding</w:t>
      </w:r>
      <w:r>
        <w:t xml:space="preserve"> </w:t>
      </w:r>
      <w:r>
        <w:t xml:space="preserve">(</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 e.g.,</w:t>
      </w:r>
      <w:r>
        <w:t xml:space="preserve"> </w:t>
      </w:r>
      <w:hyperlink w:anchor="ref-phillips2001effects">
        <w:r>
          <w:rPr>
            <w:rStyle w:val="Hyperlink"/>
          </w:rPr>
          <w:t xml:space="preserve">Phillips and Rind, 2001</w:t>
        </w:r>
      </w:hyperlink>
      <w:r>
        <w:t xml:space="preserve">)</w:t>
      </w:r>
      <w:r>
        <w:t xml:space="preserve">. Both approaches are labor-intensive and require extensive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In contrast, data-driven approaches using longitudinal sensor-derived measurements allow researchers to characterize behavior by observing animals in their home pens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2024a</w:t>
        </w:r>
      </w:hyperlink>
      <w:r>
        <w:t xml:space="preserve">)</w:t>
      </w:r>
      <w:r>
        <w:t xml:space="preserve">. It has been argued that incorporating these continuous data streams could automate and revolutionize personality assessment in farm animals</w:t>
      </w:r>
      <w:r>
        <w:t xml:space="preserve"> </w:t>
      </w:r>
      <w:r>
        <w:t xml:space="preserve">(</w:t>
      </w:r>
      <w:hyperlink w:anchor="ref-setser2024b">
        <w:r>
          <w:rPr>
            <w:rStyle w:val="Hyperlink"/>
          </w:rPr>
          <w:t xml:space="preserve">Setser et al., 2024a</w:t>
        </w:r>
      </w:hyperlink>
      <w:r>
        <w:t xml:space="preserve">)</w:t>
      </w:r>
      <w:r>
        <w:t xml:space="preserve">.</w:t>
      </w:r>
    </w:p>
    <w:p>
      <w:pPr>
        <w:pStyle w:val="BodyText"/>
      </w:pPr>
      <w:r>
        <w:t xml:space="preserve">Electronic feeding systems are well-suited to this approach.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(New Zealand:</w:t>
      </w:r>
      <w:r>
        <w:t xml:space="preserve"> </w:t>
      </w:r>
      <w:hyperlink w:anchor="ref-biswas2022methane">
        <w:r>
          <w:rPr>
            <w:rStyle w:val="Hyperlink"/>
          </w:rPr>
          <w:t xml:space="preserve">Biswas et al., 2022</w:t>
        </w:r>
      </w:hyperlink>
      <w:r>
        <w:t xml:space="preserve">; United States:</w:t>
      </w:r>
      <w:r>
        <w:t xml:space="preserve"> </w:t>
      </w:r>
      <w:hyperlink w:anchor="ref-allwardt2017technical">
        <w:r>
          <w:rPr>
            <w:rStyle w:val="Hyperlink"/>
          </w:rPr>
          <w:t xml:space="preserve">Allwardt et al., 2017</w:t>
        </w:r>
      </w:hyperlink>
      <w:r>
        <w:t xml:space="preserve">; Canada:</w:t>
      </w:r>
      <w:r>
        <w:t xml:space="preserve"> </w:t>
      </w:r>
      <w:hyperlink w:anchor="ref-huzzey2014automatic">
        <w:r>
          <w:rPr>
            <w:rStyle w:val="Hyperlink"/>
          </w:rPr>
          <w:t xml:space="preserve">Huzzey et al., 2014</w:t>
        </w:r>
      </w:hyperlink>
      <w:r>
        <w:t xml:space="preserve">; Germany:</w:t>
      </w:r>
      <w:r>
        <w:t xml:space="preserve"> </w:t>
      </w:r>
      <w:hyperlink w:anchor="ref-Foris2021">
        <w:r>
          <w:rPr>
            <w:rStyle w:val="Hyperlink"/>
          </w:rPr>
          <w:t xml:space="preserve">Foris et al., 2021</w:t>
        </w:r>
      </w:hyperlink>
      <w:r>
        <w:t xml:space="preserve">)</w:t>
      </w:r>
      <w:r>
        <w:t xml:space="preserve">. While the primary purpose of these systems is to monitor feed intake, each visit is also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basic data streams, researchers have derived additional behavioral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modeling to these longitudinal data streams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behavioral type (an individual’s average expression of a behavior), repeatability (consistent among-individual differences), and predictability (individual differences in within-individual consistency)</w:t>
      </w:r>
      <w:r>
        <w:t xml:space="preserve"> </w:t>
      </w:r>
      <w:r>
        <w:t xml:space="preserve">(dairy cows:</w:t>
      </w:r>
      <w:r>
        <w:t xml:space="preserve"> </w:t>
      </w:r>
      <w:hyperlink w:anchor="ref-thomas2024">
        <w:r>
          <w:rPr>
            <w:rStyle w:val="Hyperlink"/>
          </w:rPr>
          <w:t xml:space="preserve">Thomas et al., 2024</w:t>
        </w:r>
      </w:hyperlink>
      <w:r>
        <w:t xml:space="preserve">; 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However, most of this research has prioritized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 considerably more information: how feed availability along the bunk evolves through the day, when and where a cow chooses to eat relative to that availability, whether she visits the feeding area without consuming feed (non-nutritive visits), and how often she switches bins within a meal. These higher-resolution measures may capture aspects of individual feeding and social strategies that daily summaries cannot.</w:t>
      </w:r>
    </w:p>
    <w:p>
      <w:pPr>
        <w:pStyle w:val="BodyText"/>
      </w:pPr>
      <w:r>
        <w:t xml:space="preserve">To date, however, no comprehensive and accessible framework exists for extracting these higher-resolution behavioral variables from raw electronic feeder data. Data cleaning rules also differ across labs and are rarely shared in a reusable form, which limits both reproducibility across studies and the routine application of these measures in dairy research. A framework that automates this extraction would allow individual animals to be characterized routinely within groups, including those who may be more susceptible to distress due to maladaptive feeding or social strategies.</w:t>
      </w:r>
    </w:p>
    <w:p>
      <w:pPr>
        <w:pStyle w:val="BodyText"/>
      </w:pPr>
      <w:r>
        <w:t xml:space="preserve">The primary aim of this study was to quantify individual-level behavioral consistency and among-individual differences in dairy cattle feeding and social behaviors captured from an electronic feeding system, using repeatability and predictability to identify which behaviors are most informative for characterizing individual differences. A secondary aim was to identify distinct behavioral profiles based on the most consistent among-individual differences, to demonstrate how these measures can be used to characterize the diversity of feeding and social strategies present within a herd. To make these analyses reproducible and to enable broader application of the approach across species and researchers with varying technical backgrounds, we developed moo4feed (https://www.skysheng.io/moo4feed/), an easy-to-use open-source R package that processes raw electronic feeder and drinker data, extracts both standard and higher-resolution behavioral variables.</w:t>
      </w:r>
    </w:p>
    <w:bookmarkEnd w:id="21"/>
    <w:bookmarkStart w:id="33" w:name="methods"/>
    <w:p>
      <w:pPr>
        <w:pStyle w:val="Heading1"/>
      </w:pPr>
      <w:r>
        <w:t xml:space="preserve">2. Methods</w:t>
      </w:r>
    </w:p>
    <w:bookmarkStart w:id="22" w:name="animals-housing-and-data-collection"/>
    <w:p>
      <w:pPr>
        <w:pStyle w:val="Heading2"/>
      </w:pPr>
      <w:r>
        <w:t xml:space="preserve">2.1 Animals, Housing, and Data Collection</w:t>
      </w:r>
    </w:p>
    <w:p>
      <w:pPr>
        <w:pStyle w:val="FirstParagraph"/>
      </w:pPr>
      <w:r>
        <w:t xml:space="preserve">Data were collected as part of a larger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 A portion of the data gathered in this research was previously published at Sheng et al.</w:t>
      </w:r>
      <w:r>
        <w:t xml:space="preserve"> </w:t>
      </w:r>
      <w:r>
        <w:t xml:space="preserve">(</w:t>
      </w:r>
      <w:hyperlink w:anchor="ref-sheng2024redefining">
        <w:r>
          <w:rPr>
            <w:rStyle w:val="Hyperlink"/>
          </w:rPr>
          <w:t xml:space="preserve">2024</w:t>
        </w:r>
      </w:hyperlink>
      <w:r>
        <w:t xml:space="preserve">)</w:t>
      </w:r>
      <w:r>
        <w:t xml:space="preserve">.</w:t>
      </w:r>
    </w:p>
    <w:bookmarkEnd w:id="22"/>
    <w:bookmarkStart w:id="23" w:name="data-cleaning-and-filtering"/>
    <w:p>
      <w:pPr>
        <w:pStyle w:val="Heading2"/>
      </w:pPr>
      <w:r>
        <w:t xml:space="preserve">2.2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 reflect the behavioural baseline patterns of cows when they are healthy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lose of ear tags, hoof trimming or other routine husbandry procedures, as these events may temporarily alter behaviour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open)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potentially disturb the behaviour of all other cows in the group (55 estrus events, 2,381 cow-days).</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p>
    <w:p>
      <w:pPr>
        <w:pStyle w:val="FirstParagraph"/>
      </w:pPr>
      <w:r>
        <w:t xml:space="preserve">After filtering, 107 cows with sufficient data across 207 days (10-130 days of observation per cow), 6226 unique cow-days were retained.</w:t>
      </w:r>
    </w:p>
    <w:bookmarkEnd w:id="23"/>
    <w:bookmarkStart w:id="24" w:name="behavioral-variable-extraction"/>
    <w:p>
      <w:pPr>
        <w:pStyle w:val="Heading2"/>
      </w:pPr>
      <w:r>
        <w:t xml:space="preserve">2.3 Behavioral Variable Extraction</w:t>
      </w:r>
    </w:p>
    <w:p>
      <w:pPr>
        <w:pStyle w:val="FirstParagraph"/>
      </w:pPr>
      <w:r>
        <w:t xml:space="preserve">To process the raw feeding and drinking data and extract meaningful behavioral variables, we developed an open-source R package,</w:t>
      </w:r>
      <w:r>
        <w:t xml:space="preserve"> </w:t>
      </w:r>
      <w:r>
        <w:t xml:space="preserve">‘moo4feed’</w:t>
      </w:r>
      <w:r>
        <w:t xml:space="preserve"> </w:t>
      </w:r>
      <w:r>
        <w:t xml:space="preserve">(https://www.skysheng.io/moo4feed/), which provides a standardized, customizable workflow for handling electronic feed and water bin data. The package supports five areas of analysis used in this study: (1) data processing, configuration, and quality control; (2) agonistic replacement detection; (3) non-nutritive visit detection; (4) feed availability estimation; and (5) meal clustering. All thresholds and processing parameters described below are user-configurable to cater to different farm setups; the values reported here are those used in the present study. Full documentation, including additional functionalities not used here (e.g., pairwise synchronicity analysis), please refer to the package website.</w:t>
      </w:r>
    </w:p>
    <w:p>
      <w:pPr>
        <w:pStyle w:val="BodyText"/>
      </w:pPr>
      <w:r>
        <w:rPr>
          <w:b/>
          <w:bCs/>
        </w:rPr>
        <w:t xml:space="preserve">Data Processing, Configuration and Quality Control.</w:t>
      </w:r>
      <w:r>
        <w:t xml:space="preserve"> </w:t>
      </w:r>
      <w:r>
        <w:t xml:space="preserve">Raw visit data were converted into a standardized format, with each record capturing the cow’s identity, the bin number, visit start and end times, and the start and end weights of feed or water in the bin. Only days for which both feeder and drinker data files were available were retained. Daylight saving time transitions were detected and corrected automatically based on the timezone. During fall-back transitions (when clocks move back one hour, causing chronological order of visits within the repeated hour to be ambiguous), we removed all visits from the duplicated hour, since it is not possible to determine the true chronological order, and adjusts subsequent timestamps accordingly. During spring-forward transitions (when clocks move forward by one hour), visit timestamps are shifted forward by one hour for the remainder of the day. Records were then passed through a sequence of automated quality control checks, summarized in Table 1.</w:t>
      </w:r>
    </w:p>
    <w:p>
      <w:r>
        <w:br w:type="page"/>
      </w:r>
    </w:p>
    <w:p>
      <w:pPr>
        <w:pStyle w:val="BodyText"/>
      </w:pPr>
      <w:r>
        <w:rPr>
          <w:b/>
          <w:bCs/>
        </w:rPr>
        <w:t xml:space="preserve">Table 1.</w:t>
      </w:r>
      <w:r>
        <w:t xml:space="preserve"> </w:t>
      </w:r>
      <w:r>
        <w:t xml:space="preserve">Automated quality control checks applied to raw visit data from electronic feed and water bins. Dashes (—) indicate that threshold id is not applicable or is data-driven, no hard-coded numerical threshold applies. Action: Flag = abnormal record is retained and sent to researchers on the farm to review for bin health check; Correct = the record is automatically corrected; Remove = the record is deleted from the dataset. For negative weight corrections, intake is recalculated from the corrected weights (start weight − end weight); if the recalculated intake remains negative, the record is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744"/>
        <w:gridCol w:w="1152"/>
        <w:gridCol w:w="1152"/>
        <w:gridCol w:w="1152"/>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less than 48 cows (expcted cow count) detected, indicating potential lost ear tags for entire day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large intake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fewer than 10 visits that day (no visits or unusually low traffic),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long visit duration,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 due to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are listed in Section 2.2). Following these initial checks, multivariate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behavioral variables were calculated per cow: total daily feed intake (kg), total daily feeding duration (s), total feeding visits, total daily water intake (L), total daily drinking duration (s), and total drinking visits.</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w:t>
      </w:r>
      <w:r>
        <w:t xml:space="preserve">and Foris et al.</w:t>
      </w:r>
      <w:r>
        <w:t xml:space="preserve"> </w:t>
      </w:r>
      <w:r>
        <w:t xml:space="preserve">(</w:t>
      </w:r>
      <w:hyperlink w:anchor="ref-foris2019automatic">
        <w:r>
          <w:rPr>
            <w:rStyle w:val="Hyperlink"/>
          </w:rPr>
          <w:t xml:space="preserve">2019</w:t>
        </w:r>
      </w:hyperlink>
      <w:r>
        <w:t xml:space="preserve">)</w:t>
      </w:r>
      <w:r>
        <w:t xml:space="preserve">.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behavior was summarized into two variables: (vii) total number of times the focal cow acted as the actor (displacing another cow from a bin) per day, and (viii) total number of times the focal cow acted as the reactor (being displaced from a bin) per day.</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total number of non-nutritive feed visits per cow per day.</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never exceeded one hour). The 5 kg threshold filtered out small spurious weight increases from occasional bin malfunctions or human disturbance (e.g., start-weight increase due to someone leaning on a bin), and requiring at least three bins to increase concurrently further reduced false positives, since these artifacts rarely affect multiple bins at once. All detected delivery times were manually verified by the researchers to confirm accuracy. This allowed us to summarize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The median was used in place of the mean because the underlying distributions are often skewed and do not meet normality assumptions.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 fixed interval (e.g., 60 or 90 minutes), which may not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In this study, a single meal criterion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visualizations of the resulting meal clusters were generated and visually inspected for each animal-day to confirm clustering quality (example: https://www.skysheng.io/moo4feed/articles/meal_clustering.html).</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total number of meals per day,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behavioral variables were included in the statistical analyses described in Section 2.4: six basic daily feeding and drinking variables (i–vi), two daily agonistic variables (vii–viii), one non-nutritive visit variable (ix), one feed availability variable (x), and six meal-level variables (xi–xvi). These variables were selected because they capture biologically meaningful aspects of individual feeding, drinking, exploration and social strategies. We do not claim that this set is exhaustive; other variables could be derived from the same data streams. The</w:t>
      </w:r>
      <w:r>
        <w:t xml:space="preserve"> </w:t>
      </w:r>
      <w:r>
        <w:t xml:space="preserve">‘moo4feed’</w:t>
      </w:r>
      <w:r>
        <w:t xml:space="preserve"> </w:t>
      </w:r>
      <w:r>
        <w:t xml:space="preserve">package and the analytical framework described in Section 2.4 are designed to accommodate additional variables, and we encourage future researchers to extend this set and evaluate which further metrics may be informative for individual profiling.</w:t>
      </w:r>
    </w:p>
    <w:bookmarkEnd w:id="24"/>
    <w:bookmarkStart w:id="25" w:name="statistical-analysis"/>
    <w:p>
      <w:pPr>
        <w:pStyle w:val="Heading2"/>
      </w:pPr>
      <w:r>
        <w:t xml:space="preserve">2.4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w:t>
      </w:r>
    </w:p>
    <w:p>
      <w:pPr>
        <w:pStyle w:val="BodyText"/>
      </w:pPr>
      <w:r>
        <w:t xml:space="preserve">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a lot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visualized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behavior is: for example, some cows may eat nearly the same amount of feed every day, while others fluctuate substantially. A low CVP value means that cows are similar to each other in their predictability: whether that means all cows are highly consistent, or all cows are highly variable, there is little difference between individuals in their within-individual consistency.</w:t>
      </w:r>
    </w:p>
    <w:p>
      <w:pPr>
        <w:pStyle w:val="BodyText"/>
      </w:pPr>
      <w:r>
        <w:rPr>
          <w:b/>
          <w:bCs/>
        </w:rPr>
        <w:t xml:space="preserve">Behavioral variable clustering.</w:t>
      </w:r>
      <w:r>
        <w:t xml:space="preserve"> </w:t>
      </w:r>
      <w:r>
        <w:t xml:space="preserve">To organize the 16 behavioral variables by how informative they are for individual profiling, we applied k-means clustering (k = 3, 50 random starts) to the posterior mean CVi and R values for each variable, after scaling both dimensions (</w:t>
      </w:r>
      <w:hyperlink w:anchor="fig-rep-cvp-scatter">
        <w:r>
          <w:rPr>
            <w:rStyle w:val="Hyperlink"/>
          </w:rPr>
          <w:t xml:space="preserve">Figure 1</w:t>
        </w:r>
      </w:hyperlink>
      <w:r>
        <w:t xml:space="preserve">). All variables have low predictaibility values, thus measures of predictability were not used in behavioral variable clustering. The number of clusters (k = 3) was determined by researcher judgment based on visual inspection of the CVi and R distributions.</w:t>
      </w:r>
    </w:p>
    <w:p>
      <w:pPr>
        <w:pStyle w:val="BodyText"/>
      </w:pPr>
      <w:r>
        <w:rPr>
          <w:b/>
          <w:bCs/>
        </w:rPr>
        <w:t xml:space="preserve">Individual-level behavioral profiles.</w:t>
      </w:r>
      <w:r>
        <w:t xml:space="preserve"> </w:t>
      </w:r>
      <w:r>
        <w:t xml:space="preserve">For each cow and each behavioral variable in Cluster 1, we extracted the individual intercept from the posterior distribution: the population intercept plus each cow’s random effect (back-transformed to the original scale for lognormal models). This represents a cow’s average behavioral type (i.e., a cow’s typical expression of their behavior). For example, for daily feed intake modeled with a Gaussian likelihood, if the population intercept is 65 kg and cow A’s random effect is 5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behavioral variable.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PCA, cows were grouped into behavioral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three principal components.</w:t>
      </w:r>
    </w:p>
    <w:bookmarkEnd w:id="25"/>
    <w:bookmarkStart w:id="32" w:name="X12f7218f56bb14132dd246c9b94261230bb4ed3"/>
    <w:p>
      <w:pPr>
        <w:pStyle w:val="Heading2"/>
      </w:pPr>
      <w:r>
        <w:t xml:space="preserve">2.5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6">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7">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behavioral measures. The source code and example data included in the R package is hosted on GitHub:</w:t>
      </w:r>
      <w:r>
        <w:t xml:space="preserve"> </w:t>
      </w:r>
      <w:hyperlink r:id="rId28">
        <w:r>
          <w:rPr>
            <w:rStyle w:val="Hyperlink"/>
          </w:rPr>
          <w:t xml:space="preserve">https://github.com/skysheng7/moo4feed.git</w:t>
        </w:r>
      </w:hyperlink>
      <w:r>
        <w:t xml:space="preserve">. We used the newly developed R package to extract the behavioral variables described in Section 2.3 and conduct all statistical analyses described in Section 2.4, data and code for all the data analysis are available at:</w:t>
      </w:r>
      <w:r>
        <w:t xml:space="preserve"> </w:t>
      </w:r>
      <w:hyperlink r:id="rId29">
        <w:r>
          <w:rPr>
            <w:rStyle w:val="Hyperlink"/>
          </w:rPr>
          <w:t xml:space="preserve">https://github.com/skysheng7/competition_dominance_analysis.git</w:t>
        </w:r>
      </w:hyperlink>
      <w:r>
        <w:t xml:space="preserve">. We have also used Borealis to archive the R package at:</w:t>
      </w:r>
      <w:r>
        <w:t xml:space="preserve"> </w:t>
      </w:r>
      <w:hyperlink r:id="rId30">
        <w:r>
          <w:rPr>
            <w:rStyle w:val="Hyperlink"/>
          </w:rPr>
          <w:t xml:space="preserve">https://doi.org/10.5683/SP3/LF4DRO</w:t>
        </w:r>
      </w:hyperlink>
      <w:r>
        <w:t xml:space="preserve"> </w:t>
      </w:r>
      <w:r>
        <w:t xml:space="preserve">and data analysis code at:</w:t>
      </w:r>
      <w:r>
        <w:t xml:space="preserve"> </w:t>
      </w:r>
      <w:hyperlink r:id="rId31">
        <w:r>
          <w:rPr>
            <w:rStyle w:val="Hyperlink"/>
          </w:rPr>
          <w:t xml:space="preserve">https://doi.org/10.5683/SP3/K6J350</w:t>
        </w:r>
      </w:hyperlink>
      <w:r>
        <w:t xml:space="preserve">.</w:t>
      </w:r>
    </w:p>
    <w:bookmarkEnd w:id="32"/>
    <w:bookmarkEnd w:id="33"/>
    <w:bookmarkStart w:id="50" w:name="results"/>
    <w:p>
      <w:pPr>
        <w:pStyle w:val="Heading1"/>
      </w:pPr>
      <w:r>
        <w:t xml:space="preserve">3.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39" w:name="X9d6e91404153fc17df43a9ceb93dda92758a06e"/>
    <w:p>
      <w:pPr>
        <w:pStyle w:val="Heading2"/>
      </w:pPr>
      <w:r>
        <w:t xml:space="preserve">3.1 Among-Individual Variation: Repeatability and CVi</w:t>
      </w:r>
    </w:p>
    <w:p>
      <w:pPr>
        <w:pStyle w:val="FirstParagraph"/>
      </w:pPr>
      <w:r>
        <w:t xml:space="preserve">Because R is confounded by within-individual variance (Section 2.4), we use the coefficient of individual variation (CVi) as the primary metric for comparing the magnitude of among-individual differences across the 16 behavioral variables, and we report R alongside CVi as a reference for how reliably those differences persist from day to day (Table 2,</w:t>
      </w:r>
      <w:r>
        <w:t xml:space="preserve"> </w:t>
      </w:r>
      <w:hyperlink w:anchor="fig-rep-cvp-scatter">
        <w:r>
          <w:rPr>
            <w:rStyle w:val="Hyperlink"/>
          </w:rPr>
          <w:t xml:space="preserve">Figure 1</w:t>
        </w:r>
      </w:hyperlink>
      <w:r>
        <w:t xml:space="preserve"> </w:t>
      </w:r>
      <w:r>
        <w:t xml:space="preserve">A).</w:t>
      </w:r>
    </w:p>
    <w:p>
      <w:pPr>
        <w:sectPr>
          <w:pgSz w:w="12240" w:h="15840"/>
          <w:pgMar w:top="1440" w:right="1440" w:bottom="1440" w:left="1440" w:header="720" w:footer="720" w:gutter="0"/>
          <w:cols w:space="720"/>
        </w:sectPr>
      </w:pPr>
    </w:p>
    <w:p>
      <w:pPr>
        <w:pStyle w:val="BodyText"/>
      </w:pPr>
    </w:p>
    <w:p>
      <w:pPr>
        <w:pStyle w:val="BodyText"/>
      </w:pPr>
      <w:r>
        <w:rPr>
          <w:b/>
          <w:bCs/>
        </w:rPr>
        <w:t xml:space="preserve">Table 2.</w:t>
      </w:r>
      <w:r>
        <w:t xml:space="preserve"> </w:t>
      </w:r>
      <w:r>
        <w:t xml:space="preserve">Repeatability (R), coefficient of individual variation (CVi), coefficient of variation of predictability (CVP), and residual intra-individual variability (rIIV) for the 16 behavioral variables. Values are posterior means with 95% credible intervals in brackets. Cell color encodes the posterior mean within each metric (darker = higher). Rows are grouped by behavioral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1"/>
        <w:gridCol w:w="2792"/>
        <w:gridCol w:w="1712"/>
        <w:gridCol w:w="1712"/>
        <w:gridCol w:w="1712"/>
        <w:gridCol w:w="1712"/>
      </w:tblGrid>
      <w:tr>
        <w:trPr>
          <w:trHeight w:val="580" w:hRule="auto"/>
          <w:tblHeader/>
        </w:trPr>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single" w:sz="6" w:space="0" w:color="666666"/>
              <w:top w:val="single" w:sz="6" w:space="0" w:color="666666"/>
              <w:left w:val="single" w:sz="6" w:space="0" w:color="666666"/>
              <w:right w:val="single" w:sz="6" w:space="0" w:color="666666"/>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single" w:sz="6" w:space="0" w:color="666666"/>
              <w:top w:val="single" w:sz="6" w:space="0" w:color="666666"/>
              <w:left w:val="single" w:sz="6" w:space="0" w:color="666666"/>
              <w:right w:val="single" w:sz="6" w:space="0" w:color="666666"/>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single" w:sz="6" w:space="0" w:color="666666"/>
              <w:top w:val="single" w:sz="6" w:space="0" w:color="666666"/>
              <w:left w:val="single" w:sz="6" w:space="0" w:color="666666"/>
              <w:right w:val="single" w:sz="6" w:space="0" w:color="666666"/>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single" w:sz="6" w:space="0" w:color="666666"/>
              <w:top w:val="single" w:sz="6" w:space="0" w:color="666666"/>
              <w:left w:val="single" w:sz="6" w:space="0" w:color="666666"/>
              <w:right w:val="single" w:sz="6" w:space="0" w:color="666666"/>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single" w:sz="6" w:space="0" w:color="666666"/>
              <w:top w:val="single" w:sz="6" w:space="0" w:color="666666"/>
              <w:left w:val="single" w:sz="6" w:space="0" w:color="666666"/>
              <w:right w:val="single" w:sz="6" w:space="0" w:color="666666"/>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single" w:sz="6" w:space="0" w:color="666666"/>
              <w:top w:val="single" w:sz="6" w:space="0" w:color="666666"/>
              <w:left w:val="single" w:sz="6" w:space="0" w:color="666666"/>
              <w:right w:val="single" w:sz="6" w:space="0" w:color="666666"/>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single" w:sz="6" w:space="0" w:color="666666"/>
              <w:top w:val="single" w:sz="6" w:space="0" w:color="666666"/>
              <w:left w:val="single" w:sz="6" w:space="0" w:color="666666"/>
              <w:right w:val="single" w:sz="6" w:space="0" w:color="666666"/>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single" w:sz="6" w:space="0" w:color="666666"/>
              <w:top w:val="single" w:sz="6" w:space="0" w:color="666666"/>
              <w:left w:val="single" w:sz="6" w:space="0" w:color="666666"/>
              <w:right w:val="single" w:sz="6" w:space="0" w:color="666666"/>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single" w:sz="6" w:space="0" w:color="666666"/>
              <w:top w:val="single" w:sz="6" w:space="0" w:color="666666"/>
              <w:left w:val="single" w:sz="6" w:space="0" w:color="666666"/>
              <w:right w:val="single" w:sz="6" w:space="0" w:color="666666"/>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single" w:sz="6" w:space="0" w:color="666666"/>
              <w:top w:val="single" w:sz="6" w:space="0" w:color="666666"/>
              <w:left w:val="single" w:sz="6" w:space="0" w:color="666666"/>
              <w:right w:val="single" w:sz="6" w:space="0" w:color="666666"/>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single" w:sz="6" w:space="0" w:color="666666"/>
              <w:top w:val="single" w:sz="6" w:space="0" w:color="666666"/>
              <w:left w:val="single" w:sz="6" w:space="0" w:color="666666"/>
              <w:right w:val="single" w:sz="6" w:space="0" w:color="666666"/>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single" w:sz="6" w:space="0" w:color="666666"/>
              <w:top w:val="single" w:sz="6" w:space="0" w:color="666666"/>
              <w:left w:val="single" w:sz="6" w:space="0" w:color="666666"/>
              <w:right w:val="single" w:sz="6" w:space="0" w:color="666666"/>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single" w:sz="6" w:space="0" w:color="666666"/>
              <w:top w:val="single" w:sz="6" w:space="0" w:color="666666"/>
              <w:left w:val="single" w:sz="6" w:space="0" w:color="666666"/>
              <w:right w:val="single" w:sz="6" w:space="0" w:color="666666"/>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single" w:sz="6" w:space="0" w:color="666666"/>
              <w:top w:val="single" w:sz="6" w:space="0" w:color="666666"/>
              <w:left w:val="single" w:sz="6" w:space="0" w:color="666666"/>
              <w:right w:val="single" w:sz="6" w:space="0" w:color="666666"/>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single" w:sz="6" w:space="0" w:color="666666"/>
              <w:top w:val="single" w:sz="6" w:space="0" w:color="666666"/>
              <w:left w:val="single" w:sz="6" w:space="0" w:color="666666"/>
              <w:right w:val="single" w:sz="6" w:space="0" w:color="666666"/>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single" w:sz="6" w:space="0" w:color="666666"/>
              <w:top w:val="single" w:sz="6" w:space="0" w:color="666666"/>
              <w:left w:val="single" w:sz="6" w:space="0" w:color="666666"/>
              <w:right w:val="single" w:sz="6" w:space="0" w:color="666666"/>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single" w:sz="6" w:space="0" w:color="666666"/>
              <w:top w:val="single" w:sz="6" w:space="0" w:color="666666"/>
              <w:left w:val="single" w:sz="6" w:space="0" w:color="666666"/>
              <w:right w:val="single" w:sz="6" w:space="0" w:color="666666"/>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meals</w:t>
            </w:r>
          </w:p>
        </w:tc>
        <w:tc>
          <w:tcPr>
            <w:tcBorders>
              <w:bottom w:val="single" w:sz="6" w:space="0" w:color="666666"/>
              <w:top w:val="single" w:sz="6" w:space="0" w:color="666666"/>
              <w:left w:val="single" w:sz="6" w:space="0" w:color="666666"/>
              <w:right w:val="single" w:sz="6" w:space="0" w:color="666666"/>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single" w:sz="6" w:space="0" w:color="666666"/>
              <w:top w:val="single" w:sz="6" w:space="0" w:color="666666"/>
              <w:left w:val="single" w:sz="6" w:space="0" w:color="666666"/>
              <w:right w:val="single" w:sz="6" w:space="0" w:color="666666"/>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single" w:sz="6" w:space="0" w:color="666666"/>
              <w:top w:val="single" w:sz="6" w:space="0" w:color="666666"/>
              <w:left w:val="single" w:sz="6" w:space="0" w:color="666666"/>
              <w:right w:val="single" w:sz="6" w:space="0" w:color="666666"/>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single" w:sz="6" w:space="0" w:color="666666"/>
              <w:top w:val="single" w:sz="6" w:space="0" w:color="666666"/>
              <w:left w:val="single" w:sz="6" w:space="0" w:color="666666"/>
              <w:right w:val="single" w:sz="6" w:space="0" w:color="666666"/>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single" w:sz="6" w:space="0" w:color="666666"/>
              <w:top w:val="single" w:sz="6" w:space="0" w:color="666666"/>
              <w:left w:val="single" w:sz="6" w:space="0" w:color="666666"/>
              <w:right w:val="single" w:sz="6" w:space="0" w:color="666666"/>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single" w:sz="6" w:space="0" w:color="666666"/>
              <w:top w:val="single" w:sz="6" w:space="0" w:color="666666"/>
              <w:left w:val="single" w:sz="6" w:space="0" w:color="666666"/>
              <w:right w:val="single" w:sz="6" w:space="0" w:color="666666"/>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single" w:sz="6" w:space="0" w:color="666666"/>
              <w:top w:val="single" w:sz="6" w:space="0" w:color="666666"/>
              <w:left w:val="single" w:sz="6" w:space="0" w:color="666666"/>
              <w:right w:val="single" w:sz="6" w:space="0" w:color="666666"/>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single" w:sz="6" w:space="0" w:color="666666"/>
              <w:top w:val="single" w:sz="6" w:space="0" w:color="666666"/>
              <w:left w:val="single" w:sz="6" w:space="0" w:color="666666"/>
              <w:right w:val="single" w:sz="6" w:space="0" w:color="666666"/>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single" w:sz="6" w:space="0" w:color="666666"/>
              <w:top w:val="single" w:sz="6" w:space="0" w:color="666666"/>
              <w:left w:val="single" w:sz="6" w:space="0" w:color="666666"/>
              <w:right w:val="single" w:sz="6" w:space="0" w:color="666666"/>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single" w:sz="6" w:space="0" w:color="666666"/>
              <w:top w:val="single" w:sz="6" w:space="0" w:color="666666"/>
              <w:left w:val="single" w:sz="6" w:space="0" w:color="666666"/>
              <w:right w:val="single" w:sz="6" w:space="0" w:color="666666"/>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single" w:sz="6" w:space="0" w:color="666666"/>
              <w:top w:val="single" w:sz="6" w:space="0" w:color="666666"/>
              <w:left w:val="single" w:sz="6" w:space="0" w:color="666666"/>
              <w:right w:val="single" w:sz="6" w:space="0" w:color="666666"/>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single" w:sz="6" w:space="0" w:color="666666"/>
              <w:top w:val="single" w:sz="6" w:space="0" w:color="666666"/>
              <w:left w:val="single" w:sz="6" w:space="0" w:color="666666"/>
              <w:right w:val="single" w:sz="6" w:space="0" w:color="666666"/>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single" w:sz="6" w:space="0" w:color="666666"/>
              <w:top w:val="single" w:sz="6" w:space="0" w:color="666666"/>
              <w:left w:val="single" w:sz="6" w:space="0" w:color="666666"/>
              <w:right w:val="single" w:sz="6" w:space="0" w:color="666666"/>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single" w:sz="6" w:space="0" w:color="666666"/>
              <w:top w:val="single" w:sz="6" w:space="0" w:color="666666"/>
              <w:left w:val="single" w:sz="6" w:space="0" w:color="666666"/>
              <w:right w:val="single" w:sz="6" w:space="0" w:color="666666"/>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single" w:sz="6" w:space="0" w:color="666666"/>
              <w:top w:val="single" w:sz="6" w:space="0" w:color="666666"/>
              <w:left w:val="single" w:sz="6" w:space="0" w:color="666666"/>
              <w:right w:val="single" w:sz="6" w:space="0" w:color="666666"/>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single" w:sz="6" w:space="0" w:color="666666"/>
              <w:top w:val="single" w:sz="6" w:space="0" w:color="666666"/>
              <w:left w:val="single" w:sz="6" w:space="0" w:color="666666"/>
              <w:right w:val="single" w:sz="6" w:space="0" w:color="666666"/>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single" w:sz="6" w:space="0" w:color="666666"/>
              <w:top w:val="single" w:sz="6" w:space="0" w:color="666666"/>
              <w:left w:val="single" w:sz="6" w:space="0" w:color="666666"/>
              <w:right w:val="single" w:sz="6" w:space="0" w:color="666666"/>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single" w:sz="6" w:space="0" w:color="666666"/>
              <w:top w:val="single" w:sz="6" w:space="0" w:color="666666"/>
              <w:left w:val="single" w:sz="6" w:space="0" w:color="666666"/>
              <w:right w:val="single" w:sz="6" w:space="0" w:color="666666"/>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Non-nutritive visits</w:t>
            </w:r>
          </w:p>
        </w:tc>
        <w:tc>
          <w:tcPr>
            <w:tcBorders>
              <w:bottom w:val="single" w:sz="6" w:space="0" w:color="666666"/>
              <w:top w:val="single" w:sz="6" w:space="0" w:color="666666"/>
              <w:left w:val="single" w:sz="6" w:space="0" w:color="666666"/>
              <w:right w:val="single" w:sz="6" w:space="0" w:color="666666"/>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single" w:sz="6" w:space="0" w:color="666666"/>
              <w:top w:val="single" w:sz="6" w:space="0" w:color="666666"/>
              <w:left w:val="single" w:sz="6" w:space="0" w:color="666666"/>
              <w:right w:val="single" w:sz="6" w:space="0" w:color="666666"/>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single" w:sz="6" w:space="0" w:color="666666"/>
              <w:top w:val="single" w:sz="6" w:space="0" w:color="666666"/>
              <w:left w:val="single" w:sz="6" w:space="0" w:color="666666"/>
              <w:right w:val="single" w:sz="6" w:space="0" w:color="666666"/>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single" w:sz="6" w:space="0" w:color="666666"/>
              <w:top w:val="single" w:sz="6" w:space="0" w:color="666666"/>
              <w:left w:val="single" w:sz="6" w:space="0" w:color="666666"/>
              <w:right w:val="single" w:sz="6" w:space="0" w:color="666666"/>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single" w:sz="6" w:space="0" w:color="666666"/>
              <w:top w:val="single" w:sz="6" w:space="0" w:color="666666"/>
              <w:left w:val="single" w:sz="6" w:space="0" w:color="666666"/>
              <w:right w:val="single" w:sz="6" w:space="0" w:color="666666"/>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single" w:sz="6" w:space="0" w:color="666666"/>
              <w:top w:val="single" w:sz="6" w:space="0" w:color="666666"/>
              <w:left w:val="single" w:sz="6" w:space="0" w:color="666666"/>
              <w:right w:val="single" w:sz="6" w:space="0" w:color="666666"/>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single" w:sz="6" w:space="0" w:color="666666"/>
              <w:top w:val="single" w:sz="6" w:space="0" w:color="666666"/>
              <w:left w:val="single" w:sz="6" w:space="0" w:color="666666"/>
              <w:right w:val="single" w:sz="6" w:space="0" w:color="666666"/>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single" w:sz="6" w:space="0" w:color="666666"/>
              <w:top w:val="single" w:sz="6" w:space="0" w:color="666666"/>
              <w:left w:val="single" w:sz="6" w:space="0" w:color="666666"/>
              <w:right w:val="single" w:sz="6" w:space="0" w:color="666666"/>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actor events</w:t>
            </w:r>
          </w:p>
        </w:tc>
        <w:tc>
          <w:tcPr>
            <w:tcBorders>
              <w:bottom w:val="single" w:sz="6" w:space="0" w:color="666666"/>
              <w:top w:val="single" w:sz="6" w:space="0" w:color="666666"/>
              <w:left w:val="single" w:sz="6" w:space="0" w:color="666666"/>
              <w:right w:val="single" w:sz="6" w:space="0" w:color="666666"/>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single" w:sz="6" w:space="0" w:color="666666"/>
              <w:top w:val="single" w:sz="6" w:space="0" w:color="666666"/>
              <w:left w:val="single" w:sz="6" w:space="0" w:color="666666"/>
              <w:right w:val="single" w:sz="6" w:space="0" w:color="666666"/>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single" w:sz="6" w:space="0" w:color="666666"/>
              <w:top w:val="single" w:sz="6" w:space="0" w:color="666666"/>
              <w:left w:val="single" w:sz="6" w:space="0" w:color="666666"/>
              <w:right w:val="single" w:sz="6" w:space="0" w:color="666666"/>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single" w:sz="6" w:space="0" w:color="666666"/>
              <w:top w:val="single" w:sz="6" w:space="0" w:color="666666"/>
              <w:left w:val="single" w:sz="6" w:space="0" w:color="666666"/>
              <w:right w:val="single" w:sz="6" w:space="0" w:color="666666"/>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reactor events</w:t>
            </w:r>
          </w:p>
        </w:tc>
        <w:tc>
          <w:tcPr>
            <w:tcBorders>
              <w:bottom w:val="single" w:sz="6" w:space="0" w:color="666666"/>
              <w:top w:val="single" w:sz="6" w:space="0" w:color="666666"/>
              <w:left w:val="single" w:sz="6" w:space="0" w:color="666666"/>
              <w:right w:val="single" w:sz="6" w:space="0" w:color="666666"/>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6" w:space="0" w:color="666666"/>
              <w:top w:val="single" w:sz="6" w:space="0" w:color="666666"/>
              <w:left w:val="single" w:sz="6" w:space="0" w:color="666666"/>
              <w:right w:val="single" w:sz="6" w:space="0" w:color="666666"/>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6" w:space="0" w:color="666666"/>
              <w:top w:val="single" w:sz="6" w:space="0" w:color="666666"/>
              <w:left w:val="single" w:sz="6" w:space="0" w:color="666666"/>
              <w:right w:val="single" w:sz="6" w:space="0" w:color="666666"/>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6" w:space="0" w:color="666666"/>
              <w:top w:val="single" w:sz="6" w:space="0" w:color="666666"/>
              <w:left w:val="single" w:sz="6" w:space="0" w:color="666666"/>
              <w:right w:val="single" w:sz="6" w:space="0" w:color="666666"/>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p>
      <w:pPr>
        <w:pStyle w:val="BodyText"/>
      </w:pPr>
      <w:r>
        <w:t xml:space="preserve">Among all variables, the total number of non-nutritive visits showed the largest relative among-individual variation (CVi = 0.53 [0.45, 0.61]), meaning that on average, cows differ from one another by more than half the population mean in how often they visit a feed bin without eating. The total number of actor events (CVi = 0.47 [0.40, 0.54]) and the median number of non-nutritive visits per meal (CVi = 0.44 [0.38, 0.51]) were also highly variable across individuals, indicating that agonistic and non-nutritive visiting frequencies are the most individually distinguishing behaviors in this study among all variables we evalauted. At the other end of the spectrum, the percentage of meal time spent actively feeding (CVi = 0.09 [0.08, 0.10]) and daily feed intake (CVi = 0.10 [0.08, 0.11]) showed the smallest relative variation, meaning cows were nearly indistinguishable from one another on these dimensions.</w:t>
      </w:r>
    </w:p>
    <w:p>
      <w:pPr>
        <w:pStyle w:val="BodyText"/>
      </w:pPr>
      <w:r>
        <w:t xml:space="preserve">Repeatability (R) provides complementary but not redundant information. Daily water drinking duration had the highest R (0.74 [0.69, 0.79]), followed by the number of daily feeding visits (R = 0.68 [0.62, 0.74]) and the total number of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2.4,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it is driven by the low within-individual variance. In other words, each cow is very consistent within themselves from day to day, so R is inflated by low residual (within-individual) variance rather than by high among-individual variance. Variables ranked near the top on both R and CVi (e.g., the total number of non-nutritive visits, water drinking duration), represent the most useful candidates for individual profiling, since cows both differ meaningfully from one another and behave consistently enough for those differences to be detectable from repeated observations.</w:t>
      </w:r>
    </w:p>
    <w:bookmarkStart w:id="38" w:name="cell-fig-rep-cvp-scatter"/>
    <w:tbl>
      <w:tblPr>
        <w:tblStyle w:val="Table"/>
        <w:tblW w:type="pct" w:w="5000"/>
        <w:tblLayout w:type="fixed"/>
        <w:tblLook w:firstRow="0" w:lastRow="0" w:firstColumn="0" w:lastColumn="0" w:noHBand="0" w:noVBand="0" w:val="0000"/>
      </w:tblPr>
      <w:tblGrid>
        <w:gridCol w:w="7920"/>
      </w:tblGrid>
      <w:tr>
        <w:tc>
          <w:tcPr/>
          <w:bookmarkStart w:id="37" w:name="fig-rep-cvp-scatter"/>
          <w:p>
            <w:pPr>
              <w:pStyle w:val="Compact"/>
              <w:jc w:val="center"/>
            </w:pPr>
            <w:r>
              <w:drawing>
                <wp:inline>
                  <wp:extent cx="5943600" cy="2701636"/>
                  <wp:effectExtent b="0" l="0" r="0" t="0"/>
                  <wp:docPr descr="" title="" id="35" name="Picture"/>
                  <a:graphic>
                    <a:graphicData uri="http://schemas.openxmlformats.org/drawingml/2006/picture">
                      <pic:pic>
                        <pic:nvPicPr>
                          <pic:cNvPr descr="results/14_individual_traits/ellipse_scatter_grid_AB.png" id="36" name="Picture"/>
                          <pic:cNvPicPr>
                            <a:picLocks noChangeArrowheads="1" noChangeAspect="1"/>
                          </pic:cNvPicPr>
                        </pic:nvPicPr>
                        <pic:blipFill>
                          <a:blip r:embed="rId34"/>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behavioral variables. (A) Repeatability (R) vs coefficient of individual variation (CVi). (B) Coefficient of variation of predictability (CVP) vs CVi. Each point is a behavioral variable; ellipses show 95% credible intervals on both axes. Points are coloured by the 3-cluster k-means solution of Section 3.3 (Cluster 1 = high R, high CVi; Cluster 2 = high R, low CVi; Cluster 3 = low R, low CVi). Point shape distinguishes the likelihood family used for the mixed model.</w:t>
            </w:r>
          </w:p>
          <w:bookmarkEnd w:id="37"/>
        </w:tc>
      </w:tr>
    </w:tbl>
    <w:bookmarkEnd w:id="38"/>
    <w:p>
      <w:pPr>
        <w:pStyle w:val="BodyText"/>
      </w:pPr>
    </w:p>
    <w:bookmarkEnd w:id="39"/>
    <w:bookmarkStart w:id="40" w:name="X857bc80184dc77d076ea7728b0a447ef6e74b84"/>
    <w:p>
      <w:pPr>
        <w:pStyle w:val="Heading2"/>
      </w:pPr>
      <w:r>
        <w:t xml:space="preserve">3.2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it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behaviors at a similar level of behvioral consistency within themselves aross different days, and cows differed little from one another in how predictable they were. The corresponding rIIV values indicate that the least-predictable cows showed only about 1.2 times more variable than most-predictable cows for these behaviors.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 consistency: some cows were more consistent than others in these behaviors, with the least-predictable cows being roughly 1.5 times as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0"/>
    <w:bookmarkStart w:id="41" w:name="classifying-behavioral-variables"/>
    <w:p>
      <w:pPr>
        <w:pStyle w:val="Heading2"/>
      </w:pPr>
      <w:r>
        <w:t xml:space="preserve">3.3 Classifying Behavioral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Behavior Cluster 1 — high R, high CVi</w:t>
      </w:r>
      <w:r>
        <w:t xml:space="preserve"> </w:t>
      </w:r>
      <w:r>
        <w:t xml:space="preserve">contained 8 variables: number of non nutritive visits, total actor, median non nutritive per meal, water duration, total reactor, median visit per meal, feed visits, water visits. Cows in this cluster differed widely from one another in their average behavioral expression, and these differences remained stable over time. In other words, each cow had a distinctive and repeatable behavioural signature. These variables are the most useful for characterising individual behavioural profiles.</w:t>
      </w:r>
    </w:p>
    <w:p>
      <w:pPr>
        <w:pStyle w:val="BodyText"/>
      </w:pPr>
      <w:r>
        <w:rPr>
          <w:b/>
          <w:bCs/>
        </w:rPr>
        <w:t xml:space="preserve">Behavior Cluster 2 — high R, low CVi</w:t>
      </w:r>
      <w:r>
        <w:t xml:space="preserve"> </w:t>
      </w:r>
      <w:r>
        <w:t xml:space="preserve">contained 3 variables: feed duration, water intake, median feeding pct per meal. Individual differences were again consistent over time, but the spread of individual differences across the herd was narrow relative to the herd mean.</w:t>
      </w:r>
    </w:p>
    <w:p>
      <w:pPr>
        <w:pStyle w:val="BodyText"/>
      </w:pPr>
      <w:r>
        <w:rPr>
          <w:b/>
          <w:bCs/>
        </w:rPr>
        <w:t xml:space="preserve">Behavior Cluster 3 — low R, low CVi</w:t>
      </w:r>
      <w:r>
        <w:t xml:space="preserve"> </w:t>
      </w:r>
      <w:r>
        <w:t xml:space="preserve">contained 5 variables: median meal duration, median intake per meal, total meals, median pct feed remaining,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tendencies.</w:t>
      </w:r>
    </w:p>
    <w:bookmarkEnd w:id="41"/>
    <w:bookmarkStart w:id="48" w:name="identifying-cow-types-via-pca"/>
    <w:p>
      <w:pPr>
        <w:pStyle w:val="Heading2"/>
      </w:pPr>
      <w:r>
        <w:t xml:space="preserve">3.4 Identifying Cow Types via PCA</w:t>
      </w:r>
    </w:p>
    <w:p>
      <w:pPr>
        <w:pStyle w:val="FirstParagraph"/>
      </w:pPr>
      <w:r>
        <w:t xml:space="preserve">We applied PCA with varimax rotation to the intercepts (average individual cow’s behaviour expression) of the 8 Behavior Cluster 1 variables. 3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3,</w:t>
      </w:r>
      <w:r>
        <w:t xml:space="preserve"> </w:t>
      </w:r>
      <w:hyperlink w:anchor="fig-pca-biplots">
        <w:r>
          <w:rPr>
            <w:rStyle w:val="Hyperlink"/>
          </w:rPr>
          <w:t xml:space="preserve">Figure 2</w:t>
        </w:r>
      </w:hyperlink>
      <w:r>
        <w:t xml:space="preserve">). Rotated Component (RC) 1 explained the largest share of variance (51.6%), driven primarily by non-nutritive behavior and feeding patterns. RC2 explained 21.3% of variance and was most strongly associated with drinking patterns. RC3 captured the remaining variance, primarily related to agonistic behavior (actor and reactor events).</w:t>
      </w:r>
    </w:p>
    <w:p>
      <w:pPr>
        <w:pStyle w:val="BodyText"/>
      </w:pPr>
    </w:p>
    <w:p>
      <w:r>
        <w:br w:type="page"/>
      </w:r>
    </w:p>
    <w:p>
      <w:pPr>
        <w:pStyle w:val="BodyText"/>
      </w:pPr>
      <w:r>
        <w:rPr>
          <w:b/>
          <w:bCs/>
        </w:rPr>
        <w:t xml:space="preserve">Table 3.</w:t>
      </w:r>
      <w:r>
        <w:t xml:space="preserve"> </w:t>
      </w:r>
      <w:r>
        <w:t xml:space="preserve">Varimax-rotated PCA loadings for the 8 Behavior Cluster-1 intercept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w:t>
      </w:r>
      <w:r>
        <w:t xml:space="preserve"> </w:t>
      </w:r>
      <w:hyperlink r:id="rId42">
        <w:r>
          <w:rPr>
            <w:rStyle w:val="Hyperlink"/>
          </w:rPr>
          <w:t xml:space="preserve">https://www.skysheng.io/moo4feed_decoding_animal/</w:t>
        </w:r>
      </w:hyperlink>
      <w:r>
        <w:t xml:space="preserve">.</w:t>
      </w:r>
    </w:p>
    <w:p>
      <w:pPr>
        <w:pStyle w:val="BodyText"/>
      </w:pPr>
    </w:p>
    <w:p>
      <w:pPr>
        <w:pStyle w:val="BodyText"/>
      </w:pPr>
    </w:p>
    <w:bookmarkStart w:id="47" w:name="cell-fig-pca-biplots"/>
    <w:tbl>
      <w:tblPr>
        <w:tblStyle w:val="Table"/>
        <w:tblW w:type="pct" w:w="5000"/>
        <w:tblLayout w:type="fixed"/>
        <w:tblLook w:firstRow="0" w:lastRow="0" w:firstColumn="0" w:lastColumn="0" w:noHBand="0" w:noVBand="0" w:val="0000"/>
      </w:tblPr>
      <w:tblGrid>
        <w:gridCol w:w="7920"/>
      </w:tblGrid>
      <w:tr>
        <w:tc>
          <w:tcPr/>
          <w:bookmarkStart w:id="46" w:name="fig-pca-biplots"/>
          <w:p>
            <w:pPr>
              <w:pStyle w:val="Compact"/>
              <w:jc w:val="center"/>
            </w:pPr>
            <w:r>
              <w:drawing>
                <wp:inline>
                  <wp:extent cx="5943600" cy="2674620"/>
                  <wp:effectExtent b="0" l="0" r="0" t="0"/>
                  <wp:docPr descr="" title="" id="44" name="Picture"/>
                  <a:graphic>
                    <a:graphicData uri="http://schemas.openxmlformats.org/drawingml/2006/picture">
                      <pic:pic>
                        <pic:nvPicPr>
                          <pic:cNvPr descr="results/15_pca_clustering/pca_M3_c1_int_biplot_clusters_AB.png" id="45" name="Picture"/>
                          <pic:cNvPicPr>
                            <a:picLocks noChangeArrowheads="1" noChangeAspect="1"/>
                          </pic:cNvPicPr>
                        </pic:nvPicPr>
                        <pic:blipFill>
                          <a:blip r:embed="rId43"/>
                          <a:stretch>
                            <a:fillRect/>
                          </a:stretch>
                        </pic:blipFill>
                        <pic:spPr bwMode="auto">
                          <a:xfrm>
                            <a:off x="0" y="0"/>
                            <a:ext cx="5943600" cy="2674620"/>
                          </a:xfrm>
                          <a:prstGeom prst="rect">
                            <a:avLst/>
                          </a:prstGeom>
                          <a:noFill/>
                          <a:ln w="9525">
                            <a:noFill/>
                            <a:headEnd/>
                            <a:tailEnd/>
                          </a:ln>
                        </pic:spPr>
                      </pic:pic>
                    </a:graphicData>
                  </a:graphic>
                </wp:inline>
              </w:drawing>
            </w:r>
          </w:p>
          <w:p>
            <w:pPr>
              <w:jc w:val="start"/>
              <w:spacing w:before="200"/>
              <w:pStyle w:val="ImageCaption"/>
            </w:pPr>
            <w:r>
              <w:t xml:space="preserve">Figure 2: PCA biplots using the intercepts of Cluster-1 variables. (A) RC1 vs RC2. (B) RC1 vs RC3. Each point is a cow, coloured by k-means cluster assignment; arrows represent variable loadings scaled to the score space. Ellipses show 95% confidence regions around each cluster centroid.</w:t>
            </w:r>
          </w:p>
          <w:bookmarkEnd w:id="46"/>
        </w:tc>
      </w:tr>
    </w:tbl>
    <w:bookmarkEnd w:id="47"/>
    <w:p>
      <w:pPr>
        <w:pStyle w:val="BodyText"/>
      </w:pPr>
    </w:p>
    <w:p>
      <w:pPr>
        <w:pStyle w:val="BodyText"/>
      </w:pPr>
      <w:r>
        <w:rPr>
          <w:b/>
          <w:bCs/>
        </w:rPr>
        <w:t xml:space="preserve">Cow Cluster 1 —</w:t>
      </w:r>
      <w:r>
        <w:rPr>
          <w:b/>
          <w:bCs/>
        </w:rPr>
        <w:t xml:space="preserve"> </w:t>
      </w:r>
      <w:r>
        <w:rPr>
          <w:b/>
          <w:bCs/>
        </w:rPr>
        <w:t xml:space="preserve">“frequently replaced herd majority”</w:t>
      </w:r>
      <w:r>
        <w:rPr>
          <w:b/>
          <w:bCs/>
        </w:rPr>
        <w:t xml:space="preserve"> </w:t>
      </w:r>
      <w:r>
        <w:rPr>
          <w:b/>
          <w:bCs/>
        </w:rPr>
        <w:t xml:space="preserve">(n = 55, ~51% of the herd, the largest group).</w:t>
      </w:r>
      <w:r>
        <w:t xml:space="preserve"> </w:t>
      </w:r>
      <w:r>
        <w:t xml:space="preserve">Cows in this cluster sit near the herd average on RC1 (mean score = -0.21) and slightly below average on RC2 (-0.41), but score noticeably high on RC3 (0.58). These cows are replaced from feed bins (reactor events) more often than they replaced others (actor events), and have slightly low drinking activity (</w:t>
      </w:r>
      <w:hyperlink w:anchor="fig-pca-biplots">
        <w:r>
          <w:rPr>
            <w:rStyle w:val="Hyperlink"/>
          </w:rPr>
          <w:t xml:space="preserve">Figure 2</w:t>
        </w:r>
      </w:hyperlink>
      <w:r>
        <w:t xml:space="preserve"> </w:t>
      </w:r>
      <w:r>
        <w:t xml:space="preserve">A). Cows in this cluster are the unremarkable majority of the herd: they feed, drink, and take their meals within typical ranges, but routinely yield the bin to more dominant penmates.</w:t>
      </w:r>
    </w:p>
    <w:p>
      <w:pPr>
        <w:pStyle w:val="BodyText"/>
      </w:pPr>
      <w:r>
        <w:rPr>
          <w:b/>
          <w:bCs/>
        </w:rPr>
        <w:t xml:space="preserve">Cow Cluster 2 —</w:t>
      </w:r>
      <w:r>
        <w:rPr>
          <w:b/>
          <w:bCs/>
        </w:rPr>
        <w:t xml:space="preserve"> </w:t>
      </w:r>
      <w:r>
        <w:rPr>
          <w:b/>
          <w:bCs/>
        </w:rPr>
        <w:t xml:space="preserve">“water lovers”</w:t>
      </w:r>
      <w:r>
        <w:rPr>
          <w:b/>
          <w:bCs/>
        </w:rPr>
        <w:t xml:space="preserve"> </w:t>
      </w:r>
      <w:r>
        <w:rPr>
          <w:b/>
          <w:bCs/>
        </w:rPr>
        <w:t xml:space="preserve">(n = 13, ~12%).</w:t>
      </w:r>
      <w:r>
        <w:t xml:space="preserve"> </w:t>
      </w:r>
      <w:r>
        <w:t xml:space="preserve">Cows in this cluster are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 substantially high drinking activity even after we controled for DIM and THI. They have relatively low feeding activity, and get replaced slightly more often than they replace others.</w:t>
      </w:r>
    </w:p>
    <w:p>
      <w:pPr>
        <w:pStyle w:val="BodyText"/>
      </w:pPr>
      <w:r>
        <w:rPr>
          <w:b/>
          <w:bCs/>
        </w:rPr>
        <w:t xml:space="preserve">Cow Cluster 3 —</w:t>
      </w:r>
      <w:r>
        <w:rPr>
          <w:b/>
          <w:bCs/>
        </w:rPr>
        <w:t xml:space="preserve"> </w:t>
      </w:r>
      <w:r>
        <w:rPr>
          <w:b/>
          <w:bCs/>
        </w:rPr>
        <w:t xml:space="preserve">“fragmented, restless feeders”</w:t>
      </w:r>
      <w:r>
        <w:rPr>
          <w:b/>
          <w:bCs/>
        </w:rPr>
        <w:t xml:space="preserve"> </w:t>
      </w:r>
      <w:r>
        <w:rPr>
          <w:b/>
          <w:bCs/>
        </w:rPr>
        <w:t xml:space="preserve">(n = 5, ~5%, the smallest group).</w:t>
      </w:r>
      <w:r>
        <w:t xml:space="preserve"> </w:t>
      </w:r>
      <w:r>
        <w:t xml:space="preserve">This small group of extreme individuals scores very high on RC1 (3.09), driven by a combination of many feed visits per day, many non-nutritive visits, and highly fragmented meals (many short visits per meal, with repeated head-in/head-out events rather than sustained feeding). RC2 (-0.43) is slightly below average, and RC3 (0.03) score is very close to the herd average. These cows have relatively low drinking activity, repeatedly switch among bins in search of preferred feed, even though there is feed remaining in the bins they visited. This cluster contains only a handful of cows, it captures the behavioral tail of the distribution rather than a common type.</w:t>
      </w:r>
    </w:p>
    <w:p>
      <w:pPr>
        <w:pStyle w:val="BodyText"/>
      </w:pPr>
      <w:r>
        <w:rPr>
          <w:b/>
          <w:bCs/>
        </w:rPr>
        <w:t xml:space="preserve">Cow Cluster 4 —</w:t>
      </w:r>
      <w:r>
        <w:rPr>
          <w:b/>
          <w:bCs/>
        </w:rPr>
        <w:t xml:space="preserve"> </w:t>
      </w:r>
      <w:r>
        <w:rPr>
          <w:b/>
          <w:bCs/>
        </w:rPr>
        <w:t xml:space="preserve">“contest-winning”</w:t>
      </w:r>
      <w:r>
        <w:rPr>
          <w:b/>
          <w:bCs/>
        </w:rPr>
        <w:t xml:space="preserve"> </w:t>
      </w:r>
      <w:r>
        <w:rPr>
          <w:b/>
          <w:bCs/>
        </w:rPr>
        <w:t xml:space="preserve">cows (n = 34, ~32%, the second-largest group).</w:t>
      </w:r>
      <w:r>
        <w:t xml:space="preserve"> </w:t>
      </w:r>
      <w:r>
        <w:t xml:space="preserve">These cows show average RC1 (0.03) and RC2 (0.00) scores but a strongly negative RC3 score (-1.12), meaning they rarely get replaced at the feeders and instead tend to be the ones initiating replacements against others (</w:t>
      </w:r>
      <w:hyperlink w:anchor="fig-pca-biplots">
        <w:r>
          <w:rPr>
            <w:rStyle w:val="Hyperlink"/>
          </w:rPr>
          <w:t xml:space="preserve">Figure 2</w:t>
        </w:r>
      </w:hyperlink>
      <w:r>
        <w:t xml:space="preserve"> </w:t>
      </w:r>
      <w:r>
        <w:t xml:space="preserve">B). Their feeding, drinking behaviors, and meal patterns are otherwise unremarkable. These cows likely benefit from preferential access to feed bins.</w:t>
      </w:r>
    </w:p>
    <w:bookmarkEnd w:id="48"/>
    <w:bookmarkStart w:id="49" w:name="individual-cow-stories"/>
    <w:p>
      <w:pPr>
        <w:pStyle w:val="Heading2"/>
      </w:pPr>
      <w:r>
        <w:t xml:space="preserve">3.5 Individual Cow Stories</w:t>
      </w:r>
    </w:p>
    <w:p>
      <w:pPr>
        <w:pStyle w:val="FirstParagraph"/>
      </w:pPr>
      <w:r>
        <w:t xml:space="preserve">We selected one cow from each of the 4 clusters and describe their individual stories through their average behavioral expression compared to the herd. All behavioral values reported below are posterior means of each cow’s behavioral type (i.e., her individual intercept from the mixed models in Section 3.1), so they represent the cow’s typical day-to-day expression after accounting for DIM and THI. Percentiles are calculated within the herd on those same posterior means.</w:t>
      </w:r>
    </w:p>
    <w:p>
      <w:pPr>
        <w:pStyle w:val="BodyText"/>
      </w:pPr>
      <w:r>
        <w:rPr>
          <w:b/>
          <w:bCs/>
        </w:rPr>
        <w:t xml:space="preserve">Cow 7068 — a</w:t>
      </w:r>
      <w:r>
        <w:rPr>
          <w:b/>
          <w:bCs/>
        </w:rPr>
        <w:t xml:space="preserve"> </w:t>
      </w:r>
      <w:r>
        <w:rPr>
          <w:b/>
          <w:bCs/>
        </w:rPr>
        <w:t xml:space="preserve">“typical, frequently replaced”</w:t>
      </w:r>
      <w:r>
        <w:rPr>
          <w:b/>
          <w:bCs/>
        </w:rPr>
        <w:t xml:space="preserve"> </w:t>
      </w:r>
      <w:r>
        <w:rPr>
          <w:b/>
          <w:bCs/>
        </w:rPr>
        <w:t xml:space="preserve">cow (Cluster 1).</w:t>
      </w:r>
      <w:r>
        <w:t xml:space="preserve"> </w:t>
      </w:r>
      <w:r>
        <w:t xml:space="preserve">Cow 7068 is almost never the one replacing others at the feed bin (daily actor events: 9.12, 4th percentile of the herd) but is very frequently replaced by others (daily reactor events: 52.56, 90th percentile). Despite routinely being replaced at the bin, she still achieves one of the highest daily feed intakes in the herd (daily feed intake: 71.01, 91th percentile). She did not maintain the high feed intake through visiting the feed bins more often. Her feeding visits per day (78.85, 29th percentile) are actually below the herd median. She maintained high feed intake through a highly efficient feeding strategy. When she does enter a bin, she stays for a long time feeding. Being frequently replaced does not contradict a long feeding duration: it means she is eventually displaced after a sustained bout, not immediately. Her daily feeding duration is long (388.2 min, 87th percentile), and a very high fraction of her meal time is spent with her head down actually feeding rather than waiting next to the bin (median percentage of time spent feeding per meal: 90.45%, 92th percentile). This is combined with a high median intake per meal (9.55 kg, 84th percentile). Consistent with this feeding style, her non-nutritive behavior is low (daily non-nutritive visits: 31.82, 31th percentile) and her drinking profile is unremarkable (daily drinking duration: 11.2 min, 52th percentile; daily drinking visits: 7.71, 36th percentile). In short, cow 7068 rarely wins social encounters, but she compensates by making each meal count and spending more time feeding.</w:t>
      </w:r>
    </w:p>
    <w:p>
      <w:pPr>
        <w:pStyle w:val="BodyText"/>
      </w:pPr>
      <w:r>
        <w:rPr>
          <w:b/>
          <w:bCs/>
        </w:rPr>
        <w:t xml:space="preserve">Cow 7150 — a</w:t>
      </w:r>
      <w:r>
        <w:rPr>
          <w:b/>
          <w:bCs/>
        </w:rPr>
        <w:t xml:space="preserve"> </w:t>
      </w:r>
      <w:r>
        <w:rPr>
          <w:b/>
          <w:bCs/>
        </w:rPr>
        <w:t xml:space="preserve">“water lover”</w:t>
      </w:r>
      <w:r>
        <w:rPr>
          <w:b/>
          <w:bCs/>
        </w:rPr>
        <w:t xml:space="preserve"> </w:t>
      </w:r>
      <w:r>
        <w:rPr>
          <w:b/>
          <w:bCs/>
        </w:rPr>
        <w:t xml:space="preserve">(Cluster 2).</w:t>
      </w:r>
      <w:r>
        <w:t xml:space="preserve"> </w:t>
      </w:r>
      <w:r>
        <w:t xml:space="preserve">Cow 7150’s daily drinking duration (35.0 min, 100th percentile) and daily drinking visits (22.27, 100th percentile) are the highest in the herd, which are several times higher than the herd mean. Although she visits the water bins often and for extended period of time, her daily water intake (50.89 kg, 25th percentile) is actually below the herd median. She simply keeps returning to the drinkers throughout the day in many short bouts. Her feeding-related variables are within the normal range (feeding visits per day: 98.08, 57th percentile; median visits per meal: 10.67, 37th percentile). Similar to her drinking style, when she visits the feed bins, only a small fraction of meal time is spent actually feeding (median percentage of time spend feeding per meal: 76.15%, 16th percentile) and her median intake per meal is considerably low (6.81 kg, 13th percentile). Her non-nutritive behavior (daily non-nutritive visits: 45.95, 60th percentile; median non-nutritive per meal: 4.77, 46th percentile) is close to the herd average. Socially she initiates somewhat more replacements than the typical cow (daily actor events: 33.79, 78th percentile) while being replaced at a near-average rate (daily reactor events: 36.61, 57th percentile). Her daily feed intake (65.17 kg, 50th percentile) sits right at the herd median, consistent with her overall-average feeding profile. What places her in this cluster is her distinctive drinking style: many long drinking visits spread across the day.</w:t>
      </w:r>
    </w:p>
    <w:p>
      <w:pPr>
        <w:pStyle w:val="BodyText"/>
      </w:pPr>
      <w:r>
        <w:rPr>
          <w:b/>
          <w:bCs/>
        </w:rPr>
        <w:t xml:space="preserve">Cow 5042 — a</w:t>
      </w:r>
      <w:r>
        <w:rPr>
          <w:b/>
          <w:bCs/>
        </w:rPr>
        <w:t xml:space="preserve"> </w:t>
      </w:r>
      <w:r>
        <w:rPr>
          <w:b/>
          <w:bCs/>
        </w:rPr>
        <w:t xml:space="preserve">“fragmented, restless feeder”</w:t>
      </w:r>
      <w:r>
        <w:rPr>
          <w:b/>
          <w:bCs/>
        </w:rPr>
        <w:t xml:space="preserve"> </w:t>
      </w:r>
      <w:r>
        <w:rPr>
          <w:b/>
          <w:bCs/>
        </w:rPr>
        <w:t xml:space="preserve">(Cluster 3).</w:t>
      </w:r>
      <w:r>
        <w:t xml:space="preserve"> </w:t>
      </w:r>
      <w:r>
        <w:t xml:space="preserve">Cow 5042 is the most extreme individual in the herd on nearly every RC1 variable, and illustrates the fragmented-feeder profile. Her feeding visits per day (205.63, 100th percentile), median visits per meal (30.54, 100th percentile), daily non-nutritive visits (161.71, 100th percentile), and median non-nutritive visits per meal (22.32, 100th percentile) are all at or near the herd maximum. She visits bins constantly and pulls her head in and out of bins many times per meal. Although her meals are unusually long (median meal duration: 92.0 min, 98th percentile), only a tiny fraction of that time is actually spent feeding (median feeding % per meal: 57.21%, 1th percentile, essentially the lowest in the herd), meaning that on average, she spent about half of her meal time standing and waiting next to the feed bins instead of actually occupying a feed bin. Her cumulative daily feeding duration ends up low (310.5 min, 8th percentile). Surprisingly, her daily feed intake is still high (72.50 kg, 94th percentile), and her median intake per meal is near the top of the herd (10.43 kg, 97th percentile), meaning that even during brief head-down moments she managed to consume a lot of feed. She is also highly socially active, appearing as both an actor (48.73, 98th percentile) and a reactor (62.67, 99th percentile) far more often than typical, suggesting that her fragmented feeding style is accompanied by (and possibly driven by) frequent agonistic interactions at the feeding area. Her drinking behavior is within the normal range. Her daily drinking duration (13.7 min, 76th percentile) is modestly above the herd median, and she has relatively more drinking visits per day than average cow (11.87, 88th percentile). Cow 5042’s time at the feeding area is made up of many short, interrupted visits rather than sustained feeding. But when she manage to occupy a feed bin, she eats fast.</w:t>
      </w:r>
    </w:p>
    <w:p>
      <w:pPr>
        <w:pStyle w:val="BodyText"/>
      </w:pPr>
      <w:r>
        <w:rPr>
          <w:b/>
          <w:bCs/>
        </w:rPr>
        <w:t xml:space="preserve">Cow 5120 — a</w:t>
      </w:r>
      <w:r>
        <w:rPr>
          <w:b/>
          <w:bCs/>
        </w:rPr>
        <w:t xml:space="preserve"> </w:t>
      </w:r>
      <w:r>
        <w:rPr>
          <w:b/>
          <w:bCs/>
        </w:rPr>
        <w:t xml:space="preserve">“contest-winning”</w:t>
      </w:r>
      <w:r>
        <w:rPr>
          <w:b/>
          <w:bCs/>
        </w:rPr>
        <w:t xml:space="preserve"> </w:t>
      </w:r>
      <w:r>
        <w:rPr>
          <w:b/>
          <w:bCs/>
        </w:rPr>
        <w:t xml:space="preserve">cow (Cluster 4).</w:t>
      </w:r>
      <w:r>
        <w:t xml:space="preserve"> </w:t>
      </w:r>
      <w:r>
        <w:t xml:space="preserve">Cow 5120 frequently replaces herdmates from feed bins (daily actor events: 37.80, 90th percentile) and is almost never replaced herself (daily reactor events: 12.53, only the 3rd percentile). Her meal structure reflects the feeding style of a cow that does not have to compete for access: she takes a typical number of feeding visits per day (89.57, 40th percentile) and spreads them into a typical number of meals (median visits per meal: 12.49, 53th percentile). Each of her meal is efficient, a moderately high fraction of meal time is spent actually occupying a feed bin (median percentage of time spent feeding per meal: 84.94%, 65th percentile), yielding an above-average median intake per meal (9.55 kg, 85th percentile) and a high daily feed intake (69.60, 81th percentile). Her non-nutritive behavior is on the lower side (daily non-nutritive visits: 33.50, 35th percentile; median non-nutritive per meal: 4.24, 38th percentile), and her drinking profile is unremarkable (daily drinking duration: 12.4 min, 66th percentile; daily drinking visits: 9.00, 56th percentile). Cow 5120 is straightforward and efficient. When she wants to feed, she goes directly to the bin she wants, replacing whoever is there. Her feeding time is largely uninterrupted by other cows.</w:t>
      </w:r>
    </w:p>
    <w:bookmarkEnd w:id="49"/>
    <w:bookmarkEnd w:id="50"/>
    <w:bookmarkStart w:id="56" w:name="discussion"/>
    <w:p>
      <w:pPr>
        <w:pStyle w:val="Heading1"/>
      </w:pPr>
      <w:r>
        <w:t xml:space="preserve">4. Discussion</w:t>
      </w:r>
    </w:p>
    <w:p>
      <w:pPr>
        <w:pStyle w:val="FirstParagraph"/>
      </w:pPr>
      <w:r>
        <w:t xml:space="preserve">This study demonstrates that existing data streams from electronic feeders and drinkers contain far richer behavioral information than is typically extracted. By developing the</w:t>
      </w:r>
      <w:r>
        <w:t xml:space="preserve"> </w:t>
      </w:r>
      <w:r>
        <w:rPr>
          <w:rStyle w:val="VerbatimChar"/>
        </w:rPr>
        <w:t xml:space="preserve">moo4feed</w:t>
      </w:r>
      <w:r>
        <w:t xml:space="preserve"> </w:t>
      </w:r>
      <w:r>
        <w:t xml:space="preserve">R package, we introduced a standardized and reproducible pipeline for processing raw electronic feeder and drinker data and extracting behavioral variables that go beyond basic daily intake and visit counts. Using 16 variables spanning feeding, drinking, meal patterns, non-nutritive behavior, and social competition, we quantified repeatability and predictability for each variable, identified behaviors most informative for individual profiling, and used those behaviors to characterize four distinct cow types within the herd.</w:t>
      </w:r>
    </w:p>
    <w:bookmarkStart w:id="51" w:name="X823c7d6af6f1deb5b47f51320181e7a174cf8df"/>
    <w:p>
      <w:pPr>
        <w:pStyle w:val="Heading2"/>
      </w:pPr>
      <w:r>
        <w:t xml:space="preserve">4.1 Repeatability and predictability in context</w:t>
      </w:r>
    </w:p>
    <w:p>
      <w:pPr>
        <w:pStyle w:val="FirstParagraph"/>
      </w:pPr>
      <w:r>
        <w:t xml:space="preserve">A meta-analysis of 759 repeatability estimates across 114 studies and 98 species reported a mean R of 0.37</w:t>
      </w:r>
      <w:r>
        <w:t xml:space="preserve"> </w:t>
      </w:r>
      <w:r>
        <w:t xml:space="preserve">(</w:t>
      </w:r>
      <w:hyperlink w:anchor="ref-bell2009">
        <w:r>
          <w:rPr>
            <w:rStyle w:val="Hyperlink"/>
            <w:b/>
            <w:bCs/>
          </w:rPr>
          <w:t xml:space="preserve">bell2009?</w:t>
        </w:r>
      </w:hyperlink>
      <w:r>
        <w:t xml:space="preserve">)</w:t>
      </w:r>
      <w:r>
        <w:t xml:space="preserve">. Our repeatability values ranged from 0.21 (median pct feed remaining) to 0.74 (water duration), with most variables falling between 0.38 and 0.64. This places the majority of our behavioral variables above the cross-species average, indicating that the behaviors captured from electronic feeders and drinkers likely reflect stable individual differences.</w:t>
      </w:r>
    </w:p>
    <w:p>
      <w:pPr>
        <w:pStyle w:val="BodyText"/>
      </w:pPr>
      <w:r>
        <w:t xml:space="preserve">Two methodological points are worth noting when comparing our results to prior cattle work. First, none of the previous studies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 </w:t>
      </w:r>
      <w:r>
        <w:t xml:space="preserve">reported CVi, the coefficient of individual variation. As articulated by Hertel et al.</w:t>
      </w:r>
      <w:r>
        <w:t xml:space="preserve"> </w:t>
      </w:r>
      <w:r>
        <w:t xml:space="preserve">(</w:t>
      </w:r>
      <w:hyperlink w:anchor="ref-hertel2020">
        <w:r>
          <w:rPr>
            <w:rStyle w:val="Hyperlink"/>
          </w:rPr>
          <w:t xml:space="preserve">2020</w:t>
        </w:r>
      </w:hyperlink>
      <w:r>
        <w:t xml:space="preserve">)</w:t>
      </w:r>
      <w:r>
        <w:t xml:space="preserve">, CVi is essential for comparing the magnitude of among-individual differences across studies and populations because R is confounded by within-individual variance: a high R can result from either large among-individual differences or simply very low day-to-day variability within individuals. Without CVi, it is not possible to determine whether differences in R between studies reflect genuine differences in among-individual variation or merely differences in residual noise. Our study is the first in the cattle repeatability literature to report CVi alongside R, and we encourage future work to adopt this metric to enable meaningful cross-study comparisons. Second, the comparison between our adult cow results and the calf results of Carslake et al.</w:t>
      </w:r>
      <w:r>
        <w:t xml:space="preserve"> </w:t>
      </w:r>
      <w:r>
        <w:t xml:space="preserve">(</w:t>
      </w:r>
      <w:hyperlink w:anchor="ref-carslake2022b">
        <w:r>
          <w:rPr>
            <w:rStyle w:val="Hyperlink"/>
          </w:rPr>
          <w:t xml:space="preserve">2022b</w:t>
        </w:r>
      </w:hyperlink>
      <w:r>
        <w:t xml:space="preserve">)</w:t>
      </w:r>
      <w:r>
        <w:t xml:space="preserve"> </w:t>
      </w:r>
      <w:r>
        <w:t xml:space="preserve">and Occhiuto et al.</w:t>
      </w:r>
      <w:r>
        <w:t xml:space="preserve"> </w:t>
      </w:r>
      <w:r>
        <w:t xml:space="preserve">(</w:t>
      </w:r>
      <w:hyperlink w:anchor="ref-occhiuto2022">
        <w:r>
          <w:rPr>
            <w:rStyle w:val="Hyperlink"/>
          </w:rPr>
          <w:t xml:space="preserve">2022</w:t>
        </w:r>
      </w:hyperlink>
      <w:r>
        <w:t xml:space="preserve">)</w:t>
      </w:r>
      <w:r>
        <w:t xml:space="preserve"> </w:t>
      </w:r>
      <w:r>
        <w:t xml:space="preserve">should be interpreted cautiously. Bell et al.</w:t>
      </w:r>
      <w:r>
        <w:t xml:space="preserve"> </w:t>
      </w:r>
      <w:r>
        <w:t xml:space="preserve">(</w:t>
      </w:r>
      <w:hyperlink w:anchor="ref-bell2009">
        <w:r>
          <w:rPr>
            <w:rStyle w:val="Hyperlink"/>
            <w:b/>
            <w:bCs/>
          </w:rPr>
          <w:t xml:space="preserve">bell2009?</w:t>
        </w:r>
      </w:hyperlink>
      <w:r>
        <w:t xml:space="preserve">)</w:t>
      </w:r>
      <w:r>
        <w:t xml:space="preserve"> </w:t>
      </w:r>
      <w:r>
        <w:t xml:space="preserve">noted that whether juveniles are more or less repeatable than adults of the same species remains an unanswered biological question with no clear directional prediction: juveniles may be less repeatable because they are undergoing rapid developmental change, or more repeatable because the costs of deviating from a developmental trajectory are high. The few within-species comparisons available show no consistent pattern. We therefore focus our direct comparisons on Thomas et al.</w:t>
      </w:r>
      <w:r>
        <w:t xml:space="preserve"> </w:t>
      </w:r>
      <w:r>
        <w:t xml:space="preserve">(</w:t>
      </w:r>
      <w:hyperlink w:anchor="ref-thomas2024">
        <w:r>
          <w:rPr>
            <w:rStyle w:val="Hyperlink"/>
          </w:rPr>
          <w:t xml:space="preserve">2024</w:t>
        </w:r>
      </w:hyperlink>
      <w:r>
        <w:t xml:space="preserve">)</w:t>
      </w:r>
      <w:r>
        <w:t xml:space="preserve">, the only other study conducted in adult dairy cows.</w:t>
      </w:r>
    </w:p>
    <w:p>
      <w:pPr>
        <w:pStyle w:val="BodyText"/>
      </w:pPr>
      <w:r>
        <w:t xml:space="preserve">For the variables directly comparable to Thomas et al.</w:t>
      </w:r>
      <w:r>
        <w:t xml:space="preserve"> </w:t>
      </w:r>
      <w:r>
        <w:t xml:space="preserve">(</w:t>
      </w:r>
      <w:hyperlink w:anchor="ref-thomas2024">
        <w:r>
          <w:rPr>
            <w:rStyle w:val="Hyperlink"/>
          </w:rPr>
          <w:t xml:space="preserve">2024</w:t>
        </w:r>
      </w:hyperlink>
      <w:r>
        <w:t xml:space="preserve">)</w:t>
      </w:r>
      <w:r>
        <w:t xml:space="preserve">, our estimates are similar or higher. Our R for daily feeding duration (0.56 [0.49, 0.63]) exceeds their R = 0.38 [0.35, 0.40] for daily feeding time in 2584 adult cows across 46 herds. This difference likely reflects methodological differences rather than a true biological divergence: Thomas et al. used neck-mounted sensors and aggregated data across diverse commercial herds, whereas our study used automated feeders with strict data filtering, removing days affected by illness, lameness, estrus, and other disruptions. These design choices reduce within-individual noise and would be expected to yield higher repeatability estimates.</w:t>
      </w:r>
    </w:p>
    <w:p>
      <w:pPr>
        <w:pStyle w:val="BodyText"/>
      </w:pPr>
      <w:r>
        <w:t xml:space="preserve">Many of our highest-R variables (water drinking duration: 0.74; daily feeding visits: 0.68; non-nutritive visits: 0.64) capture behaviors that have never been assessed for repeatability before, and have no published comparison. Even our lowest R value (median pct feed remaining: 0.21) is likely still biologically meaningful. Bell et al.</w:t>
      </w:r>
      <w:r>
        <w:t xml:space="preserve"> </w:t>
      </w:r>
      <w:r>
        <w:t xml:space="preserve">(</w:t>
      </w:r>
      <w:hyperlink w:anchor="ref-bell2009">
        <w:r>
          <w:rPr>
            <w:rStyle w:val="Hyperlink"/>
            <w:b/>
            <w:bCs/>
          </w:rPr>
          <w:t xml:space="preserve">bell2009?</w:t>
        </w:r>
      </w:hyperlink>
      <w:r>
        <w:t xml:space="preserve">)</w:t>
      </w:r>
      <w:r>
        <w:t xml:space="preserve"> </w:t>
      </w:r>
      <w:r>
        <w:t xml:space="preserve">showed that many well-established personality traits in wild populations have R values between 0.20 and 0.40, and Thomas et al.</w:t>
      </w:r>
      <w:r>
        <w:t xml:space="preserve"> </w:t>
      </w:r>
      <w:r>
        <w:t xml:space="preserve">(</w:t>
      </w:r>
      <w:hyperlink w:anchor="ref-thomas2024">
        <w:r>
          <w:rPr>
            <w:rStyle w:val="Hyperlink"/>
          </w:rPr>
          <w:t xml:space="preserve">2024</w:t>
        </w:r>
      </w:hyperlink>
      <w:r>
        <w:t xml:space="preserve">)</w:t>
      </w:r>
      <w:r>
        <w:t xml:space="preserve"> </w:t>
      </w:r>
      <w:r>
        <w:t xml:space="preserve">reported their lowest R at 0.21 [0.20, 0.21] for maximum lying bout duration yet interpreted it as evidence of consistent individual differences. For behaviors measured in the broader cattle literature but not in our study (e.g., lying bouts, space use), prior work reports R values ranging from 0.03 to 0.80 in calves and 0.21 to 0.38 in adult cows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For predictability, our CVP values ranged from 0.08 to 0.22 across all 16 variables. This is notably lower than the cross-species mean CVP of 0.27 [0.22, 0.33] reported across 64 estimates from 39 datasets in a meta-analysis of behavioral and physiological traits</w:t>
      </w:r>
      <w:r>
        <w:t xml:space="preserve"> </w:t>
      </w:r>
      <w:r>
        <w:t xml:space="preserve">(</w:t>
      </w:r>
      <w:hyperlink w:anchor="ref-mitchell2020">
        <w:r>
          <w:rPr>
            <w:rStyle w:val="Hyperlink"/>
          </w:rPr>
          <w:t xml:space="preserve">Mitchell et al., 2021</w:t>
        </w:r>
      </w:hyperlink>
      <w:r>
        <w:t xml:space="preserve">)</w:t>
      </w:r>
      <w:r>
        <w:t xml:space="preserve">. For dairy calves, CVP values in the literature ranged from 0.13 [0.06, 0.21] (total meals;</w:t>
      </w:r>
      <w:r>
        <w:t xml:space="preserve"> </w:t>
      </w:r>
      <w:r>
        <w:t xml:space="preserve">Carslake et al. (</w:t>
      </w:r>
      <w:hyperlink w:anchor="ref-carslake2022b">
        <w:r>
          <w:rPr>
            <w:rStyle w:val="Hyperlink"/>
          </w:rPr>
          <w:t xml:space="preserve">2022b</w:t>
        </w:r>
      </w:hyperlink>
      <w:r>
        <w:t xml:space="preserve">)</w:t>
      </w:r>
      <w:r>
        <w:t xml:space="preserve">) to 0.49 [0.35, 0.62] (core area used;</w:t>
      </w:r>
      <w:r>
        <w:t xml:space="preserve"> </w:t>
      </w:r>
      <w:r>
        <w:t xml:space="preserve">Occhiuto et al. (</w:t>
      </w:r>
      <w:hyperlink w:anchor="ref-occhiuto2022">
        <w:r>
          <w:rPr>
            <w:rStyle w:val="Hyperlink"/>
          </w:rPr>
          <w:t xml:space="preserve">2022</w:t>
        </w:r>
      </w:hyperlink>
      <w:r>
        <w:t xml:space="preserve">)</w:t>
      </w:r>
      <w:r>
        <w:t xml:space="preserve">). For adult dairy cows, Thomas et al.</w:t>
      </w:r>
      <w:r>
        <w:t xml:space="preserve"> </w:t>
      </w:r>
      <w:r>
        <w:t xml:space="preserve">(</w:t>
      </w:r>
      <w:hyperlink w:anchor="ref-thomas2024">
        <w:r>
          <w:rPr>
            <w:rStyle w:val="Hyperlink"/>
          </w:rPr>
          <w:t xml:space="preserve">2024</w:t>
        </w:r>
      </w:hyperlink>
      <w:r>
        <w:t xml:space="preserve">)</w:t>
      </w:r>
      <w:r>
        <w:t xml:space="preserve"> </w:t>
      </w:r>
      <w:r>
        <w:t xml:space="preserve">reported CVP values ranging from 0.19 [0.18, 0.20] (daily feeding time) to 0.46 [0.44, 0.48] (mean lying bout duration), with higher values coming from bout-level metrics that are inherently more liabile than daily aggregates. Our corresponding CVP for daily feeding duration was 0.17 [0.14, 0.21], which is close to Thomas et al.’s daily feeding time estimate and confirms that our daily-level metrics fall at the lower end of the adult cow range.</w:t>
      </w:r>
    </w:p>
    <w:p>
      <w:pPr>
        <w:pStyle w:val="BodyText"/>
      </w:pPr>
      <w:r>
        <w:t xml:space="preserve">The uniformly low CVP values in our study likely reflect the same strict data filtering that inflated our R estimates relative to prior work: by removing days disrupted by illness, lameness, estrus, and regrouping, we restricted our analyses to a stable behavioral baseline. This is a practically useful finding in its own right: under clean baseline conditions, CVP values were consistently low across all variables, and the variation in predictability across cows was modest. Whether individual cow types (e.g., the</w:t>
      </w:r>
      <w:r>
        <w:t xml:space="preserve"> </w:t>
      </w:r>
      <w:r>
        <w:t xml:space="preserve">“fragmented restless feeders”</w:t>
      </w:r>
      <w:r>
        <w:t xml:space="preserve"> </w:t>
      </w:r>
      <w:r>
        <w:t xml:space="preserve">identified in Section 3.3) show systematically higher within-individual variability during periods of health challenge, or whether predictability is better understood as a property of physiological state than of personality, is an important question for future work.</w:t>
      </w:r>
    </w:p>
    <w:bookmarkEnd w:id="51"/>
    <w:bookmarkStart w:id="52" w:name="X9208a0f9ff96099c301dc097c2a99f7ed4d7f9b"/>
    <w:p>
      <w:pPr>
        <w:pStyle w:val="Heading2"/>
      </w:pPr>
      <w:r>
        <w:t xml:space="preserve">4.2 Novel behavioral variables and compensatory feeding strategies</w:t>
      </w:r>
    </w:p>
    <w:p>
      <w:pPr>
        <w:pStyle w:val="FirstParagraph"/>
      </w:pPr>
      <w:r>
        <w:t xml:space="preserve">A key contribution of this study is showing that electronic feeders capture information well beyond what is typically reported. Standard analyses focus on daily feed and water intake, visit counts, and duration. By applying the</w:t>
      </w:r>
      <w:r>
        <w:t xml:space="preserve"> </w:t>
      </w:r>
      <w:r>
        <w:rPr>
          <w:rStyle w:val="VerbatimChar"/>
        </w:rPr>
        <w:t xml:space="preserve">moo4feed</w:t>
      </w:r>
      <w:r>
        <w:t xml:space="preserve"> </w:t>
      </w:r>
      <w:r>
        <w:t xml:space="preserve">pipeline, we additionally derived variables capturing exploratory behavior (non-nutritive visits), social competition (actor and reactor replacement events), feeding efficiency (median percentage of meal time spent actively eating), feed access disadvantage (proportion of feed remaining at visit start), and meal fragmentation (median visits per meal). These variables have rarely been considered in the repeatability and predictability literature, which has focused primarily on daily aggregates of feeding and lying behaviors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 e.g.,</w:t>
      </w:r>
      <w:r>
        <w:t xml:space="preserve"> </w:t>
      </w:r>
      <w:hyperlink w:anchor="ref-thomas2024">
        <w:r>
          <w:rPr>
            <w:rStyle w:val="Hyperlink"/>
          </w:rPr>
          <w:t xml:space="preserve">Thomas et al., 2024</w:t>
        </w:r>
      </w:hyperlink>
      <w:r>
        <w:t xml:space="preserve">)</w:t>
      </w:r>
      <w:r>
        <w:t xml:space="preserve">.</w:t>
      </w:r>
    </w:p>
    <w:p>
      <w:pPr>
        <w:pStyle w:val="BodyText"/>
      </w:pPr>
      <w:r>
        <w:t xml:space="preserve">Among all variables, non-nutritive visits showed the largest CVi (0.53 [0.45, 0.61]), meaning cows differ from one another by more than half the population mean in how often they visit feed bins without eating. Actor events (CVi = 0.47 [0.40, 0.54]) and reactor events (CVi = 0.38 [0.32, 0.43]) also showed high among-individual variation. In contrast, daily feed intake (CVi = 0.10 [0.08, 0.11]) showed the smallest relative variation. The finding that cows are nearly indistinguishable from one another in daily feed intake, despite exhibiting dramatically different feeding strategies, suggests compensatory feeding: cows converge to similar intakes through different behavioral pathways. Cow 7068 (frequently replaced, but efficient and sustained feeder) and cow 5042 (fragmented, restless, but fast eater) both achieved high daily feed intakes through opposite strategies. This echoes Thomas et al.</w:t>
      </w:r>
      <w:r>
        <w:t xml:space="preserve"> </w:t>
      </w:r>
      <w:r>
        <w:t xml:space="preserve">(</w:t>
      </w:r>
      <w:hyperlink w:anchor="ref-thomas2024">
        <w:r>
          <w:rPr>
            <w:rStyle w:val="Hyperlink"/>
          </w:rPr>
          <w:t xml:space="preserve">2024</w:t>
        </w:r>
      </w:hyperlink>
      <w:r>
        <w:t xml:space="preserve">)</w:t>
      </w:r>
      <w:r>
        <w:t xml:space="preserve">, who found high repeatability for total daily feeding time and interpreted it as cows compensating disrupted bouts by adjusting other feeding aspects.</w:t>
      </w:r>
    </w:p>
    <w:bookmarkEnd w:id="52"/>
    <w:bookmarkStart w:id="53" w:name="behavioral-profiles-and-cow-types"/>
    <w:p>
      <w:pPr>
        <w:pStyle w:val="Heading2"/>
      </w:pPr>
      <w:r>
        <w:t xml:space="preserve">4.3 Behavioral profiles and cow types</w:t>
      </w:r>
    </w:p>
    <w:p>
      <w:pPr>
        <w:pStyle w:val="FirstParagraph"/>
      </w:pPr>
      <w:r>
        <w:t xml:space="preserve">By applying PCA with varimax rotation to the 8 Cluster 1 variables (those with both high R and high CVi), we identified three principal components explaining over 80% of variance. K-means clustering on these component scores identified four cow types: a frequently replaced herd majority, contest-winning cows, water lovers, and fragmented restless feeders.</w:t>
      </w:r>
    </w:p>
    <w:p>
      <w:pPr>
        <w:pStyle w:val="BodyText"/>
      </w:pPr>
      <w:r>
        <w:t xml:space="preserve">Personality has been defined as consistent differences in how individual animals respond across contexts and over time</w:t>
      </w:r>
      <w:r>
        <w:t xml:space="preserve"> </w:t>
      </w:r>
      <w:r>
        <w:t xml:space="preserve">(</w:t>
      </w:r>
      <w:hyperlink w:anchor="ref-reale2007">
        <w:r>
          <w:rPr>
            <w:rStyle w:val="Hyperlink"/>
          </w:rPr>
          <w:t xml:space="preserve">Réale et al., 2007</w:t>
        </w:r>
      </w:hyperlink>
      <w:r>
        <w:t xml:space="preserve">)</w:t>
      </w:r>
      <w:r>
        <w:t xml:space="preserve">. The four cow types we identified are grounded in exactly that: variables that showed consistent and large among-individual variation, meaning these cows differed from one another in stable, characteristic ways throughout the observation period. However, we do not claim that this constitutes full personality assessment. Such assessment requires data spanning a longer time window, more diverse contexts, and ideally replication across farms and management systems. But the patterns we observed are consistent with the personality framework: cows were not behaving randomly, and their differences were not explained purely by the fixed effects in our models. These sensor-derived behavioral signatures appear to reflect some personality-like traits.</w:t>
      </w:r>
    </w:p>
    <w:p>
      <w:pPr>
        <w:pStyle w:val="BodyText"/>
      </w:pPr>
      <w:r>
        <w:t xml:space="preserve">The contrast between</w:t>
      </w:r>
      <w:r>
        <w:t xml:space="preserve"> </w:t>
      </w:r>
      <w:r>
        <w:t xml:space="preserve">“contest-winning”</w:t>
      </w:r>
      <w:r>
        <w:t xml:space="preserve"> </w:t>
      </w:r>
      <w:r>
        <w:t xml:space="preserve">and</w:t>
      </w:r>
      <w:r>
        <w:t xml:space="preserve"> </w:t>
      </w:r>
      <w:r>
        <w:t xml:space="preserve">“frequently-replaced”</w:t>
      </w:r>
      <w:r>
        <w:t xml:space="preserve"> </w:t>
      </w:r>
      <w:r>
        <w:t xml:space="preserve">cows captures persistent differences in competitive success at the feeder, not necessarily dominance. As we noted in previous work</w:t>
      </w:r>
      <w:r>
        <w:t xml:space="preserve"> </w:t>
      </w:r>
      <w:r>
        <w:t xml:space="preserve">(</w:t>
      </w:r>
      <w:hyperlink w:anchor="ref-sheng2024redefining">
        <w:r>
          <w:rPr>
            <w:rStyle w:val="Hyperlink"/>
          </w:rPr>
          <w:t xml:space="preserve">Sheng et al., 2024</w:t>
        </w:r>
      </w:hyperlink>
      <w:r>
        <w:t xml:space="preserve">)</w:t>
      </w:r>
      <w:r>
        <w:t xml:space="preserve">, replacement events are not a clean proxy for dominance: they are often triggered by the motivation to access fresh feed rather than by social rank per se. What the cluster analysis captures is not who dominates whom, but who consistently initiates replacements and who consistently yields. Interestingly, some</w:t>
      </w:r>
      <w:r>
        <w:t xml:space="preserve"> </w:t>
      </w:r>
      <w:r>
        <w:t xml:space="preserve">“frequently replaced”</w:t>
      </w:r>
      <w:r>
        <w:t xml:space="preserve"> </w:t>
      </w:r>
      <w:r>
        <w:t xml:space="preserve">cows compensated for this disadvantage through sustained, efficient feeding during the time they did occupy a bin, while</w:t>
      </w:r>
      <w:r>
        <w:t xml:space="preserve"> </w:t>
      </w:r>
      <w:r>
        <w:t xml:space="preserve">“contest-winning”</w:t>
      </w:r>
      <w:r>
        <w:t xml:space="preserve"> </w:t>
      </w:r>
      <w:r>
        <w:t xml:space="preserve">cows, facing fewer disruptions, fed with notably less non-nutritive and exploratory behavior.</w:t>
      </w:r>
    </w:p>
    <w:p>
      <w:pPr>
        <w:pStyle w:val="BodyText"/>
      </w:pPr>
      <w:r>
        <w:t xml:space="preserve">The</w:t>
      </w:r>
      <w:r>
        <w:t xml:space="preserve"> </w:t>
      </w:r>
      <w:r>
        <w:t xml:space="preserve">“water lovers”</w:t>
      </w:r>
      <w:r>
        <w:t xml:space="preserve"> </w:t>
      </w:r>
      <w:r>
        <w:t xml:space="preserve">cluster stands out because these cows spent considerably more time at and returning to the drinkers without drinking more water, suggesting the behavior is not primarily driven by hydration needs. Cow 7150, whose case we highlighted in detail, showed long drinking durations and frequent drinker visits during a period when THI remained consistently below 68, ruling out heat load as an explanation. The</w:t>
      </w:r>
      <w:r>
        <w:t xml:space="preserve"> </w:t>
      </w:r>
      <w:r>
        <w:t xml:space="preserve">“fragmented, restless feeders”</w:t>
      </w:r>
      <w:r>
        <w:t xml:space="preserve"> </w:t>
      </w:r>
      <w:r>
        <w:t xml:space="preserve">represent a qualitatively distinct type: defined by an exceptionally high rate of non-nutritive visits, these cows approached bins with feed available but withdrew without eating.</w:t>
      </w:r>
    </w:p>
    <w:bookmarkEnd w:id="53"/>
    <w:bookmarkStart w:id="54" w:name="limitations"/>
    <w:p>
      <w:pPr>
        <w:pStyle w:val="Heading2"/>
      </w:pPr>
      <w:r>
        <w:t xml:space="preserve">4.4 Limitations</w:t>
      </w:r>
    </w:p>
    <w:p>
      <w:pPr>
        <w:pStyle w:val="FirstParagraph"/>
      </w:pPr>
      <w:r>
        <w:t xml:space="preserve">Several limitations warrant acknowledgment. Data were collected at a single research farm using Holstein dairy cows under specific management conditions, which limits direct generalizability to commercial herds with different pen designs, stocking densities, or feeding management. The dynamic group composition (approximately 6 cows entering and leaving the pen every 16 days) introduced ongoing social instability.</w:t>
      </w:r>
    </w:p>
    <w:p>
      <w:pPr>
        <w:pStyle w:val="BodyText"/>
      </w:pPr>
      <w:r>
        <w:t xml:space="preserve">A methodological strength of our study relative to prior work is the explicit assessment of variable distributions before model fitting. We examined each variable’s distribution and selected Gaussian or lognormal likelihoods accordingly (Section 2.4). The choice of likelihood family matters because it affects the scale on which variance components are estimated and therefore the resulting R and CVi values.</w:t>
      </w:r>
    </w:p>
    <w:p>
      <w:pPr>
        <w:pStyle w:val="BodyText"/>
      </w:pPr>
      <w:r>
        <w:t xml:space="preserve">For the total meals variable, we used a lognormal model (log transformation) because the raw distribution was strongly right-skewed. Although total meals is technically a count variable and could in principle be modeled with a negative binomial distribution, we chose the lognormal approach for two reasons. First, the primary goal was to compare repeatability and predictability across all 16 variables on a common scale. Using a different distributional family for one variable would have required simulation-based methods to extract comparable R and CVi estimates, making direct comparison across variables much more complex. Second, the same issue applies to feeding rate and drinking rate, which we excluded from the current analysis entirely because their distributions could not be adequately normalized even after log transformation. Fitting these variables with appropriate non-Gaussian families and deriving comparable repeatability metrics through simulation is beyond the scope of this paper but represents a worthwhile extension for future work.</w:t>
      </w:r>
    </w:p>
    <w:bookmarkEnd w:id="54"/>
    <w:bookmarkStart w:id="55" w:name="future-directions"/>
    <w:p>
      <w:pPr>
        <w:pStyle w:val="Heading2"/>
      </w:pPr>
      <w:r>
        <w:t xml:space="preserve">4.5 Future directions</w:t>
      </w:r>
    </w:p>
    <w:p>
      <w:pPr>
        <w:pStyle w:val="FirstParagraph"/>
      </w:pPr>
      <w:r>
        <w:t xml:space="preserve">Several new directions could be explored based on this work. First, the</w:t>
      </w:r>
      <w:r>
        <w:t xml:space="preserve"> </w:t>
      </w:r>
      <w:r>
        <w:rPr>
          <w:rStyle w:val="VerbatimChar"/>
        </w:rPr>
        <w:t xml:space="preserve">moo4feed</w:t>
      </w:r>
      <w:r>
        <w:t xml:space="preserve"> </w:t>
      </w:r>
      <w:r>
        <w:t xml:space="preserve">R package should be applied to other species and study systems (e.g., goats, birds) to evaluate whether the behavioral extraction pipeline and the analytical framework generalize beyond dairy cattle. The package was designed with flexibility in mind, and testing its applicability across diverse farm settings would strengthen its utility as a general tool for behavioral phenotyping.</w:t>
      </w:r>
    </w:p>
    <w:p>
      <w:pPr>
        <w:pStyle w:val="BodyText"/>
      </w:pPr>
      <w:r>
        <w:t xml:space="preserve">Second, future research should go deeper into the temporal and spatial dimensions of feeding behavior. Our analyses characterized what cows do on average across the day, but not when or where they choose to compete. During feed delivery, we observed that certain</w:t>
      </w:r>
      <w:r>
        <w:t xml:space="preserve"> </w:t>
      </w:r>
      <w:r>
        <w:t xml:space="preserve">“popular”</w:t>
      </w:r>
      <w:r>
        <w:t xml:space="preserve"> </w:t>
      </w:r>
      <w:r>
        <w:t xml:space="preserve">bins received fresh feed first and attracted disproportionately high competition, even though fresh feed was delivered to all bins. Cows likely differ in their temporal strategies: some may head straight to the most popular bins during peak competition times (arguably a risky, costly approach), while others may access fresh feed at the same high-competition time but choose less popular bins that still have fresh feed yet are more isolated from herd traffic. Understanding whether individual cows consistently adopt one temporal strategy over another would add a new dimension to behavioral profiling.</w:t>
      </w:r>
    </w:p>
    <w:p>
      <w:pPr>
        <w:pStyle w:val="BodyText"/>
      </w:pPr>
      <w:r>
        <w:t xml:space="preserve">Third, future work should investigate social relationships between specific cows. Are there stable bonds within the herd, pairs that always feed together or next to each other? Are there strong antagonisms where particular individuals always replace each other? Understanding these dyadic patterns could enhanve our understanding about the social network structure of farm animals.</w:t>
      </w:r>
    </w:p>
    <w:p>
      <w:pPr>
        <w:pStyle w:val="BodyText"/>
      </w:pPr>
      <w:r>
        <w:t xml:space="preserve">Fourth, changes in these behaviors over time, and especially changes in a cow’s predictability (a highly consistent cow suddenly showing large variation in her behavior), could serve as early indicators of disease or distress. The personality-dependent sickness behavior documented by Setser et al.</w:t>
      </w:r>
      <w:r>
        <w:t xml:space="preserve"> </w:t>
      </w:r>
      <w:r>
        <w:t xml:space="preserve">(</w:t>
      </w:r>
      <w:hyperlink w:anchor="ref-setser2024a">
        <w:r>
          <w:rPr>
            <w:rStyle w:val="Hyperlink"/>
          </w:rPr>
          <w:t xml:space="preserve">2024b</w:t>
        </w:r>
      </w:hyperlink>
      <w:r>
        <w:t xml:space="preserve">)</w:t>
      </w:r>
      <w:r>
        <w:t xml:space="preserve"> </w:t>
      </w:r>
      <w:r>
        <w:t xml:space="preserve">in calves, where fearful and active calves changed their lying behavior in opposite directions when sick, suggests that the four cow types identified here may respond to illness differently. Prospective validation of whether individual behavioral profiles predict the nature, direction, and timing of health-related behavioral changes would be the critical translational step toward individualized health monitoring.</w:t>
      </w:r>
    </w:p>
    <w:p>
      <w:pPr>
        <w:pStyle w:val="BodyText"/>
      </w:pPr>
      <w:r>
        <w:t xml:space="preserve">Finally, while the</w:t>
      </w:r>
      <w:r>
        <w:t xml:space="preserve"> </w:t>
      </w:r>
      <w:r>
        <w:rPr>
          <w:rStyle w:val="VerbatimChar"/>
        </w:rPr>
        <w:t xml:space="preserve">moo4feed</w:t>
      </w:r>
      <w:r>
        <w:t xml:space="preserve"> </w:t>
      </w:r>
      <w:r>
        <w:t xml:space="preserve">package currently takes in data from electronic feeders and drinkers, it was designed in a modular and flexible way. If computer vision systems or other technologies become available that can record which cow eats where and when, the package can accommodate these alternative data sources as long as they output the same fundamental information: individual identity, location, timing, and intake.</w:t>
      </w:r>
    </w:p>
    <w:bookmarkEnd w:id="55"/>
    <w:bookmarkEnd w:id="56"/>
    <w:bookmarkStart w:id="57" w:name="conclusion"/>
    <w:p>
      <w:pPr>
        <w:pStyle w:val="Heading1"/>
      </w:pPr>
      <w:r>
        <w:t xml:space="preserve">5. Conclusion</w:t>
      </w:r>
    </w:p>
    <w:p>
      <w:pPr>
        <w:pStyle w:val="FirstParagraph"/>
      </w:pPr>
      <w:r>
        <w:t xml:space="preserve">In this study, we show that data streams collected from automatic feeding and drinking systems contain rich biological information that can be used to decode individual behavioral narratives. Using dairy cows as an example, we demonstrate that animals living in the same environment differ consistently and substantially from one another across feeding, drinking, and social behaviors. Variables capturing exploratory behavior, social competition at the feed bunk, and water drinking duration showed the greatest and most consistent among-individual variation. Daily feed intake was among the least discriminating, suggesting that individuals converge to similar daily intakes through strikingly different strategies. Using behaviors showing consistent among-individual differences, we identified four distinct behavioral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standardized and reproducible pipeline for extracting these variables from electronic feeder and drinker data already collected across many production systems, enabling individual-level behavioral profiling as a practical foundation for disease and distress monitoring in farm animals and beyond.</w:t>
      </w:r>
    </w:p>
    <w:bookmarkEnd w:id="57"/>
    <w:bookmarkStart w:id="58"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58"/>
    <w:bookmarkStart w:id="59"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59"/>
    <w:bookmarkStart w:id="60"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60"/>
    <w:bookmarkStart w:id="127"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26" w:name="references"/>
    <w:p>
      <w:pPr>
        <w:pStyle w:val="Heading2"/>
      </w:pPr>
      <w:r>
        <w:t xml:space="preserve">References</w:t>
      </w:r>
    </w:p>
    <w:bookmarkStart w:id="125" w:name="refs"/>
    <w:bookmarkStart w:id="62" w:name="ref-allwardt2017technical"/>
    <w:p>
      <w:pPr>
        <w:pStyle w:val="Bibliography"/>
      </w:pPr>
      <w:r>
        <w:t xml:space="preserve">Allwardt, K., Ahlberg, C., Broocks, A., Bruno, K., Taylor, A., Place, S., Richards, C., Krehbiel, C., Calvo-Lorenzo, M., DeSilva, U., VanOverbeke, D., Mateescu, R., Goad, C., Rolf, M.M., 2017. Technical note: Validation of an automated system for monitoring and restricting water intake in group-housed beef steers1,2. Journal of Animal Science 95, 4213–4219.</w:t>
      </w:r>
      <w:r>
        <w:t xml:space="preserve"> </w:t>
      </w:r>
      <w:hyperlink r:id="rId61">
        <w:r>
          <w:rPr>
            <w:rStyle w:val="Hyperlink"/>
          </w:rPr>
          <w:t xml:space="preserve">https://doi.org/10.2527/jas.2017.1593</w:t>
        </w:r>
      </w:hyperlink>
    </w:p>
    <w:bookmarkEnd w:id="62"/>
    <w:bookmarkStart w:id="63" w:name="ref-biro2012"/>
    <w:p>
      <w:pPr>
        <w:pStyle w:val="Bibliography"/>
      </w:pPr>
      <w:r>
        <w:t xml:space="preserve">Biro, P.A., 2012. Do rapid assays predict repeatability in labile (behavioural) traits? Animal Behaviour 83, 1295–1300.</w:t>
      </w:r>
    </w:p>
    <w:bookmarkEnd w:id="63"/>
    <w:bookmarkStart w:id="65" w:name="ref-biswas2022methane"/>
    <w:p>
      <w:pPr>
        <w:pStyle w:val="Bibliography"/>
      </w:pPr>
      <w:r>
        <w:t xml:space="preserve">Biswas, A., Khan, A., Luo, D., Jonker, A., 2022. Methane emissions in growing heifers while eating from a feed bin compared with 24-hour emissions and relationship with feeding behavior. JDS Communications 3, 255–259.</w:t>
      </w:r>
      <w:r>
        <w:t xml:space="preserve"> </w:t>
      </w:r>
      <w:hyperlink r:id="rId64">
        <w:r>
          <w:rPr>
            <w:rStyle w:val="Hyperlink"/>
          </w:rPr>
          <w:t xml:space="preserve">https://doi.org/10.3168/jdsc.2021-0184</w:t>
        </w:r>
      </w:hyperlink>
    </w:p>
    <w:bookmarkEnd w:id="65"/>
    <w:bookmarkStart w:id="67" w:name="ref-Brasier2023"/>
    <w:p>
      <w:pPr>
        <w:pStyle w:val="Bibliography"/>
      </w:pPr>
      <w:r>
        <w:t xml:space="preserve">Brasier, J.E., Schwanke, A.J., DeVries, T.J., 2023. Effects of dairy cows’ personality traits on their adaptation to an automated milking system following parturition. Journal of Dairy Science 106, 7191–7202.</w:t>
      </w:r>
      <w:r>
        <w:t xml:space="preserve"> </w:t>
      </w:r>
      <w:hyperlink r:id="rId66">
        <w:r>
          <w:rPr>
            <w:rStyle w:val="Hyperlink"/>
          </w:rPr>
          <w:t xml:space="preserve">https://doi.org/10.3168/jds.2022-23176</w:t>
        </w:r>
      </w:hyperlink>
    </w:p>
    <w:bookmarkEnd w:id="67"/>
    <w:bookmarkStart w:id="68" w:name="ref-budaev2010using"/>
    <w:p>
      <w:pPr>
        <w:pStyle w:val="Bibliography"/>
      </w:pPr>
      <w:r>
        <w:t xml:space="preserve">Budaev, S.V., 2010. Using principal components and factor analysis in animal behaviour research: Caveats and guidelines. Ethology 116, 472–480.</w:t>
      </w:r>
    </w:p>
    <w:bookmarkEnd w:id="68"/>
    <w:bookmarkStart w:id="69" w:name="ref-burkner2017brms"/>
    <w:p>
      <w:pPr>
        <w:pStyle w:val="Bibliography"/>
      </w:pPr>
      <w:r>
        <w:t xml:space="preserve">Bürkner, P.-C., 2017. Brms: An r package for bayesian multilevel models using stan. Journal of statistical software 80, 1–28.</w:t>
      </w:r>
    </w:p>
    <w:bookmarkEnd w:id="69"/>
    <w:bookmarkStart w:id="71" w:name="ref-cangelosi2007component"/>
    <w:p>
      <w:pPr>
        <w:pStyle w:val="Bibliography"/>
      </w:pPr>
      <w:r>
        <w:t xml:space="preserve">Cangelosi, R., Goriely, A., 2007. Component retention in principal component analysis with application to cDNA microarray data. Biology direct 2, 2.</w:t>
      </w:r>
      <w:r>
        <w:t xml:space="preserve"> </w:t>
      </w:r>
      <w:hyperlink r:id="rId70">
        <w:r>
          <w:rPr>
            <w:rStyle w:val="Hyperlink"/>
          </w:rPr>
          <w:t xml:space="preserve">https://doi.org/10.1186/1745-6150-2-2</w:t>
        </w:r>
      </w:hyperlink>
    </w:p>
    <w:bookmarkEnd w:id="71"/>
    <w:bookmarkStart w:id="72"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p>
    <w:bookmarkEnd w:id="72"/>
    <w:bookmarkStart w:id="73"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p>
    <w:bookmarkEnd w:id="73"/>
    <w:bookmarkStart w:id="74" w:name="ref-chapinal2007validation"/>
    <w:p>
      <w:pPr>
        <w:pStyle w:val="Bibliography"/>
      </w:pPr>
      <w:r>
        <w:t xml:space="preserve">Chapinal, N., Veira, D., Weary, D., Von Keyserlingk, M., 2007. Validation of a system for monitoring individual feeding and drinking behavior and intake in group-housed cattle. Journal of dairy science 90, 5732–5736.</w:t>
      </w:r>
    </w:p>
    <w:bookmarkEnd w:id="74"/>
    <w:bookmarkStart w:id="76" w:name="ref-creamer2024consistent"/>
    <w:p>
      <w:pPr>
        <w:pStyle w:val="Bibliography"/>
      </w:pPr>
      <w:r>
        <w:t xml:space="preserve">Creamer, M., Horback, K., 2024. Consistent individual differences in behavior among beef cattle in handling contexts and social-feed preference testing. Applied Animal Behaviour Science 276, 106315.</w:t>
      </w:r>
      <w:r>
        <w:t xml:space="preserve"> </w:t>
      </w:r>
      <w:hyperlink r:id="rId75">
        <w:r>
          <w:rPr>
            <w:rStyle w:val="Hyperlink"/>
          </w:rPr>
          <w:t xml:space="preserve">https://doi.org/10.1016/j.applanim.2024.106315</w:t>
        </w:r>
      </w:hyperlink>
    </w:p>
    <w:bookmarkEnd w:id="76"/>
    <w:bookmarkStart w:id="77" w:name="ref-dawkins2021"/>
    <w:p>
      <w:pPr>
        <w:pStyle w:val="Bibliography"/>
      </w:pPr>
      <w:r>
        <w:t xml:space="preserve">Dawkins, M.S., 2021. The science of animal welfare: Understanding what animals want. Oxford University Press.</w:t>
      </w:r>
    </w:p>
    <w:bookmarkEnd w:id="77"/>
    <w:bookmarkStart w:id="79" w:name="ref-DeVries2003"/>
    <w:p>
      <w:pPr>
        <w:pStyle w:val="Bibliography"/>
      </w:pPr>
      <w:r>
        <w:t xml:space="preserve">DeVries, T.J., Keyserlingk, M.A.G. von, Beauchemin, K.A., 2003. Short communication: Diurnal feeding pattern of lactating dairy cows. Journal of Dairy Science 86, 4079–4082.</w:t>
      </w:r>
      <w:r>
        <w:t xml:space="preserve"> </w:t>
      </w:r>
      <w:hyperlink r:id="rId78">
        <w:r>
          <w:rPr>
            <w:rStyle w:val="Hyperlink"/>
          </w:rPr>
          <w:t xml:space="preserve">https://doi.org/10.3168/JDS.S0022-0302(03)74020-X</w:t>
        </w:r>
      </w:hyperlink>
    </w:p>
    <w:bookmarkEnd w:id="79"/>
    <w:bookmarkStart w:id="80" w:name="ref-eriksson2020effects"/>
    <w:p>
      <w:pPr>
        <w:pStyle w:val="Bibliography"/>
      </w:pPr>
      <w:r>
        <w:t xml:space="preserve">Eriksson, H.K., Daros, R.R., Keyserlingk, M.A. von, Weary, D.M., 2020. Effects of case definition and assessment frequency on lameness incidence estimates. Journal of dairy science 103, 638–648.</w:t>
      </w:r>
    </w:p>
    <w:bookmarkEnd w:id="80"/>
    <w:bookmarkStart w:id="82" w:name="ref-faerevik2010effect"/>
    <w:p>
      <w:pPr>
        <w:pStyle w:val="Bibliography"/>
      </w:pPr>
      <w:r>
        <w:t xml:space="preserve">Færevik, G., Jensen, M.B., Bøe, K.E., 2010. The effect of group composition and age on social behavior and competition in groups of weaned dairy calves. Journal of Dairy Science 93, 4274–4279.</w:t>
      </w:r>
      <w:r>
        <w:t xml:space="preserve"> </w:t>
      </w:r>
      <w:hyperlink r:id="rId81">
        <w:r>
          <w:rPr>
            <w:rStyle w:val="Hyperlink"/>
          </w:rPr>
          <w:t xml:space="preserve">https://doi.org/10.3168/jds.2010-3147</w:t>
        </w:r>
      </w:hyperlink>
    </w:p>
    <w:bookmarkEnd w:id="82"/>
    <w:bookmarkStart w:id="83" w:name="ref-finkemeier2018"/>
    <w:p>
      <w:pPr>
        <w:pStyle w:val="Bibliography"/>
      </w:pPr>
      <w:r>
        <w:t xml:space="preserve">Finkemeier, M.-A., Langbein, J., Puppe, B., 2018. Personality research in mammalian farm animals: Concepts, measures, and relationship to welfare. Frontiers in veterinary science 5, 131.</w:t>
      </w:r>
    </w:p>
    <w:bookmarkEnd w:id="83"/>
    <w:bookmarkStart w:id="84" w:name="ref-flower2006effect"/>
    <w:p>
      <w:pPr>
        <w:pStyle w:val="Bibliography"/>
      </w:pPr>
      <w:r>
        <w:t xml:space="preserve">Flower, F., Weary, D., 2006. Effect of hoof pathologies on subjective assessments of dairy cow gait. Journal of dairy science 89, 139–146.</w:t>
      </w:r>
    </w:p>
    <w:bookmarkEnd w:id="84"/>
    <w:bookmarkStart w:id="86" w:name="ref-Foris2021"/>
    <w:p>
      <w:pPr>
        <w:pStyle w:val="Bibliography"/>
      </w:pPr>
      <w:r>
        <w:t xml:space="preserve">Foris, B., Haas, H.G., Langbein, J., Melzer, N., 2021. Familiarity influences social networks in dairy cows after regrouping. Journal of Dairy Science 104, 3485–3494.</w:t>
      </w:r>
      <w:r>
        <w:t xml:space="preserve"> </w:t>
      </w:r>
      <w:hyperlink r:id="rId85">
        <w:r>
          <w:rPr>
            <w:rStyle w:val="Hyperlink"/>
          </w:rPr>
          <w:t xml:space="preserve">https://doi.org/10.3168/jds.2020-18896</w:t>
        </w:r>
      </w:hyperlink>
    </w:p>
    <w:bookmarkEnd w:id="86"/>
    <w:bookmarkStart w:id="87" w:name="ref-foris2019automatic"/>
    <w:p>
      <w:pPr>
        <w:pStyle w:val="Bibliography"/>
      </w:pPr>
      <w:r>
        <w:t xml:space="preserve">Foris, B., Thompson, A., Von Keyserlingk, M., Melzer, N., Weary, D., 2019. Automatic detection of feeding-and drinking-related agonistic behavior and dominance in dairy cows. Journal of dairy science 102, 9176–9186.</w:t>
      </w:r>
    </w:p>
    <w:bookmarkEnd w:id="87"/>
    <w:bookmarkStart w:id="89" w:name="ref-gabry2019visualization"/>
    <w:p>
      <w:pPr>
        <w:pStyle w:val="Bibliography"/>
      </w:pPr>
      <w:r>
        <w:t xml:space="preserve">Gabry, J., Simpson, D., Vehtari, A., Betancourt, M., Gelman, A., 2019. Visualization in</w:t>
      </w:r>
      <w:r>
        <w:t xml:space="preserve"> </w:t>
      </w:r>
      <w:r>
        <w:t xml:space="preserve">Bayesian</w:t>
      </w:r>
      <w:r>
        <w:t xml:space="preserve"> </w:t>
      </w:r>
      <w:r>
        <w:t xml:space="preserve">workflow. Journal of the Royal Statistical Society: Series A (Statistics in Society) 182, 389–402.</w:t>
      </w:r>
      <w:r>
        <w:t xml:space="preserve"> </w:t>
      </w:r>
      <w:hyperlink r:id="rId88">
        <w:r>
          <w:rPr>
            <w:rStyle w:val="Hyperlink"/>
          </w:rPr>
          <w:t xml:space="preserve">https://doi.org/10.1111/rssa.12378</w:t>
        </w:r>
      </w:hyperlink>
    </w:p>
    <w:bookmarkEnd w:id="89"/>
    <w:bookmarkStart w:id="91" w:name="ref-grant1995feeding"/>
    <w:p>
      <w:pPr>
        <w:pStyle w:val="Bibliography"/>
      </w:pPr>
      <w:r>
        <w:t xml:space="preserve">Grant, R.J., Albright, J.L., 1995. Feeding behavior and management factors during the transition period in dairy cattle. Journal of Animal Science 73, 2791–2803.</w:t>
      </w:r>
      <w:r>
        <w:t xml:space="preserve"> </w:t>
      </w:r>
      <w:hyperlink r:id="rId90">
        <w:r>
          <w:rPr>
            <w:rStyle w:val="Hyperlink"/>
          </w:rPr>
          <w:t xml:space="preserve">https://doi.org/10.2527/1995.7392791x</w:t>
        </w:r>
      </w:hyperlink>
    </w:p>
    <w:bookmarkEnd w:id="91"/>
    <w:bookmarkStart w:id="92" w:name="ref-hertel2020"/>
    <w:p>
      <w:pPr>
        <w:pStyle w:val="Bibliography"/>
      </w:pPr>
      <w:r>
        <w:t xml:space="preserve">Hertel, A.G., Niemelä, P.T., Dingemanse, N.J., Mueller, T., 2020. A guide for studying among-individual behavioral variation from movement data in the wild. Movement ecology 8, 30.</w:t>
      </w:r>
    </w:p>
    <w:bookmarkEnd w:id="92"/>
    <w:bookmarkStart w:id="94" w:name="ref-Huzzey2012"/>
    <w:p>
      <w:pPr>
        <w:pStyle w:val="Bibliography"/>
      </w:pPr>
      <w:r>
        <w:t xml:space="preserve">Huzzey, J.M., Grant, R.J., Overton, T.R., 2012. Short communication: Relationship between competitive success during displacements at an overstocked feed bunk and measures of physiology and behavior in holstein dairy cattle. Journal of Dairy Science 95, 4434–4441.</w:t>
      </w:r>
      <w:r>
        <w:t xml:space="preserve"> </w:t>
      </w:r>
      <w:hyperlink r:id="rId93">
        <w:r>
          <w:rPr>
            <w:rStyle w:val="Hyperlink"/>
          </w:rPr>
          <w:t xml:space="preserve">https://doi.org/10.3168/jds.2011-5038</w:t>
        </w:r>
      </w:hyperlink>
    </w:p>
    <w:bookmarkEnd w:id="94"/>
    <w:bookmarkStart w:id="95" w:name="ref-huzzey2014automatic"/>
    <w:p>
      <w:pPr>
        <w:pStyle w:val="Bibliography"/>
      </w:pPr>
      <w:r>
        <w:t xml:space="preserve">Huzzey, J., Weary, D., Tiau, B., Von Keyserlingk, M., 2014. Automatic detection of social competition using an electronic feeding system. Journal of dairy science 97, 2953–2958.</w:t>
      </w:r>
    </w:p>
    <w:bookmarkEnd w:id="95"/>
    <w:bookmarkStart w:id="96"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p>
    <w:bookmarkEnd w:id="96"/>
    <w:bookmarkStart w:id="98" w:name="ref-lawrence1991individual"/>
    <w:p>
      <w:pPr>
        <w:pStyle w:val="Bibliography"/>
      </w:pPr>
      <w:r>
        <w:t xml:space="preserve">Lawrence, A.B., Terlouw, E.M.C., Illius, A.W., 1991. Individual differences in behavioural responses of pigs exposed to non-social and social challenges. Applied Animal Behaviour Science 30, 73–86.</w:t>
      </w:r>
      <w:r>
        <w:t xml:space="preserve"> </w:t>
      </w:r>
      <w:hyperlink r:id="rId97">
        <w:r>
          <w:rPr>
            <w:rStyle w:val="Hyperlink"/>
          </w:rPr>
          <w:t xml:space="preserve">https://doi.org/10.1016/0168-1591(91)90086-D</w:t>
        </w:r>
      </w:hyperlink>
    </w:p>
    <w:bookmarkEnd w:id="98"/>
    <w:bookmarkStart w:id="99"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p>
    <w:bookmarkEnd w:id="99"/>
    <w:bookmarkStart w:id="101" w:name="ref-mitchell2020"/>
    <w:p>
      <w:pPr>
        <w:pStyle w:val="Bibliography"/>
      </w:pPr>
      <w:r>
        <w:t xml:space="preserve">Mitchell, D.J., Beckmann, C., Biro, P.A., 2021. Understanding the unexplained: The magnitude and correlates of individual differences in residual variance. Ecology and Evolution 11, 7201–7210.</w:t>
      </w:r>
      <w:r>
        <w:t xml:space="preserve"> </w:t>
      </w:r>
      <w:hyperlink r:id="rId100">
        <w:r>
          <w:rPr>
            <w:rStyle w:val="Hyperlink"/>
          </w:rPr>
          <w:t xml:space="preserve">https://doi.org/10.1002/ece3.7603</w:t>
        </w:r>
      </w:hyperlink>
    </w:p>
    <w:bookmarkEnd w:id="101"/>
    <w:bookmarkStart w:id="103" w:name="ref-neave2018personality"/>
    <w:p>
      <w:pPr>
        <w:pStyle w:val="Bibliography"/>
      </w:pPr>
      <w:r>
        <w:t xml:space="preserve">Neave, H.W., Costa, J.H.C., Weary, D.M., von Keyserlingk, M.A.G., 2018. Personality is associated with feeding behavior and performance in dairy calves. Journal of Dairy Science 101, 7437–7449.</w:t>
      </w:r>
      <w:r>
        <w:t xml:space="preserve"> </w:t>
      </w:r>
      <w:hyperlink r:id="rId102">
        <w:r>
          <w:rPr>
            <w:rStyle w:val="Hyperlink"/>
          </w:rPr>
          <w:t xml:space="preserve">https://doi.org/10.3168/jds.2017-14248</w:t>
        </w:r>
      </w:hyperlink>
    </w:p>
    <w:bookmarkEnd w:id="103"/>
    <w:bookmarkStart w:id="104"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p>
    <w:bookmarkEnd w:id="104"/>
    <w:bookmarkStart w:id="106" w:name="ref-phillips2001effects"/>
    <w:p>
      <w:pPr>
        <w:pStyle w:val="Bibliography"/>
      </w:pPr>
      <w:r>
        <w:t xml:space="preserve">Phillips, C.J.C., Rind, M.I., 2001. The effects on production and behavior of mixing uniparous and multiparous cows. Journal of Dairy Science 84, 2424–2429.</w:t>
      </w:r>
      <w:r>
        <w:t xml:space="preserve"> </w:t>
      </w:r>
      <w:hyperlink r:id="rId105">
        <w:r>
          <w:rPr>
            <w:rStyle w:val="Hyperlink"/>
          </w:rPr>
          <w:t xml:space="preserve">https://doi.org/10.3168/jds.S0022-0302(01)74692-9</w:t>
        </w:r>
      </w:hyperlink>
    </w:p>
    <w:bookmarkEnd w:id="106"/>
    <w:bookmarkStart w:id="108" w:name="ref-R-base"/>
    <w:p>
      <w:pPr>
        <w:pStyle w:val="Bibliography"/>
      </w:pPr>
      <w:r>
        <w:t xml:space="preserve">R Core Team, 2025.</w:t>
      </w:r>
      <w:r>
        <w:t xml:space="preserve"> </w:t>
      </w:r>
      <w:hyperlink r:id="rId107">
        <w:r>
          <w:rPr>
            <w:rStyle w:val="Hyperlink"/>
          </w:rPr>
          <w:t xml:space="preserve">R: A language and environment for statistical computing</w:t>
        </w:r>
      </w:hyperlink>
      <w:r>
        <w:t xml:space="preserve">. R Foundation for Statistical Computing, Vienna, Austria.</w:t>
      </w:r>
    </w:p>
    <w:bookmarkEnd w:id="108"/>
    <w:bookmarkStart w:id="109" w:name="ref-reale2007"/>
    <w:p>
      <w:pPr>
        <w:pStyle w:val="Bibliography"/>
      </w:pPr>
      <w:r>
        <w:t xml:space="preserve">Réale, D., Reader, S.M., Sol, D., McDougall, P.T., Dingemanse, N.J., 2007. Integrating animal temperament within ecology and evolution. Biological reviews 82, 291–318.</w:t>
      </w:r>
    </w:p>
    <w:bookmarkEnd w:id="109"/>
    <w:bookmarkStart w:id="111" w:name="ref-Richter2019"/>
    <w:p>
      <w:pPr>
        <w:pStyle w:val="Bibliography"/>
      </w:pPr>
      <w:r>
        <w:t xml:space="preserve">Richter, S.H., Hintze, S., 2019. From the individual to the population – and back again? Emphasising the role of the individual in animal welfare science. Applied Animal Behaviour Science 212, 1–8.</w:t>
      </w:r>
      <w:r>
        <w:t xml:space="preserve"> </w:t>
      </w:r>
      <w:hyperlink r:id="rId110">
        <w:r>
          <w:rPr>
            <w:rStyle w:val="Hyperlink"/>
          </w:rPr>
          <w:t xml:space="preserve">https://doi.org/10.1016/j.applanim.2018.12.012</w:t>
        </w:r>
      </w:hyperlink>
    </w:p>
    <w:bookmarkEnd w:id="111"/>
    <w:bookmarkStart w:id="113" w:name="ref-rousseeuw1987silhouettes"/>
    <w:p>
      <w:pPr>
        <w:pStyle w:val="Bibliography"/>
      </w:pPr>
      <w:r>
        <w:t xml:space="preserve">Rousseeuw, P.J., 1987. Silhouettes: A graphical aid to the interpretation and validation of cluster analysis. Journal of computational and applied mathematics 20, 53–65.</w:t>
      </w:r>
      <w:r>
        <w:t xml:space="preserve"> </w:t>
      </w:r>
      <w:hyperlink r:id="rId112">
        <w:r>
          <w:rPr>
            <w:rStyle w:val="Hyperlink"/>
          </w:rPr>
          <w:t xml:space="preserve">https://doi.org/10.1016/0377-0427(87)90125-7</w:t>
        </w:r>
      </w:hyperlink>
    </w:p>
    <w:bookmarkEnd w:id="113"/>
    <w:bookmarkStart w:id="114" w:name="ref-setser2024a"/>
    <w:p>
      <w:pPr>
        <w:pStyle w:val="Bibliography"/>
      </w:pPr>
      <w:r>
        <w:t xml:space="preserve">Setser, M.W., Neave, H., Costa, J., 2024b. Are you ready for a challenge? Personality traits influence dairy calves’ responses to disease, pain, and nutritional challenges. Journal of Dairy Science 107, 9821–9838.</w:t>
      </w:r>
    </w:p>
    <w:bookmarkEnd w:id="114"/>
    <w:bookmarkStart w:id="115" w:name="ref-setser2024b"/>
    <w:p>
      <w:pPr>
        <w:pStyle w:val="Bibliography"/>
      </w:pPr>
      <w:r>
        <w:t xml:space="preserve">Setser, M.W., Neave, H., Costa, J., 2024a. Individuality of calves: Linking personality traits to feeding and activity daily patterns measured by precision livestock technology. Journal of Dairy Science 107, 3235–3251.</w:t>
      </w:r>
    </w:p>
    <w:bookmarkEnd w:id="115"/>
    <w:bookmarkStart w:id="116" w:name="ref-sheng2024redefining"/>
    <w:p>
      <w:pPr>
        <w:pStyle w:val="Bibliography"/>
      </w:pPr>
      <w:r>
        <w:t xml:space="preserve">Sheng, K., Foris, B., Krahn, J., Weary, D.M., Keyserlingk, M.A. von, 2024. Redefining dominance calculation: Increased competition flattens the dominance hierarchy in dairy cows. Journal of Dairy Science 107, 7286–7298.</w:t>
      </w:r>
    </w:p>
    <w:bookmarkEnd w:id="116"/>
    <w:bookmarkStart w:id="118" w:name="ref-Slater1981"/>
    <w:p>
      <w:pPr>
        <w:pStyle w:val="Bibliography"/>
      </w:pPr>
      <w:r>
        <w:t xml:space="preserve">Slater, P.J.B., 1981. Individual differences in animal behavior, in: Bateson, P.P.G., Klopfer, P.H. (Eds.), Perspectives in Ethology: Volume 4 Advantages of Diversity. Springer US, Boston, MA, pp. 35–49.</w:t>
      </w:r>
      <w:r>
        <w:t xml:space="preserve"> </w:t>
      </w:r>
      <w:hyperlink r:id="rId117">
        <w:r>
          <w:rPr>
            <w:rStyle w:val="Hyperlink"/>
          </w:rPr>
          <w:t xml:space="preserve">https://doi.org/10.1007/978-1-4615-7575-7_2</w:t>
        </w:r>
      </w:hyperlink>
    </w:p>
    <w:bookmarkEnd w:id="118"/>
    <w:bookmarkStart w:id="119" w:name="ref-thomas2024"/>
    <w:p>
      <w:pPr>
        <w:pStyle w:val="Bibliography"/>
      </w:pPr>
      <w:r>
        <w:t xml:space="preserve">Thomas, M., Occhiuto, F., Green, M., Vázquez-Diosdado, J.A., Kaler, J., 2024. Repeatability and predictability of lying and feeding behaviours in dairy cattle. Preventive Veterinary Medicine 233, 106357.</w:t>
      </w:r>
    </w:p>
    <w:bookmarkEnd w:id="119"/>
    <w:bookmarkStart w:id="120" w:name="ref-tolkamp1998satiety"/>
    <w:p>
      <w:pPr>
        <w:pStyle w:val="Bibliography"/>
      </w:pPr>
      <w:r>
        <w:t xml:space="preserve">Tolkamp, B., Allcroft, D., Austin, E., Nielsen, B.L., Kyriazakis, I., 1998. Satiety splits feeding behaviour into bouts. Journal of Theoretical Biology 194, 235–250.</w:t>
      </w:r>
    </w:p>
    <w:bookmarkEnd w:id="120"/>
    <w:bookmarkStart w:id="122" w:name="ref-vehtari2021rank"/>
    <w:p>
      <w:pPr>
        <w:pStyle w:val="Bibliography"/>
      </w:pPr>
      <w:r>
        <w:t xml:space="preserve">Vehtari, A., Gelman, A., Simpson, D., Carpenter, B.,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 667–718.</w:t>
      </w:r>
      <w:r>
        <w:t xml:space="preserve"> </w:t>
      </w:r>
      <w:hyperlink r:id="rId121">
        <w:r>
          <w:rPr>
            <w:rStyle w:val="Hyperlink"/>
          </w:rPr>
          <w:t xml:space="preserve">https://doi.org/10.1214/20-BA1221</w:t>
        </w:r>
      </w:hyperlink>
    </w:p>
    <w:bookmarkEnd w:id="122"/>
    <w:bookmarkStart w:id="124" w:name="ref-webster2011personality"/>
    <w:p>
      <w:pPr>
        <w:pStyle w:val="Bibliography"/>
      </w:pPr>
      <w:r>
        <w:t xml:space="preserve">Webster, M.M., Ward, A.J., 2011. Personality and social context. Biological reviews 86, 759–773.</w:t>
      </w:r>
      <w:r>
        <w:t xml:space="preserve"> </w:t>
      </w:r>
      <w:hyperlink r:id="rId123">
        <w:r>
          <w:rPr>
            <w:rStyle w:val="Hyperlink"/>
          </w:rPr>
          <w:t xml:space="preserve">https://doi.org/10.1111/j.1469-185X.2010.00169.x</w:t>
        </w:r>
      </w:hyperlink>
    </w:p>
    <w:bookmarkEnd w:id="124"/>
    <w:bookmarkEnd w:id="125"/>
    <w:bookmarkEnd w:id="126"/>
    <w:bookmarkEnd w:id="127"/>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1106E"/>
    <w:rsid w:val="00041D18"/>
    <w:rsid w:val="0008104E"/>
    <w:rsid w:val="00342AB3"/>
    <w:rsid w:val="00417FC7"/>
    <w:rsid w:val="00472C8E"/>
    <w:rsid w:val="0060081F"/>
    <w:rsid w:val="00700BA6"/>
    <w:rsid w:val="008B5B9D"/>
    <w:rsid w:val="00BB1731"/>
    <w:rsid w:val="00C95531"/>
    <w:rsid w:val="00D82B74"/>
    <w:rsid w:val="00D82D1C"/>
    <w:rsid w:val="00E1106E"/>
    <w:rsid w:val="00E23478"/>
    <w:rsid w:val="00FA5746"/>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700BA6"/>
    <w:pPr>
      <w:spacing w:after="80"/>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700BA6"/>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hyperlink" Id="rId27" Target="https://app.codecov.io/gh/skysheng7/moo4feed" TargetMode="External" /><Relationship Type="http://schemas.openxmlformats.org/officeDocument/2006/relationships/hyperlink" Id="rId100" Target="https://doi.org/10.1002/ece3.7603" TargetMode="External" /><Relationship Type="http://schemas.openxmlformats.org/officeDocument/2006/relationships/hyperlink" Id="rId117" Target="https://doi.org/10.1007/978-1-4615-7575-7_2" TargetMode="External" /><Relationship Type="http://schemas.openxmlformats.org/officeDocument/2006/relationships/hyperlink" Id="rId97" Target="https://doi.org/10.1016/0168-1591(91)90086-D" TargetMode="External" /><Relationship Type="http://schemas.openxmlformats.org/officeDocument/2006/relationships/hyperlink" Id="rId112" Target="https://doi.org/10.1016/0377-0427(87)90125-7" TargetMode="External" /><Relationship Type="http://schemas.openxmlformats.org/officeDocument/2006/relationships/hyperlink" Id="rId110" Target="https://doi.org/10.1016/j.applanim.2018.12.012" TargetMode="External" /><Relationship Type="http://schemas.openxmlformats.org/officeDocument/2006/relationships/hyperlink" Id="rId75" Target="https://doi.org/10.1016/j.applanim.2024.106315" TargetMode="External" /><Relationship Type="http://schemas.openxmlformats.org/officeDocument/2006/relationships/hyperlink" Id="rId123" Target="https://doi.org/10.1111/j.1469-185X.2010.00169.x" TargetMode="External" /><Relationship Type="http://schemas.openxmlformats.org/officeDocument/2006/relationships/hyperlink" Id="rId88" Target="https://doi.org/10.1111/rssa.12378" TargetMode="External" /><Relationship Type="http://schemas.openxmlformats.org/officeDocument/2006/relationships/hyperlink" Id="rId70" Target="https://doi.org/10.1186/1745-6150-2-2" TargetMode="External" /><Relationship Type="http://schemas.openxmlformats.org/officeDocument/2006/relationships/hyperlink" Id="rId121" Target="https://doi.org/10.1214/20-BA1221" TargetMode="External" /><Relationship Type="http://schemas.openxmlformats.org/officeDocument/2006/relationships/hyperlink" Id="rId90" Target="https://doi.org/10.2527/1995.7392791x" TargetMode="External" /><Relationship Type="http://schemas.openxmlformats.org/officeDocument/2006/relationships/hyperlink" Id="rId61" Target="https://doi.org/10.2527/jas.2017.1593" TargetMode="External" /><Relationship Type="http://schemas.openxmlformats.org/officeDocument/2006/relationships/hyperlink" Id="rId78" Target="https://doi.org/10.3168/JDS.S0022-0302(03)74020-X" TargetMode="External" /><Relationship Type="http://schemas.openxmlformats.org/officeDocument/2006/relationships/hyperlink" Id="rId81" Target="https://doi.org/10.3168/jds.2010-3147" TargetMode="External" /><Relationship Type="http://schemas.openxmlformats.org/officeDocument/2006/relationships/hyperlink" Id="rId93" Target="https://doi.org/10.3168/jds.2011-5038" TargetMode="External" /><Relationship Type="http://schemas.openxmlformats.org/officeDocument/2006/relationships/hyperlink" Id="rId102" Target="https://doi.org/10.3168/jds.2017-14248" TargetMode="External" /><Relationship Type="http://schemas.openxmlformats.org/officeDocument/2006/relationships/hyperlink" Id="rId85" Target="https://doi.org/10.3168/jds.2020-18896" TargetMode="External" /><Relationship Type="http://schemas.openxmlformats.org/officeDocument/2006/relationships/hyperlink" Id="rId66" Target="https://doi.org/10.3168/jds.2022-23176" TargetMode="External" /><Relationship Type="http://schemas.openxmlformats.org/officeDocument/2006/relationships/hyperlink" Id="rId105" Target="https://doi.org/10.3168/jds.S0022-0302(01)74692-9" TargetMode="External" /><Relationship Type="http://schemas.openxmlformats.org/officeDocument/2006/relationships/hyperlink" Id="rId64"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07"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2"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7" Target="https://app.codecov.io/gh/skysheng7/moo4feed" TargetMode="External" /><Relationship Type="http://schemas.openxmlformats.org/officeDocument/2006/relationships/hyperlink" Id="rId100" Target="https://doi.org/10.1002/ece3.7603" TargetMode="External" /><Relationship Type="http://schemas.openxmlformats.org/officeDocument/2006/relationships/hyperlink" Id="rId117" Target="https://doi.org/10.1007/978-1-4615-7575-7_2" TargetMode="External" /><Relationship Type="http://schemas.openxmlformats.org/officeDocument/2006/relationships/hyperlink" Id="rId97" Target="https://doi.org/10.1016/0168-1591(91)90086-D" TargetMode="External" /><Relationship Type="http://schemas.openxmlformats.org/officeDocument/2006/relationships/hyperlink" Id="rId112" Target="https://doi.org/10.1016/0377-0427(87)90125-7" TargetMode="External" /><Relationship Type="http://schemas.openxmlformats.org/officeDocument/2006/relationships/hyperlink" Id="rId110" Target="https://doi.org/10.1016/j.applanim.2018.12.012" TargetMode="External" /><Relationship Type="http://schemas.openxmlformats.org/officeDocument/2006/relationships/hyperlink" Id="rId75" Target="https://doi.org/10.1016/j.applanim.2024.106315" TargetMode="External" /><Relationship Type="http://schemas.openxmlformats.org/officeDocument/2006/relationships/hyperlink" Id="rId123" Target="https://doi.org/10.1111/j.1469-185X.2010.00169.x" TargetMode="External" /><Relationship Type="http://schemas.openxmlformats.org/officeDocument/2006/relationships/hyperlink" Id="rId88" Target="https://doi.org/10.1111/rssa.12378" TargetMode="External" /><Relationship Type="http://schemas.openxmlformats.org/officeDocument/2006/relationships/hyperlink" Id="rId70" Target="https://doi.org/10.1186/1745-6150-2-2" TargetMode="External" /><Relationship Type="http://schemas.openxmlformats.org/officeDocument/2006/relationships/hyperlink" Id="rId121" Target="https://doi.org/10.1214/20-BA1221" TargetMode="External" /><Relationship Type="http://schemas.openxmlformats.org/officeDocument/2006/relationships/hyperlink" Id="rId90" Target="https://doi.org/10.2527/1995.7392791x" TargetMode="External" /><Relationship Type="http://schemas.openxmlformats.org/officeDocument/2006/relationships/hyperlink" Id="rId61" Target="https://doi.org/10.2527/jas.2017.1593" TargetMode="External" /><Relationship Type="http://schemas.openxmlformats.org/officeDocument/2006/relationships/hyperlink" Id="rId78" Target="https://doi.org/10.3168/JDS.S0022-0302(03)74020-X" TargetMode="External" /><Relationship Type="http://schemas.openxmlformats.org/officeDocument/2006/relationships/hyperlink" Id="rId81" Target="https://doi.org/10.3168/jds.2010-3147" TargetMode="External" /><Relationship Type="http://schemas.openxmlformats.org/officeDocument/2006/relationships/hyperlink" Id="rId93" Target="https://doi.org/10.3168/jds.2011-5038" TargetMode="External" /><Relationship Type="http://schemas.openxmlformats.org/officeDocument/2006/relationships/hyperlink" Id="rId102" Target="https://doi.org/10.3168/jds.2017-14248" TargetMode="External" /><Relationship Type="http://schemas.openxmlformats.org/officeDocument/2006/relationships/hyperlink" Id="rId85" Target="https://doi.org/10.3168/jds.2020-18896" TargetMode="External" /><Relationship Type="http://schemas.openxmlformats.org/officeDocument/2006/relationships/hyperlink" Id="rId66" Target="https://doi.org/10.3168/jds.2022-23176" TargetMode="External" /><Relationship Type="http://schemas.openxmlformats.org/officeDocument/2006/relationships/hyperlink" Id="rId105" Target="https://doi.org/10.3168/jds.S0022-0302(01)74692-9" TargetMode="External" /><Relationship Type="http://schemas.openxmlformats.org/officeDocument/2006/relationships/hyperlink" Id="rId64"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07"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2"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63</Words>
  <Characters>363</Characters>
  <Application>Microsoft Office Word</Application>
  <DocSecurity>0</DocSecurity>
  <Lines>3</Lines>
  <Paragraphs>1</Paragraphs>
  <ScaleCrop>false</ScaleCrop>
  <Company/>
  <LinksUpToDate>false</LinksUpToDate>
  <CharactersWithSpaces>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behaviour signatures through electronic feeder and drinker data</dc:title>
  <dc:creator>Kehan Sheng1, Borbala Foris1,2, Daniel M. Weary1, Marina A.G. von Keyserlingk1</dc:creator>
  <cp:keywords/>
  <dcterms:created xsi:type="dcterms:W3CDTF">2026-05-07T05:22:26Z</dcterms:created>
  <dcterms:modified xsi:type="dcterms:W3CDTF">2026-05-07T05:22:26Z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