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behaviour signatures through electronic feeder and drinker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behavioral strategies within their natural social groups, without isolating animals for personality testing, reducing time and labor costs. Using 107 lactating Holstein dairy cows tracked over 207 days, we extracted 16 behavioral variables from electronic feed bin and water trough data, capturing conventional metrics (feeding and drinking intake, duration and meal frequency) alongside exploratory behavior (non-nutritive visits), social competition (agonistic replacement events), and indicators of feed quality upon access (e.g., proportion of fresh feed remaining upon arrival). Bayesian mixed-effects models quantified repeatability (between-individual variation in average behavioral expression) and predictability (between-individual variation in within-individual consistency). Variables capturing exploratory behavior, social competition, and water drinking duration showed the greatest and most consistent among-individual variation, while daily feed intake was among the least discriminating, suggesting individuals converge to similar intakes through strikingly different strategies. Principal component analysis with varimax rotation followed by k-means clustering on the eight variables with the highest repeatability and among-individual variation identified four behavioral profiles:</w:t>
      </w:r>
      <w:r>
        <w:t xml:space="preserve"> </w:t>
      </w:r>
      <w:r>
        <w:t xml:space="preserve">“frequently replaced herd majority”</w:t>
      </w:r>
      <w:r>
        <w:t xml:space="preserve"> </w:t>
      </w:r>
      <w:r>
        <w:t xml:space="preserve">(the unremarkable majority, frequently replaced at the bins),</w:t>
      </w:r>
      <w:r>
        <w:t xml:space="preserve"> </w:t>
      </w:r>
      <w:r>
        <w:t xml:space="preserve">“contest-winning”</w:t>
      </w:r>
      <w:r>
        <w:t xml:space="preserve"> </w:t>
      </w:r>
      <w:r>
        <w:t xml:space="preserve">cows (initiating many replacements with efficient, uninterrupted meals),</w:t>
      </w:r>
      <w:r>
        <w:t xml:space="preserve"> </w:t>
      </w:r>
      <w:r>
        <w:t xml:space="preserve">“water lovers”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behavioral profiles that would be largely invisible when using generic group-level analyses. This framework may help future research in identifing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behavioral variables from raw electronic feeder and drinker data.</w:t>
      </w:r>
    </w:p>
    <w:p>
      <w:pPr>
        <w:pStyle w:val="BodyText"/>
      </w:pPr>
      <w:r>
        <w:rPr>
          <w:b/>
          <w:bCs/>
        </w:rPr>
        <w:t xml:space="preserve">Keywords:</w:t>
      </w:r>
      <w:r>
        <w:t xml:space="preserve"> </w:t>
      </w:r>
      <w:r>
        <w:t xml:space="preserve">repeatability, reproducibility, precision livestock farming, behavioral monitoring, individual differences</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2024a</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etser2024b">
        <w:r>
          <w:rPr>
            <w:rStyle w:val="Hyperlink"/>
          </w:rPr>
          <w:t xml:space="preserve">Setser et al., 2024a</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these longitudinal data streams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behavioral type (an individual’s average expression of a behavior),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summaries cannot.</w:t>
      </w:r>
    </w:p>
    <w:p>
      <w:pPr>
        <w:pStyle w:val="BodyText"/>
      </w:pPr>
      <w:r>
        <w:t xml:space="preserve">To date, however, no comprehensive and accessible framework exists for extracting these higher-resolution behavioral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behavioral consistency and among-individual differences in dairy cattle feeding and social behaviors captured from an electronic feeding system, using repeatability and predictability to identify which behaviors are most informative for characterizing individual differences. A secondary aim was to identify distinct behavioral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behavioral variables.</w:t>
      </w:r>
    </w:p>
    <w:bookmarkEnd w:id="21"/>
    <w:bookmarkStart w:id="33" w:name="methods"/>
    <w:p>
      <w:pPr>
        <w:pStyle w:val="Heading1"/>
      </w:pPr>
      <w:r>
        <w:t xml:space="preserve">2. Methods</w:t>
      </w:r>
    </w:p>
    <w:bookmarkStart w:id="22" w:name="animals-housing-and-data-collection"/>
    <w:p>
      <w:pPr>
        <w:pStyle w:val="Heading2"/>
      </w:pPr>
      <w:r>
        <w:t xml:space="preserve">2.1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2.2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4" w:name="behavioral-variable-extraction"/>
    <w:p>
      <w:pPr>
        <w:pStyle w:val="Heading2"/>
      </w:pPr>
      <w:r>
        <w:t xml:space="preserve">2.3 Behavioral Variable Extraction</w:t>
      </w:r>
    </w:p>
    <w:p>
      <w:pPr>
        <w:pStyle w:val="FirstParagraph"/>
      </w:pPr>
      <w:r>
        <w:t xml:space="preserve">To process the raw feeding and drinking data and extract meaningful behavioral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no hard-coded numerical threshold applies. Action: Flag = abnormal record is retained and sent to researchers on the farm to review for bin health check; Correct = the record is automatically corrected; Remove = the record is deleted from the dataset. For negative weight corrections,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2.2).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behavioral variables were calculated per cow: total daily feed intake (kg), total daily feeding duration (s), total feeding visits, total daily water intake (L), total daily drinking duration (s), and total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2.4: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2.4 are designed to accommodate additional variables, and we encourage future researchers to extend this set and evaluate which further metrics may be informative for individual profiling.</w:t>
      </w:r>
    </w:p>
    <w:bookmarkEnd w:id="24"/>
    <w:bookmarkStart w:id="25" w:name="statistical-analysis"/>
    <w:p>
      <w:pPr>
        <w:pStyle w:val="Heading2"/>
      </w:pPr>
      <w:r>
        <w:t xml:space="preserve">2.4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w:t>
      </w:r>
      <w:hyperlink w:anchor="fig-rep-cvp-scatter">
        <w:r>
          <w:rPr>
            <w:rStyle w:val="Hyperlink"/>
          </w:rPr>
          <w:t xml:space="preserve">Figure 1</w:t>
        </w:r>
      </w:hyperlink>
      <w:r>
        <w:t xml:space="preserve">). All variables have low predictaibility values, thus measures of predictability were not used in behavioral variable clustering. The number of clusters (k = 3) was determined by researcher judgment based on visual inspection of the CVi and R distributions.</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5"/>
    <w:bookmarkStart w:id="32" w:name="X12f7218f56bb14132dd246c9b94261230bb4ed3"/>
    <w:p>
      <w:pPr>
        <w:pStyle w:val="Heading2"/>
      </w:pPr>
      <w:r>
        <w:t xml:space="preserve">2.5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6">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7">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behavioral measures. The source code and example data included in the R package is hosted on GitHub:</w:t>
      </w:r>
      <w:r>
        <w:t xml:space="preserve"> </w:t>
      </w:r>
      <w:hyperlink r:id="rId28">
        <w:r>
          <w:rPr>
            <w:rStyle w:val="Hyperlink"/>
          </w:rPr>
          <w:t xml:space="preserve">https://github.com/skysheng7/moo4feed.git</w:t>
        </w:r>
      </w:hyperlink>
      <w:r>
        <w:t xml:space="preserve">. We used the newly developed R package to extract the behavioral variables described in Section 2.3 and conduct all statistical analyses described in Section 2.4, data and code for all the data analysis are available at:</w:t>
      </w:r>
      <w:r>
        <w:t xml:space="preserve"> </w:t>
      </w:r>
      <w:hyperlink r:id="rId29">
        <w:r>
          <w:rPr>
            <w:rStyle w:val="Hyperlink"/>
          </w:rPr>
          <w:t xml:space="preserve">https://github.com/skysheng7/competition_dominance_analysis.git</w:t>
        </w:r>
      </w:hyperlink>
      <w:r>
        <w:t xml:space="preserve">. We have also used Borealis to archive the R package at:</w:t>
      </w:r>
      <w:r>
        <w:t xml:space="preserve"> </w:t>
      </w:r>
      <w:hyperlink r:id="rId30">
        <w:r>
          <w:rPr>
            <w:rStyle w:val="Hyperlink"/>
          </w:rPr>
          <w:t xml:space="preserve">https://doi.org/10.5683/SP3/LF4DRO</w:t>
        </w:r>
      </w:hyperlink>
      <w:r>
        <w:t xml:space="preserve"> </w:t>
      </w:r>
      <w:r>
        <w:t xml:space="preserve">and data analysis code at:</w:t>
      </w:r>
      <w:r>
        <w:t xml:space="preserve"> </w:t>
      </w:r>
      <w:hyperlink r:id="rId31">
        <w:r>
          <w:rPr>
            <w:rStyle w:val="Hyperlink"/>
          </w:rPr>
          <w:t xml:space="preserve">https://doi.org/10.5683/SP3/K6J350</w:t>
        </w:r>
      </w:hyperlink>
      <w:r>
        <w:t xml:space="preserve">.</w:t>
      </w:r>
    </w:p>
    <w:bookmarkEnd w:id="32"/>
    <w:bookmarkEnd w:id="33"/>
    <w:bookmarkStart w:id="50" w:name="results"/>
    <w:p>
      <w:pPr>
        <w:pStyle w:val="Heading1"/>
      </w:pPr>
      <w:r>
        <w:t xml:space="preserve">3.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39" w:name="X9d6e91404153fc17df43a9ceb93dda92758a06e"/>
    <w:p>
      <w:pPr>
        <w:pStyle w:val="Heading2"/>
      </w:pPr>
      <w:r>
        <w:t xml:space="preserve">3.1 Among-Individual Variation: Repeatability and CVi</w:t>
      </w:r>
    </w:p>
    <w:p>
      <w:pPr>
        <w:pStyle w:val="FirstParagraph"/>
      </w:pPr>
      <w:r>
        <w:t xml:space="preserve">Because R is confounded by within-individual variance (Section 2.4), we use the coefficient of individual variation (CVi) as the primary metric for comparing the magnitude of among-individual differences across the 16 behavioral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 </w:t>
      </w:r>
      <w:r>
        <w:t xml:space="preserve">A).</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0" w:hRule="auto"/>
          <w:tblHeader/>
        </w:trPr>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single" w:sz="6" w:space="0" w:color="666666"/>
              <w:top w:val="single" w:sz="6" w:space="0" w:color="666666"/>
              <w:left w:val="single" w:sz="6" w:space="0" w:color="666666"/>
              <w:right w:val="single" w:sz="6" w:space="0" w:color="666666"/>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single" w:sz="6" w:space="0" w:color="666666"/>
              <w:top w:val="single" w:sz="6" w:space="0" w:color="666666"/>
              <w:left w:val="single" w:sz="6" w:space="0" w:color="666666"/>
              <w:right w:val="single" w:sz="6" w:space="0" w:color="666666"/>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single" w:sz="6" w:space="0" w:color="666666"/>
              <w:top w:val="single" w:sz="6" w:space="0" w:color="666666"/>
              <w:left w:val="single" w:sz="6" w:space="0" w:color="666666"/>
              <w:right w:val="single" w:sz="6" w:space="0" w:color="666666"/>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single" w:sz="6" w:space="0" w:color="666666"/>
              <w:top w:val="single" w:sz="6" w:space="0" w:color="666666"/>
              <w:left w:val="single" w:sz="6" w:space="0" w:color="666666"/>
              <w:right w:val="single" w:sz="6" w:space="0" w:color="666666"/>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single" w:sz="6" w:space="0" w:color="666666"/>
              <w:top w:val="single" w:sz="6" w:space="0" w:color="666666"/>
              <w:left w:val="single" w:sz="6" w:space="0" w:color="666666"/>
              <w:right w:val="single" w:sz="6" w:space="0" w:color="666666"/>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single" w:sz="6" w:space="0" w:color="666666"/>
              <w:top w:val="single" w:sz="6" w:space="0" w:color="666666"/>
              <w:left w:val="single" w:sz="6" w:space="0" w:color="666666"/>
              <w:right w:val="single" w:sz="6" w:space="0" w:color="666666"/>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single" w:sz="6" w:space="0" w:color="666666"/>
              <w:top w:val="single" w:sz="6" w:space="0" w:color="666666"/>
              <w:left w:val="single" w:sz="6" w:space="0" w:color="666666"/>
              <w:right w:val="single" w:sz="6" w:space="0" w:color="666666"/>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single" w:sz="6" w:space="0" w:color="666666"/>
              <w:top w:val="single" w:sz="6" w:space="0" w:color="666666"/>
              <w:left w:val="single" w:sz="6" w:space="0" w:color="666666"/>
              <w:right w:val="single" w:sz="6" w:space="0" w:color="666666"/>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single" w:sz="6" w:space="0" w:color="666666"/>
              <w:top w:val="single" w:sz="6" w:space="0" w:color="666666"/>
              <w:left w:val="single" w:sz="6" w:space="0" w:color="666666"/>
              <w:right w:val="single" w:sz="6" w:space="0" w:color="666666"/>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single" w:sz="6" w:space="0" w:color="666666"/>
              <w:top w:val="single" w:sz="6" w:space="0" w:color="666666"/>
              <w:left w:val="single" w:sz="6" w:space="0" w:color="666666"/>
              <w:right w:val="single" w:sz="6" w:space="0" w:color="666666"/>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single" w:sz="6" w:space="0" w:color="666666"/>
              <w:top w:val="single" w:sz="6" w:space="0" w:color="666666"/>
              <w:left w:val="single" w:sz="6" w:space="0" w:color="666666"/>
              <w:right w:val="single" w:sz="6" w:space="0" w:color="666666"/>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single" w:sz="6" w:space="0" w:color="666666"/>
              <w:top w:val="single" w:sz="6" w:space="0" w:color="666666"/>
              <w:left w:val="single" w:sz="6" w:space="0" w:color="666666"/>
              <w:right w:val="single" w:sz="6" w:space="0" w:color="666666"/>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single" w:sz="6" w:space="0" w:color="666666"/>
              <w:top w:val="single" w:sz="6" w:space="0" w:color="666666"/>
              <w:left w:val="single" w:sz="6" w:space="0" w:color="666666"/>
              <w:right w:val="single" w:sz="6" w:space="0" w:color="666666"/>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single" w:sz="6" w:space="0" w:color="666666"/>
              <w:top w:val="single" w:sz="6" w:space="0" w:color="666666"/>
              <w:left w:val="single" w:sz="6" w:space="0" w:color="666666"/>
              <w:right w:val="single" w:sz="6" w:space="0" w:color="666666"/>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single" w:sz="6" w:space="0" w:color="666666"/>
              <w:top w:val="single" w:sz="6" w:space="0" w:color="666666"/>
              <w:left w:val="single" w:sz="6" w:space="0" w:color="666666"/>
              <w:right w:val="single" w:sz="6" w:space="0" w:color="666666"/>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single" w:sz="6" w:space="0" w:color="666666"/>
              <w:top w:val="single" w:sz="6" w:space="0" w:color="666666"/>
              <w:left w:val="single" w:sz="6" w:space="0" w:color="666666"/>
              <w:right w:val="single" w:sz="6" w:space="0" w:color="666666"/>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single" w:sz="6" w:space="0" w:color="666666"/>
              <w:top w:val="single" w:sz="6" w:space="0" w:color="666666"/>
              <w:left w:val="single" w:sz="6" w:space="0" w:color="666666"/>
              <w:right w:val="single" w:sz="6" w:space="0" w:color="666666"/>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meals</w:t>
            </w:r>
          </w:p>
        </w:tc>
        <w:tc>
          <w:tcPr>
            <w:tcBorders>
              <w:bottom w:val="single" w:sz="6" w:space="0" w:color="666666"/>
              <w:top w:val="single" w:sz="6" w:space="0" w:color="666666"/>
              <w:left w:val="single" w:sz="6" w:space="0" w:color="666666"/>
              <w:right w:val="single" w:sz="6" w:space="0" w:color="666666"/>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single" w:sz="6" w:space="0" w:color="666666"/>
              <w:top w:val="single" w:sz="6" w:space="0" w:color="666666"/>
              <w:left w:val="single" w:sz="6" w:space="0" w:color="666666"/>
              <w:right w:val="single" w:sz="6" w:space="0" w:color="666666"/>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single" w:sz="6" w:space="0" w:color="666666"/>
              <w:top w:val="single" w:sz="6" w:space="0" w:color="666666"/>
              <w:left w:val="single" w:sz="6" w:space="0" w:color="666666"/>
              <w:right w:val="single" w:sz="6" w:space="0" w:color="666666"/>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single" w:sz="6" w:space="0" w:color="666666"/>
              <w:top w:val="single" w:sz="6" w:space="0" w:color="666666"/>
              <w:left w:val="single" w:sz="6" w:space="0" w:color="666666"/>
              <w:right w:val="single" w:sz="6" w:space="0" w:color="666666"/>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single" w:sz="6" w:space="0" w:color="666666"/>
              <w:top w:val="single" w:sz="6" w:space="0" w:color="666666"/>
              <w:left w:val="single" w:sz="6" w:space="0" w:color="666666"/>
              <w:right w:val="single" w:sz="6" w:space="0" w:color="666666"/>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single" w:sz="6" w:space="0" w:color="666666"/>
              <w:top w:val="single" w:sz="6" w:space="0" w:color="666666"/>
              <w:left w:val="single" w:sz="6" w:space="0" w:color="666666"/>
              <w:right w:val="single" w:sz="6" w:space="0" w:color="666666"/>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single" w:sz="6" w:space="0" w:color="666666"/>
              <w:top w:val="single" w:sz="6" w:space="0" w:color="666666"/>
              <w:left w:val="single" w:sz="6" w:space="0" w:color="666666"/>
              <w:right w:val="single" w:sz="6" w:space="0" w:color="666666"/>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single" w:sz="6" w:space="0" w:color="666666"/>
              <w:top w:val="single" w:sz="6" w:space="0" w:color="666666"/>
              <w:left w:val="single" w:sz="6" w:space="0" w:color="666666"/>
              <w:right w:val="single" w:sz="6" w:space="0" w:color="666666"/>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single" w:sz="6" w:space="0" w:color="666666"/>
              <w:top w:val="single" w:sz="6" w:space="0" w:color="666666"/>
              <w:left w:val="single" w:sz="6" w:space="0" w:color="666666"/>
              <w:right w:val="single" w:sz="6" w:space="0" w:color="666666"/>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single" w:sz="6" w:space="0" w:color="666666"/>
              <w:top w:val="single" w:sz="6" w:space="0" w:color="666666"/>
              <w:left w:val="single" w:sz="6" w:space="0" w:color="666666"/>
              <w:right w:val="single" w:sz="6" w:space="0" w:color="666666"/>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single" w:sz="6" w:space="0" w:color="666666"/>
              <w:top w:val="single" w:sz="6" w:space="0" w:color="666666"/>
              <w:left w:val="single" w:sz="6" w:space="0" w:color="666666"/>
              <w:right w:val="single" w:sz="6" w:space="0" w:color="666666"/>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single" w:sz="6" w:space="0" w:color="666666"/>
              <w:top w:val="single" w:sz="6" w:space="0" w:color="666666"/>
              <w:left w:val="single" w:sz="6" w:space="0" w:color="666666"/>
              <w:right w:val="single" w:sz="6" w:space="0" w:color="666666"/>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single" w:sz="6" w:space="0" w:color="666666"/>
              <w:top w:val="single" w:sz="6" w:space="0" w:color="666666"/>
              <w:left w:val="single" w:sz="6" w:space="0" w:color="666666"/>
              <w:right w:val="single" w:sz="6" w:space="0" w:color="666666"/>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single" w:sz="6" w:space="0" w:color="666666"/>
              <w:top w:val="single" w:sz="6" w:space="0" w:color="666666"/>
              <w:left w:val="single" w:sz="6" w:space="0" w:color="666666"/>
              <w:right w:val="single" w:sz="6" w:space="0" w:color="666666"/>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single" w:sz="6" w:space="0" w:color="666666"/>
              <w:top w:val="single" w:sz="6" w:space="0" w:color="666666"/>
              <w:left w:val="single" w:sz="6" w:space="0" w:color="666666"/>
              <w:right w:val="single" w:sz="6" w:space="0" w:color="666666"/>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single" w:sz="6" w:space="0" w:color="666666"/>
              <w:top w:val="single" w:sz="6" w:space="0" w:color="666666"/>
              <w:left w:val="single" w:sz="6" w:space="0" w:color="666666"/>
              <w:right w:val="single" w:sz="6" w:space="0" w:color="666666"/>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single" w:sz="6" w:space="0" w:color="666666"/>
              <w:top w:val="single" w:sz="6" w:space="0" w:color="666666"/>
              <w:left w:val="single" w:sz="6" w:space="0" w:color="666666"/>
              <w:right w:val="single" w:sz="6" w:space="0" w:color="666666"/>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single" w:sz="6" w:space="0" w:color="666666"/>
              <w:top w:val="single" w:sz="6" w:space="0" w:color="666666"/>
              <w:left w:val="single" w:sz="6" w:space="0" w:color="666666"/>
              <w:right w:val="single" w:sz="6" w:space="0" w:color="666666"/>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Non-nutritive visits</w:t>
            </w:r>
          </w:p>
        </w:tc>
        <w:tc>
          <w:tcPr>
            <w:tcBorders>
              <w:bottom w:val="single" w:sz="6" w:space="0" w:color="666666"/>
              <w:top w:val="single" w:sz="6" w:space="0" w:color="666666"/>
              <w:left w:val="single" w:sz="6" w:space="0" w:color="666666"/>
              <w:right w:val="single" w:sz="6" w:space="0" w:color="666666"/>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single" w:sz="6" w:space="0" w:color="666666"/>
              <w:top w:val="single" w:sz="6" w:space="0" w:color="666666"/>
              <w:left w:val="single" w:sz="6" w:space="0" w:color="666666"/>
              <w:right w:val="single" w:sz="6" w:space="0" w:color="666666"/>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single" w:sz="6" w:space="0" w:color="666666"/>
              <w:top w:val="single" w:sz="6" w:space="0" w:color="666666"/>
              <w:left w:val="single" w:sz="6" w:space="0" w:color="666666"/>
              <w:right w:val="single" w:sz="6" w:space="0" w:color="666666"/>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single" w:sz="6" w:space="0" w:color="666666"/>
              <w:top w:val="single" w:sz="6" w:space="0" w:color="666666"/>
              <w:left w:val="single" w:sz="6" w:space="0" w:color="666666"/>
              <w:right w:val="single" w:sz="6" w:space="0" w:color="666666"/>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single" w:sz="6" w:space="0" w:color="666666"/>
              <w:top w:val="single" w:sz="6" w:space="0" w:color="666666"/>
              <w:left w:val="single" w:sz="6" w:space="0" w:color="666666"/>
              <w:right w:val="single" w:sz="6" w:space="0" w:color="666666"/>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single" w:sz="6" w:space="0" w:color="666666"/>
              <w:top w:val="single" w:sz="6" w:space="0" w:color="666666"/>
              <w:left w:val="single" w:sz="6" w:space="0" w:color="666666"/>
              <w:right w:val="single" w:sz="6" w:space="0" w:color="666666"/>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single" w:sz="6" w:space="0" w:color="666666"/>
              <w:top w:val="single" w:sz="6" w:space="0" w:color="666666"/>
              <w:left w:val="single" w:sz="6" w:space="0" w:color="666666"/>
              <w:right w:val="single" w:sz="6" w:space="0" w:color="666666"/>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single" w:sz="6" w:space="0" w:color="666666"/>
              <w:top w:val="single" w:sz="6" w:space="0" w:color="666666"/>
              <w:left w:val="single" w:sz="6" w:space="0" w:color="666666"/>
              <w:right w:val="single" w:sz="6" w:space="0" w:color="666666"/>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actor events</w:t>
            </w:r>
          </w:p>
        </w:tc>
        <w:tc>
          <w:tcPr>
            <w:tcBorders>
              <w:bottom w:val="single" w:sz="6" w:space="0" w:color="666666"/>
              <w:top w:val="single" w:sz="6" w:space="0" w:color="666666"/>
              <w:left w:val="single" w:sz="6" w:space="0" w:color="666666"/>
              <w:right w:val="single" w:sz="6" w:space="0" w:color="666666"/>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single" w:sz="6" w:space="0" w:color="666666"/>
              <w:top w:val="single" w:sz="6" w:space="0" w:color="666666"/>
              <w:left w:val="single" w:sz="6" w:space="0" w:color="666666"/>
              <w:right w:val="single" w:sz="6" w:space="0" w:color="666666"/>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single" w:sz="6" w:space="0" w:color="666666"/>
              <w:top w:val="single" w:sz="6" w:space="0" w:color="666666"/>
              <w:left w:val="single" w:sz="6" w:space="0" w:color="666666"/>
              <w:right w:val="single" w:sz="6" w:space="0" w:color="666666"/>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single" w:sz="6" w:space="0" w:color="666666"/>
              <w:top w:val="single" w:sz="6" w:space="0" w:color="666666"/>
              <w:left w:val="single" w:sz="6" w:space="0" w:color="666666"/>
              <w:right w:val="single" w:sz="6" w:space="0" w:color="666666"/>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reactor events</w:t>
            </w:r>
          </w:p>
        </w:tc>
        <w:tc>
          <w:tcPr>
            <w:tcBorders>
              <w:bottom w:val="single" w:sz="6" w:space="0" w:color="666666"/>
              <w:top w:val="single" w:sz="6" w:space="0" w:color="666666"/>
              <w:left w:val="single" w:sz="6" w:space="0" w:color="666666"/>
              <w:right w:val="single" w:sz="6" w:space="0" w:color="666666"/>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6" w:space="0" w:color="666666"/>
              <w:top w:val="single" w:sz="6" w:space="0" w:color="666666"/>
              <w:left w:val="single" w:sz="6" w:space="0" w:color="666666"/>
              <w:right w:val="single" w:sz="6" w:space="0" w:color="666666"/>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6" w:space="0" w:color="666666"/>
              <w:top w:val="single" w:sz="6" w:space="0" w:color="666666"/>
              <w:left w:val="single" w:sz="6" w:space="0" w:color="666666"/>
              <w:right w:val="single" w:sz="6" w:space="0" w:color="666666"/>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6" w:space="0" w:color="666666"/>
              <w:top w:val="single" w:sz="6" w:space="0" w:color="666666"/>
              <w:left w:val="single" w:sz="6" w:space="0" w:color="666666"/>
              <w:right w:val="single" w:sz="6" w:space="0" w:color="666666"/>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study among all variables we evalauted. At the other end of the spectrum, the percentage of meal time spent actively feeding (CVi = 0.09 [0.08, 0.10]) and daily feed intake (CVi = 0.10 [0.08, 0.11]) showed the smallest relative variation, meaning cows were nearly indistinguishable from one another on these dimensions.</w:t>
      </w:r>
    </w:p>
    <w:p>
      <w:pPr>
        <w:pStyle w:val="BodyText"/>
      </w:pPr>
      <w:r>
        <w:t xml:space="preserve">Repeatability (R) provides complementary but not redundant information. Daily water drinking duration had the highest R (0.74 [0.69, 0.79]), followed by the number of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2.4,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bookmarkStart w:id="38" w:name="cell-fig-rep-cvp-scatter"/>
    <w:tbl>
      <w:tblPr>
        <w:tblStyle w:val="Table"/>
        <w:tblW w:type="pct" w:w="5000"/>
        <w:tblLayout w:type="fixed"/>
        <w:tblLook w:firstRow="0" w:lastRow="0" w:firstColumn="0" w:lastColumn="0" w:noHBand="0" w:noVBand="0" w:val="0000"/>
      </w:tblPr>
      <w:tblGrid>
        <w:gridCol w:w="7920"/>
      </w:tblGrid>
      <w:tr>
        <w:tc>
          <w:tcPr/>
          <w:bookmarkStart w:id="37" w:name="fig-rep-cvp-scatter"/>
          <w:p>
            <w:pPr>
              <w:pStyle w:val="Compact"/>
              <w:jc w:val="center"/>
            </w:pPr>
            <w:r>
              <w:drawing>
                <wp:inline>
                  <wp:extent cx="5943600" cy="2701636"/>
                  <wp:effectExtent b="0" l="0" r="0" t="0"/>
                  <wp:docPr descr="" title="" id="35" name="Picture"/>
                  <a:graphic>
                    <a:graphicData uri="http://schemas.openxmlformats.org/drawingml/2006/picture">
                      <pic:pic>
                        <pic:nvPicPr>
                          <pic:cNvPr descr="results/14_individual_traits/ellipse_scatter_grid_AB.png" id="36" name="Picture"/>
                          <pic:cNvPicPr>
                            <a:picLocks noChangeArrowheads="1" noChangeAspect="1"/>
                          </pic:cNvPicPr>
                        </pic:nvPicPr>
                        <pic:blipFill>
                          <a:blip r:embed="rId34"/>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3.3 (Cluster 1 = high R, high CVi; Cluster 2 = high R, low CVi; Cluster 3 = low R, low CVi). Point shape distinguishes the likelihood family used for the mixed model.</w:t>
            </w:r>
          </w:p>
          <w:bookmarkEnd w:id="37"/>
        </w:tc>
      </w:tr>
    </w:tbl>
    <w:bookmarkEnd w:id="38"/>
    <w:p>
      <w:pPr>
        <w:pStyle w:val="BodyText"/>
      </w:pPr>
    </w:p>
    <w:bookmarkEnd w:id="39"/>
    <w:bookmarkStart w:id="40" w:name="X857bc80184dc77d076ea7728b0a447ef6e74b84"/>
    <w:p>
      <w:pPr>
        <w:pStyle w:val="Heading2"/>
      </w:pPr>
      <w:r>
        <w:t xml:space="preserve">3.2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0"/>
    <w:bookmarkStart w:id="41" w:name="classifying-behavioral-variables"/>
    <w:p>
      <w:pPr>
        <w:pStyle w:val="Heading2"/>
      </w:pPr>
      <w:r>
        <w:t xml:space="preserve">3.3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Behavior Cluster 1 — high R, high CVi</w:t>
      </w:r>
      <w:r>
        <w:t xml:space="preserve"> </w:t>
      </w:r>
      <w:r>
        <w:t xml:space="preserve">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pPr>
        <w:pStyle w:val="BodyText"/>
      </w:pPr>
      <w:r>
        <w:rPr>
          <w:b/>
          <w:bCs/>
        </w:rPr>
        <w:t xml:space="preserve">Behavior Cluster 2 — high R, low CVi</w:t>
      </w:r>
      <w:r>
        <w:t xml:space="preserve"> </w:t>
      </w:r>
      <w:r>
        <w:t xml:space="preserve">contained 3 variables: feed duration, water intake, median feeding pct per meal. Individual differences were again consistent over time, but the spread of individual differences across the herd was narrow relative to the herd mean.</w:t>
      </w:r>
    </w:p>
    <w:p>
      <w:pPr>
        <w:pStyle w:val="BodyText"/>
      </w:pPr>
      <w:r>
        <w:rPr>
          <w:b/>
          <w:bCs/>
        </w:rPr>
        <w:t xml:space="preserve">Behavior Cluster 3 — low R, low CVi</w:t>
      </w:r>
      <w:r>
        <w:t xml:space="preserve"> </w:t>
      </w:r>
      <w:r>
        <w:t xml:space="preserve">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bookmarkEnd w:id="41"/>
    <w:bookmarkStart w:id="48" w:name="identifying-cow-types-via-pca"/>
    <w:p>
      <w:pPr>
        <w:pStyle w:val="Heading2"/>
      </w:pPr>
      <w:r>
        <w:t xml:space="preserve">3.4 Identifying Cow Types via PCA</w:t>
      </w:r>
    </w:p>
    <w:p>
      <w:pPr>
        <w:pStyle w:val="FirstParagraph"/>
      </w:pPr>
      <w:r>
        <w:t xml:space="preserve">We applied PCA with varimax rotation to the intercepts (average individual cow’s behaviour expression) of the 8 Behavior Cluster 1 variables. 3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pPr>
        <w:pStyle w:val="BodyText"/>
      </w:pPr>
    </w:p>
    <w:p>
      <w:r>
        <w:br w:type="page"/>
      </w:r>
    </w:p>
    <w:p>
      <w:pPr>
        <w:pStyle w:val="BodyText"/>
      </w:pPr>
      <w:r>
        <w:rPr>
          <w:b/>
          <w:bCs/>
        </w:rPr>
        <w:t xml:space="preserve">Table 3.</w:t>
      </w:r>
      <w:r>
        <w:t xml:space="preserve"> </w:t>
      </w:r>
      <w:r>
        <w:t xml:space="preserve">Varimax-rotated PCA loadings for the 8 Behavior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42">
        <w:r>
          <w:rPr>
            <w:rStyle w:val="Hyperlink"/>
          </w:rPr>
          <w:t xml:space="preserve">https://www.skysheng.io/moo4feed_decoding_animal/</w:t>
        </w:r>
      </w:hyperlink>
      <w:r>
        <w:t xml:space="preserve">.</w:t>
      </w:r>
    </w:p>
    <w:p>
      <w:pPr>
        <w:pStyle w:val="BodyText"/>
      </w:pPr>
    </w:p>
    <w:p>
      <w:pPr>
        <w:pStyle w:val="BodyText"/>
      </w:pPr>
    </w:p>
    <w:bookmarkStart w:id="47" w:name="cell-fig-pca-biplots"/>
    <w:tbl>
      <w:tblPr>
        <w:tblStyle w:val="Table"/>
        <w:tblW w:type="pct" w:w="5000"/>
        <w:tblLayout w:type="fixed"/>
        <w:tblLook w:firstRow="0" w:lastRow="0" w:firstColumn="0" w:lastColumn="0" w:noHBand="0" w:noVBand="0" w:val="0000"/>
      </w:tblPr>
      <w:tblGrid>
        <w:gridCol w:w="7920"/>
      </w:tblGrid>
      <w:tr>
        <w:tc>
          <w:tcPr/>
          <w:bookmarkStart w:id="46" w:name="fig-pca-biplots"/>
          <w:p>
            <w:pPr>
              <w:pStyle w:val="Compact"/>
              <w:jc w:val="center"/>
            </w:pPr>
            <w:r>
              <w:drawing>
                <wp:inline>
                  <wp:extent cx="5943600" cy="2674620"/>
                  <wp:effectExtent b="0" l="0" r="0" t="0"/>
                  <wp:docPr descr="" title="" id="44" name="Picture"/>
                  <a:graphic>
                    <a:graphicData uri="http://schemas.openxmlformats.org/drawingml/2006/picture">
                      <pic:pic>
                        <pic:nvPicPr>
                          <pic:cNvPr descr="results/15_pca_clustering/pca_M3_c1_int_biplot_clusters_AB.png" id="45" name="Picture"/>
                          <pic:cNvPicPr>
                            <a:picLocks noChangeArrowheads="1" noChangeAspect="1"/>
                          </pic:cNvPicPr>
                        </pic:nvPicPr>
                        <pic:blipFill>
                          <a:blip r:embed="rId43"/>
                          <a:stretch>
                            <a:fillRect/>
                          </a:stretch>
                        </pic:blipFill>
                        <pic:spPr bwMode="auto">
                          <a:xfrm>
                            <a:off x="0" y="0"/>
                            <a:ext cx="5943600" cy="2674620"/>
                          </a:xfrm>
                          <a:prstGeom prst="rect">
                            <a:avLst/>
                          </a:prstGeom>
                          <a:noFill/>
                          <a:ln w="9525">
                            <a:noFill/>
                            <a:headEnd/>
                            <a:tailEnd/>
                          </a:ln>
                        </pic:spPr>
                      </pic:pic>
                    </a:graphicData>
                  </a:graphic>
                </wp:inline>
              </w:drawing>
            </w:r>
          </w:p>
          <w:p>
            <w:pPr>
              <w:jc w:val="start"/>
              <w:spacing w:before="200"/>
              <w:pStyle w:val="ImageCaption"/>
            </w:pPr>
            <w:r>
              <w:t xml:space="preserve">Figure 2: PCA biplots using the intercepts of Cluster-1 variables. (A) RC1 vs RC2. (B) RC1 vs RC3. Each point is a cow, coloured by k-means cluster assignment; arrows represent variable loadings scaled to the score space. Ellipses show 95% confidence regions around each cluster centroid.</w:t>
            </w:r>
          </w:p>
          <w:bookmarkEnd w:id="46"/>
        </w:tc>
      </w:tr>
    </w:tbl>
    <w:bookmarkEnd w:id="47"/>
    <w:p>
      <w:pPr>
        <w:pStyle w:val="BodyText"/>
      </w:pPr>
    </w:p>
    <w:p>
      <w:pPr>
        <w:pStyle w:val="BodyText"/>
      </w:pPr>
      <w:r>
        <w:rPr>
          <w:b/>
          <w:bCs/>
        </w:rPr>
        <w:t xml:space="preserve">Cow Cluster 1 —</w:t>
      </w:r>
      <w:r>
        <w:rPr>
          <w:b/>
          <w:bCs/>
        </w:rPr>
        <w:t xml:space="preserve"> </w:t>
      </w:r>
      <w:r>
        <w:rPr>
          <w:b/>
          <w:bCs/>
        </w:rPr>
        <w:t xml:space="preserve">“frequently replaced herd majority”</w:t>
      </w:r>
      <w:r>
        <w:rPr>
          <w:b/>
          <w:bCs/>
        </w:rPr>
        <w:t xml:space="preserve"> </w:t>
      </w:r>
      <w:r>
        <w:rPr>
          <w:b/>
          <w:bCs/>
        </w:rPr>
        <w:t xml:space="preserve">(n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“water lovers”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behavioral tail of the distribution rather than a common type.</w:t>
      </w:r>
    </w:p>
    <w:p>
      <w:pPr>
        <w:pStyle w:val="BodyText"/>
      </w:pPr>
      <w:r>
        <w:rPr>
          <w:b/>
          <w:bCs/>
        </w:rPr>
        <w:t xml:space="preserve">Cow Cluster 4 —</w:t>
      </w:r>
      <w:r>
        <w:rPr>
          <w:b/>
          <w:bCs/>
        </w:rPr>
        <w:t xml:space="preserve"> </w:t>
      </w:r>
      <w:r>
        <w:rPr>
          <w:b/>
          <w:bCs/>
        </w:rPr>
        <w:t xml:space="preserve">“contest-winning”</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rarely get replaced at the feeders and instead tend to be the ones initiating replacements against others (</w:t>
      </w:r>
      <w:hyperlink w:anchor="fig-pca-biplots">
        <w:r>
          <w:rPr>
            <w:rStyle w:val="Hyperlink"/>
          </w:rPr>
          <w:t xml:space="preserve">Figure 2</w:t>
        </w:r>
      </w:hyperlink>
      <w:r>
        <w:t xml:space="preserve"> </w:t>
      </w:r>
      <w:r>
        <w:t xml:space="preserve">B). Their feeding, drinking behaviors, and meal patterns are otherwise unremarkable. These cows likely benefit from preferential access to feed bins.</w:t>
      </w:r>
    </w:p>
    <w:bookmarkEnd w:id="48"/>
    <w:bookmarkStart w:id="49" w:name="individual-cow-stories"/>
    <w:p>
      <w:pPr>
        <w:pStyle w:val="Heading2"/>
      </w:pPr>
      <w:r>
        <w:t xml:space="preserve">3.5 Individual Cow Stories</w:t>
      </w:r>
    </w:p>
    <w:p>
      <w:pPr>
        <w:pStyle w:val="FirstParagraph"/>
      </w:pPr>
      <w:r>
        <w:t xml:space="preserve">We selected one cow from each of the 4 clusters and describe their individual stories through their average behavioral expression compared to the herd. All behavioral values reported below are posterior means of each cow’s behavioral type (i.e., her individual intercept from the mixed models in Section 3.1),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frequently replaced”</w:t>
      </w:r>
      <w:r>
        <w:rPr>
          <w:b/>
          <w:bCs/>
        </w:rPr>
        <w:t xml:space="preserve"> </w:t>
      </w:r>
      <w:r>
        <w:rPr>
          <w:b/>
          <w:bCs/>
        </w:rPr>
        <w:t xml:space="preserve">cow (Cluster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Being frequently replaced does not contradict a long feeding duration: it means she is eventually displaced after a sustained bout, not immediately. Her daily feeding duration is long (388.2 min, 87th percentile), and a very high fraction of her meal time is spent with her head down actually feeding rather than waiting next to the bin (median percentage of time spent feeding per meal: 90.45%, 92th percentile). This is combined with a high median intake per meal (9.55 kg, 84th percentile). Consistent with this feeding style, her non-nutritive behavior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“water lover”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actually below the herd median. She simply keeps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essentially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 to occupy a feed bin, she eats fast.</w:t>
      </w:r>
    </w:p>
    <w:p>
      <w:pPr>
        <w:pStyle w:val="BodyText"/>
      </w:pPr>
      <w:r>
        <w:rPr>
          <w:b/>
          <w:bCs/>
        </w:rPr>
        <w:t xml:space="preserve">Cow 5120 — a</w:t>
      </w:r>
      <w:r>
        <w:rPr>
          <w:b/>
          <w:bCs/>
        </w:rPr>
        <w:t xml:space="preserve"> </w:t>
      </w:r>
      <w:r>
        <w:rPr>
          <w:b/>
          <w:bCs/>
        </w:rPr>
        <w:t xml:space="preserve">“contest-winning”</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49"/>
    <w:bookmarkEnd w:id="50"/>
    <w:bookmarkStart w:id="56" w:name="discussion"/>
    <w:p>
      <w:pPr>
        <w:pStyle w:val="Heading1"/>
      </w:pPr>
      <w:r>
        <w:t xml:space="preserve">4. Discussion</w:t>
      </w:r>
    </w:p>
    <w:p>
      <w:pPr>
        <w:pStyle w:val="FirstParagraph"/>
      </w:pPr>
      <w:r>
        <w:t xml:space="preserve">This study demonstrates that existing data streams from electronic feeders and drinkers contain far richer behavioral information than is typically extracted. By developing the</w:t>
      </w:r>
      <w:r>
        <w:t xml:space="preserve"> </w:t>
      </w:r>
      <w:r>
        <w:rPr>
          <w:rStyle w:val="VerbatimChar"/>
        </w:rPr>
        <w:t xml:space="preserve">moo4feed</w:t>
      </w:r>
      <w:r>
        <w:t xml:space="preserve"> </w:t>
      </w:r>
      <w:r>
        <w:t xml:space="preserve">R package, we introduced a standardized and reproducible pipeline for processing raw electronic feeder and drinker data and extracting behavioral variables that go beyond basic daily intake and visit counts. Using 16 variables spanning feeding, drinking, meal patterns, non-nutritive behavior, and social competition, we quantified repeatability and predictability for each variable, identified behaviors most informative for individual profiling, and used those behaviors to characterize four distinct cow types within the herd.</w:t>
      </w:r>
    </w:p>
    <w:bookmarkStart w:id="51" w:name="X823c7d6af6f1deb5b47f51320181e7a174cf8df"/>
    <w:p>
      <w:pPr>
        <w:pStyle w:val="Heading2"/>
      </w:pPr>
      <w:r>
        <w:t xml:space="preserve">4.1 Repeatability and predictability in context</w:t>
      </w:r>
    </w:p>
    <w:p>
      <w:pPr>
        <w:pStyle w:val="FirstParagraph"/>
      </w:pPr>
      <w:r>
        <w:t xml:space="preserve">A meta-analysis of 759 repeatability estimates across 114 studies and 98 species reported a mean R of 0.37</w:t>
      </w:r>
      <w:r>
        <w:t xml:space="preserve"> </w:t>
      </w:r>
      <w:r>
        <w:t xml:space="preserve">(</w:t>
      </w:r>
      <w:hyperlink w:anchor="ref-Bell2009">
        <w:r>
          <w:rPr>
            <w:rStyle w:val="Hyperlink"/>
          </w:rPr>
          <w:t xml:space="preserve">Bell et al., 2009</w:t>
        </w:r>
      </w:hyperlink>
      <w:r>
        <w:t xml:space="preserve">)</w:t>
      </w:r>
      <w:r>
        <w:t xml:space="preserve">. Our repeatability values ranged from 0.21 (median pct feed remaining) to 0.74 (water duration), with most variables falling between 0.38 and 0.64. This places the majority of our behavioral variables above the cross-species average, indicating that the behaviors captured from electronic feeders and drinkers likely reflect stable individual differences.</w:t>
      </w:r>
    </w:p>
    <w:p>
      <w:pPr>
        <w:pStyle w:val="BodyText"/>
      </w:pPr>
      <w:r>
        <w:t xml:space="preserve">Two methodological points are worth noting when comparing our results to prior cattle work. First, none of the previous studies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 </w:t>
      </w:r>
      <w:r>
        <w:t xml:space="preserve">reported CVi, the coefficient of individual variation. As articulated by Hertel et al.</w:t>
      </w:r>
      <w:r>
        <w:t xml:space="preserve"> </w:t>
      </w:r>
      <w:r>
        <w:t xml:space="preserve">(</w:t>
      </w:r>
      <w:hyperlink w:anchor="ref-hertel2020">
        <w:r>
          <w:rPr>
            <w:rStyle w:val="Hyperlink"/>
          </w:rPr>
          <w:t xml:space="preserve">2020</w:t>
        </w:r>
      </w:hyperlink>
      <w:r>
        <w:t xml:space="preserve">)</w:t>
      </w:r>
      <w:r>
        <w:t xml:space="preserve">, CVi is essential for comparing the magnitude of among-individual differences across studies and populations because R is confounded by within-individual variance: a high R can result from either large among-individual differences or simply very low day-to-day variability within individuals. Without CVi, it is not possible to determine whether differences in R between studies reflect genuine differences in among-individual variation or merely differences in residual noise. Our study is the first in the cattle repeatability literature to report CVi alongside R, and we encourage future work to adopt this metric to enable meaningful cross-study comparisons. Second, the comparison between our adult cow results and the calf results of Carslake et al.</w:t>
      </w:r>
      <w:r>
        <w:t xml:space="preserve"> </w:t>
      </w:r>
      <w:r>
        <w:t xml:space="preserve">(</w:t>
      </w:r>
      <w:hyperlink w:anchor="ref-carslake2022b">
        <w:r>
          <w:rPr>
            <w:rStyle w:val="Hyperlink"/>
          </w:rPr>
          <w:t xml:space="preserve">2022b</w:t>
        </w:r>
      </w:hyperlink>
      <w:r>
        <w:t xml:space="preserve">)</w:t>
      </w:r>
      <w:r>
        <w:t xml:space="preserve"> </w:t>
      </w:r>
      <w:r>
        <w:t xml:space="preserve">and Occhiuto et al.</w:t>
      </w:r>
      <w:r>
        <w:t xml:space="preserve"> </w:t>
      </w:r>
      <w:r>
        <w:t xml:space="preserve">(</w:t>
      </w:r>
      <w:hyperlink w:anchor="ref-occhiuto2022">
        <w:r>
          <w:rPr>
            <w:rStyle w:val="Hyperlink"/>
          </w:rPr>
          <w:t xml:space="preserve">2022</w:t>
        </w:r>
      </w:hyperlink>
      <w:r>
        <w:t xml:space="preserve">)</w:t>
      </w:r>
      <w:r>
        <w:t xml:space="preserve"> </w:t>
      </w:r>
      <w:r>
        <w:t xml:space="preserve">should be interpreted cautiously. Bell et al.</w:t>
      </w:r>
      <w:r>
        <w:t xml:space="preserve"> </w:t>
      </w:r>
      <w:r>
        <w:t xml:space="preserve">(</w:t>
      </w:r>
      <w:hyperlink w:anchor="ref-Bell2009">
        <w:r>
          <w:rPr>
            <w:rStyle w:val="Hyperlink"/>
          </w:rPr>
          <w:t xml:space="preserve">2009</w:t>
        </w:r>
      </w:hyperlink>
      <w:r>
        <w:t xml:space="preserve">)</w:t>
      </w:r>
      <w:r>
        <w:t xml:space="preserve"> </w:t>
      </w:r>
      <w:r>
        <w:t xml:space="preserve">noted that whether juveniles are more or less repeatable than adults of the same species remains an unanswered biological question with no clear directional prediction: juveniles may be less repeatable because they are undergoing rapid developmental change, or more repeatable because the costs of deviating from a developmental trajectory are high. The few within-species comparisons available show no consistent pattern. We therefore focus our direct comparisons on Thomas et al.</w:t>
      </w:r>
      <w:r>
        <w:t xml:space="preserve"> </w:t>
      </w:r>
      <w:r>
        <w:t xml:space="preserve">(</w:t>
      </w:r>
      <w:hyperlink w:anchor="ref-thomas2024">
        <w:r>
          <w:rPr>
            <w:rStyle w:val="Hyperlink"/>
          </w:rPr>
          <w:t xml:space="preserve">2024</w:t>
        </w:r>
      </w:hyperlink>
      <w:r>
        <w:t xml:space="preserve">)</w:t>
      </w:r>
      <w:r>
        <w:t xml:space="preserve">, the only other study conducted in adult dairy cows.</w:t>
      </w:r>
    </w:p>
    <w:p>
      <w:pPr>
        <w:pStyle w:val="BodyText"/>
      </w:pPr>
      <w:r>
        <w:t xml:space="preserve">For the variables directly comparable to Thomas et al.</w:t>
      </w:r>
      <w:r>
        <w:t xml:space="preserve"> </w:t>
      </w:r>
      <w:r>
        <w:t xml:space="preserve">(</w:t>
      </w:r>
      <w:hyperlink w:anchor="ref-thomas2024">
        <w:r>
          <w:rPr>
            <w:rStyle w:val="Hyperlink"/>
          </w:rPr>
          <w:t xml:space="preserve">2024</w:t>
        </w:r>
      </w:hyperlink>
      <w:r>
        <w:t xml:space="preserve">)</w:t>
      </w:r>
      <w:r>
        <w:t xml:space="preserve">, our estimates are similar or higher. Our R for daily feeding duration (0.56 [0.49, 0.63]) exceeds their R = 0.38 [0.35, 0.40] for daily feeding time in 2584 adult cows across 46 herds. This difference likely reflects methodological differences rather than a true biological divergence: Thomas et al. used neck-mounted sensors and aggregated data across diverse commercial herds, whereas our study used automated feeders with strict data filtering, removing days affected by illness, lameness, estrus, and other disruptions. These design choices reduce within-individual noise and would be expected to yield higher repeatability estimates.</w:t>
      </w:r>
    </w:p>
    <w:p>
      <w:pPr>
        <w:pStyle w:val="BodyText"/>
      </w:pPr>
      <w:r>
        <w:t xml:space="preserve">Many of our highest-R variables (water drinking duration: 0.74; daily feeding visits: 0.68; non-nutritive visits: 0.64) capture behaviors that have never been assessed for repeatability before, and have no published comparison. Even our lowest R value (median pct feed remaining: 0.21) is likely still biologically meaningful. Bell et al.</w:t>
      </w:r>
      <w:r>
        <w:t xml:space="preserve"> </w:t>
      </w:r>
      <w:r>
        <w:t xml:space="preserve">(</w:t>
      </w:r>
      <w:hyperlink w:anchor="ref-Bell2009">
        <w:r>
          <w:rPr>
            <w:rStyle w:val="Hyperlink"/>
          </w:rPr>
          <w:t xml:space="preserve">2009</w:t>
        </w:r>
      </w:hyperlink>
      <w:r>
        <w:t xml:space="preserve">)</w:t>
      </w:r>
      <w:r>
        <w:t xml:space="preserve"> </w:t>
      </w:r>
      <w:r>
        <w:t xml:space="preserve">showed that many well-established personality traits in wild populations have R values between 0.20 and 0.40, and Thomas et al.</w:t>
      </w:r>
      <w:r>
        <w:t xml:space="preserve"> </w:t>
      </w:r>
      <w:r>
        <w:t xml:space="preserve">(</w:t>
      </w:r>
      <w:hyperlink w:anchor="ref-thomas2024">
        <w:r>
          <w:rPr>
            <w:rStyle w:val="Hyperlink"/>
          </w:rPr>
          <w:t xml:space="preserve">2024</w:t>
        </w:r>
      </w:hyperlink>
      <w:r>
        <w:t xml:space="preserve">)</w:t>
      </w:r>
      <w:r>
        <w:t xml:space="preserve"> </w:t>
      </w:r>
      <w:r>
        <w:t xml:space="preserve">reported their lowest R at 0.21 [0.20, 0.21] for maximum lying bout duration yet interpreted it as evidence of consistent individual differences. For behaviors measured in the broader cattle literature but not in our study (e.g., lying bouts, space use), prior work reports R values ranging from 0.03 to 0.80 in calves and 0.21 to 0.38 in adult cows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For predictability, our CVP values ranged from 0.08 to 0.22 across all 16 variables. This is notably lower than the cross-species mean CVP of 0.27 [0.22, 0.33] reported across 64 estimates from 39 datasets in a meta-analysis of behavioral and physiological traits</w:t>
      </w:r>
      <w:r>
        <w:t xml:space="preserve"> </w:t>
      </w:r>
      <w:r>
        <w:t xml:space="preserve">(</w:t>
      </w:r>
      <w:hyperlink w:anchor="ref-mitchell2020">
        <w:r>
          <w:rPr>
            <w:rStyle w:val="Hyperlink"/>
          </w:rPr>
          <w:t xml:space="preserve">Mitchell et al., 2021</w:t>
        </w:r>
      </w:hyperlink>
      <w:r>
        <w:t xml:space="preserve">)</w:t>
      </w:r>
      <w:r>
        <w:t xml:space="preserve">. For dairy calves, CVP values in the literature ranged from 0.13 [0.06, 0.21] (total meals;</w:t>
      </w:r>
      <w:r>
        <w:t xml:space="preserve"> </w:t>
      </w:r>
      <w:r>
        <w:t xml:space="preserve">Carslake et al. (</w:t>
      </w:r>
      <w:hyperlink w:anchor="ref-carslake2022b">
        <w:r>
          <w:rPr>
            <w:rStyle w:val="Hyperlink"/>
          </w:rPr>
          <w:t xml:space="preserve">2022b</w:t>
        </w:r>
      </w:hyperlink>
      <w:r>
        <w:t xml:space="preserve">)</w:t>
      </w:r>
      <w:r>
        <w:t xml:space="preserve">) to 0.49 [0.35, 0.62] (core area used;</w:t>
      </w:r>
      <w:r>
        <w:t xml:space="preserve"> </w:t>
      </w:r>
      <w:r>
        <w:t xml:space="preserve">Occhiuto et al. (</w:t>
      </w:r>
      <w:hyperlink w:anchor="ref-occhiuto2022">
        <w:r>
          <w:rPr>
            <w:rStyle w:val="Hyperlink"/>
          </w:rPr>
          <w:t xml:space="preserve">2022</w:t>
        </w:r>
      </w:hyperlink>
      <w:r>
        <w:t xml:space="preserve">)</w:t>
      </w:r>
      <w:r>
        <w:t xml:space="preserve">). For adult dairy cows, Thomas et al.</w:t>
      </w:r>
      <w:r>
        <w:t xml:space="preserve"> </w:t>
      </w:r>
      <w:r>
        <w:t xml:space="preserve">(</w:t>
      </w:r>
      <w:hyperlink w:anchor="ref-thomas2024">
        <w:r>
          <w:rPr>
            <w:rStyle w:val="Hyperlink"/>
          </w:rPr>
          <w:t xml:space="preserve">2024</w:t>
        </w:r>
      </w:hyperlink>
      <w:r>
        <w:t xml:space="preserve">)</w:t>
      </w:r>
      <w:r>
        <w:t xml:space="preserve"> </w:t>
      </w:r>
      <w:r>
        <w:t xml:space="preserve">reported CVP values ranging from 0.19 [0.18, 0.20] (daily feeding time) to 0.46 [0.44, 0.48] (mean lying bout duration), with higher values coming from bout-level metrics that are inherently more liabile than daily aggregates. Our corresponding CVP for daily feeding duration was 0.17 [0.14, 0.21], which is close to Thomas et al.’s daily feeding time estimate and confirms that our daily-level metrics fall at the lower end of the adult cow range.</w:t>
      </w:r>
    </w:p>
    <w:p>
      <w:pPr>
        <w:pStyle w:val="BodyText"/>
      </w:pPr>
      <w:r>
        <w:t xml:space="preserve">The uniformly low CVP values in our study likely reflect the same strict data filtering that inflated our R estimates relative to prior work: by removing days disrupted by illness, lameness, estrus, and regrouping, we restricted our analyses to a stable behavioral baseline. This is a practically useful finding in its own right: under clean baseline conditions, CVP values were consistently low across all variables, and the variation in predictability across cows was modest. Whether individual cow types (e.g., the</w:t>
      </w:r>
      <w:r>
        <w:t xml:space="preserve"> </w:t>
      </w:r>
      <w:r>
        <w:t xml:space="preserve">“fragmented restless feeders”</w:t>
      </w:r>
      <w:r>
        <w:t xml:space="preserve"> </w:t>
      </w:r>
      <w:r>
        <w:t xml:space="preserve">identified in Section 3.3) show systematically higher within-individual variability during periods of health challenge, or whether predictability is better understood as a property of physiological state than of personality, is an important question for future work.</w:t>
      </w:r>
    </w:p>
    <w:bookmarkEnd w:id="51"/>
    <w:bookmarkStart w:id="52" w:name="X9208a0f9ff96099c301dc097c2a99f7ed4d7f9b"/>
    <w:p>
      <w:pPr>
        <w:pStyle w:val="Heading2"/>
      </w:pPr>
      <w:r>
        <w:t xml:space="preserve">4.2 Novel behavioral variables and compensatory feeding strategies</w:t>
      </w:r>
    </w:p>
    <w:p>
      <w:pPr>
        <w:pStyle w:val="FirstParagraph"/>
      </w:pPr>
      <w:r>
        <w:t xml:space="preserve">A key contribution of this study is showing that electronic feeders capture information well beyond what is typically reported. Standard analyses focus on daily feed and water intake, visit counts, and duration. By applying the</w:t>
      </w:r>
      <w:r>
        <w:t xml:space="preserve"> </w:t>
      </w:r>
      <w:r>
        <w:rPr>
          <w:rStyle w:val="VerbatimChar"/>
        </w:rPr>
        <w:t xml:space="preserve">moo4feed</w:t>
      </w:r>
      <w:r>
        <w:t xml:space="preserve"> </w:t>
      </w:r>
      <w:r>
        <w:t xml:space="preserve">pipeline, we additionally derived variables capturing exploratory behavior (non-nutritive visits), social competition (actor and reactor replacement events), feeding efficiency (median percentage of meal time spent actively eating), feed access disadvantage (proportion of feed remaining at visit start), and meal fragmentation (median visits per meal). These variables have rarely been considered in the repeatability and predictability literature, which has focused primarily on daily aggregates of feeding and lying behaviors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 e.g.,</w:t>
      </w:r>
      <w:r>
        <w:t xml:space="preserve"> </w:t>
      </w:r>
      <w:hyperlink w:anchor="ref-thomas2024">
        <w:r>
          <w:rPr>
            <w:rStyle w:val="Hyperlink"/>
          </w:rPr>
          <w:t xml:space="preserve">Thomas et al., 2024</w:t>
        </w:r>
      </w:hyperlink>
      <w:r>
        <w:t xml:space="preserve">)</w:t>
      </w:r>
      <w:r>
        <w:t xml:space="preserve">.</w:t>
      </w:r>
    </w:p>
    <w:p>
      <w:pPr>
        <w:pStyle w:val="BodyText"/>
      </w:pPr>
      <w:r>
        <w:t xml:space="preserve">Among all variables, non-nutritive visits showed the largest CVi (0.53 [0.45, 0.61]), meaning cows differ from one another by more than half the population mean in how often they visit feed bins without eating. Actor events (CVi = 0.47 [0.40, 0.54]) and reactor events (CVi = 0.38 [0.32, 0.43]) also showed high among-individual variation. In contrast, daily feed intake (CVi = 0.10 [0.08, 0.11]) showed the smallest relative variation. The finding that cows are nearly indistinguishable from one another in daily feed intake, despite exhibiting dramatically different feeding strategies, suggests compensatory feeding: cows converge to similar intakes through different behavioral pathways. Cow 7068 (frequently replaced, but efficient and sustained feeder) and cow 5042 (fragmented, restless, but fast eater) both achieved high daily feed intakes through opposite strategies. This echoes Thomas et al.</w:t>
      </w:r>
      <w:r>
        <w:t xml:space="preserve"> </w:t>
      </w:r>
      <w:r>
        <w:t xml:space="preserve">(</w:t>
      </w:r>
      <w:hyperlink w:anchor="ref-thomas2024">
        <w:r>
          <w:rPr>
            <w:rStyle w:val="Hyperlink"/>
          </w:rPr>
          <w:t xml:space="preserve">2024</w:t>
        </w:r>
      </w:hyperlink>
      <w:r>
        <w:t xml:space="preserve">)</w:t>
      </w:r>
      <w:r>
        <w:t xml:space="preserve">, who found high repeatability for total daily feeding time and interpreted it as cows compensating disrupted bouts by adjusting other feeding aspects.</w:t>
      </w:r>
    </w:p>
    <w:bookmarkEnd w:id="52"/>
    <w:bookmarkStart w:id="53" w:name="behavioral-profiles-and-cow-types"/>
    <w:p>
      <w:pPr>
        <w:pStyle w:val="Heading2"/>
      </w:pPr>
      <w:r>
        <w:t xml:space="preserve">4.3 Behavioral profiles and cow types</w:t>
      </w:r>
    </w:p>
    <w:p>
      <w:pPr>
        <w:pStyle w:val="FirstParagraph"/>
      </w:pPr>
      <w:r>
        <w:t xml:space="preserve">By applying PCA with varimax rotation to the 8 Cluster 1 variables (those with both high R and high CVi), we identified three principal components explaining over 80% of variance. K-means clustering on these component scores identified four cow types: a frequently replaced herd majority, contest-winning cows, water lovers, and fragmented restless feeders.</w:t>
      </w:r>
    </w:p>
    <w:p>
      <w:pPr>
        <w:pStyle w:val="BodyText"/>
      </w:pPr>
      <w:r>
        <w:t xml:space="preserve">Personality has been defined as consistent differences in how individual animals respond across contexts and over time</w:t>
      </w:r>
      <w:r>
        <w:t xml:space="preserve"> </w:t>
      </w:r>
      <w:r>
        <w:t xml:space="preserve">(</w:t>
      </w:r>
      <w:hyperlink w:anchor="ref-reale2007">
        <w:r>
          <w:rPr>
            <w:rStyle w:val="Hyperlink"/>
          </w:rPr>
          <w:t xml:space="preserve">Réale et al., 2007</w:t>
        </w:r>
      </w:hyperlink>
      <w:r>
        <w:t xml:space="preserve">)</w:t>
      </w:r>
      <w:r>
        <w:t xml:space="preserve">. The four cow types we identified are grounded in exactly that: variables that showed consistent and large among-individual variation, meaning these cows differed from one another in stable, characteristic ways throughout the observation period. However, we do not claim that this constitutes full personality assessment. Such assessment requires data spanning a longer time window, more diverse contexts, and ideally replication across farms and management systems. But the patterns we observed are consistent with the personality framework: cows were not behaving randomly, and their differences were not explained purely by the fixed effects in our models. These sensor-derived behavioral signatures appear to reflect some personality-like traits.</w:t>
      </w:r>
    </w:p>
    <w:p>
      <w:pPr>
        <w:pStyle w:val="BodyText"/>
      </w:pPr>
      <w:r>
        <w:t xml:space="preserve">The contrast between</w:t>
      </w:r>
      <w:r>
        <w:t xml:space="preserve"> </w:t>
      </w:r>
      <w:r>
        <w:t xml:space="preserve">“contest-winning”</w:t>
      </w:r>
      <w:r>
        <w:t xml:space="preserve"> </w:t>
      </w:r>
      <w:r>
        <w:t xml:space="preserve">and</w:t>
      </w:r>
      <w:r>
        <w:t xml:space="preserve"> </w:t>
      </w:r>
      <w:r>
        <w:t xml:space="preserve">“frequently-replaced”</w:t>
      </w:r>
      <w:r>
        <w:t xml:space="preserve"> </w:t>
      </w:r>
      <w:r>
        <w:t xml:space="preserve">cows captures persistent differences in competitive success at the feeder, not necessarily dominance. As we noted in previous work</w:t>
      </w:r>
      <w:r>
        <w:t xml:space="preserve"> </w:t>
      </w:r>
      <w:r>
        <w:t xml:space="preserve">(</w:t>
      </w:r>
      <w:hyperlink w:anchor="ref-sheng2024redefining">
        <w:r>
          <w:rPr>
            <w:rStyle w:val="Hyperlink"/>
          </w:rPr>
          <w:t xml:space="preserve">Sheng et al., 2024</w:t>
        </w:r>
      </w:hyperlink>
      <w:r>
        <w:t xml:space="preserve">)</w:t>
      </w:r>
      <w:r>
        <w:t xml:space="preserve">, replacement events are not a clean proxy for dominance: they are often triggered by the motivation to access fresh feed rather than by social rank per se. What the cluster analysis captures is not who dominates whom, but who consistently initiates replacements and who consistently yields. Interestingly, some</w:t>
      </w:r>
      <w:r>
        <w:t xml:space="preserve"> </w:t>
      </w:r>
      <w:r>
        <w:t xml:space="preserve">“frequently replaced”</w:t>
      </w:r>
      <w:r>
        <w:t xml:space="preserve"> </w:t>
      </w:r>
      <w:r>
        <w:t xml:space="preserve">cows compensated for this disadvantage through sustained, efficient feeding during the time they did occupy a bin, while</w:t>
      </w:r>
      <w:r>
        <w:t xml:space="preserve"> </w:t>
      </w:r>
      <w:r>
        <w:t xml:space="preserve">“contest-winning”</w:t>
      </w:r>
      <w:r>
        <w:t xml:space="preserve"> </w:t>
      </w:r>
      <w:r>
        <w:t xml:space="preserve">cows, facing fewer disruptions, fed with notably less non-nutritive and exploratory behavior.</w:t>
      </w:r>
    </w:p>
    <w:p>
      <w:pPr>
        <w:pStyle w:val="BodyText"/>
      </w:pPr>
      <w:r>
        <w:t xml:space="preserve">The</w:t>
      </w:r>
      <w:r>
        <w:t xml:space="preserve"> </w:t>
      </w:r>
      <w:r>
        <w:t xml:space="preserve">“water lovers”</w:t>
      </w:r>
      <w:r>
        <w:t xml:space="preserve"> </w:t>
      </w:r>
      <w:r>
        <w:t xml:space="preserve">cluster stands out because these cows spent considerably more time at and returning to the drinkers without drinking more water, suggesting the behavior is not primarily driven by hydration needs. Cow 7150, whose case we highlighted in detail, showed long drinking durations and frequent drinker visits during a period when THI remained consistently below 68, ruling out heat load as an explanation. The</w:t>
      </w:r>
      <w:r>
        <w:t xml:space="preserve"> </w:t>
      </w:r>
      <w:r>
        <w:t xml:space="preserve">“fragmented, restless feeders”</w:t>
      </w:r>
      <w:r>
        <w:t xml:space="preserve"> </w:t>
      </w:r>
      <w:r>
        <w:t xml:space="preserve">represent a qualitatively distinct type: defined by an exceptionally high rate of non-nutritive visits, these cows approached bins with feed available but withdrew without eating.</w:t>
      </w:r>
    </w:p>
    <w:bookmarkEnd w:id="53"/>
    <w:bookmarkStart w:id="54" w:name="limitations"/>
    <w:p>
      <w:pPr>
        <w:pStyle w:val="Heading2"/>
      </w:pPr>
      <w:r>
        <w:t xml:space="preserve">4.4 Limitations</w:t>
      </w:r>
    </w:p>
    <w:p>
      <w:pPr>
        <w:pStyle w:val="FirstParagraph"/>
      </w:pPr>
      <w:r>
        <w:t xml:space="preserve">Several limitations warrant acknowledgment. Data were collected at a single research farm using Holstein dairy cows under specific management conditions, which limits direct generalizability to commercial herds with different pen designs, stocking densities, or feeding management. The dynamic group composition (approximately 6 cows entering and leaving the pen every 16 days) introduced ongoing social instability.</w:t>
      </w:r>
    </w:p>
    <w:p>
      <w:pPr>
        <w:pStyle w:val="BodyText"/>
      </w:pPr>
      <w:r>
        <w:t xml:space="preserve">A methodological strength of our study relative to prior work is the explicit assessment of variable distributions before model fitting. We examined each variable’s distribution and selected Gaussian or lognormal likelihoods accordingly (Section 2.4). The choice of likelihood family matters because it affects the scale on which variance components are estimated and therefore the resulting R and CVi values.</w:t>
      </w:r>
    </w:p>
    <w:p>
      <w:pPr>
        <w:pStyle w:val="BodyText"/>
      </w:pPr>
      <w:r>
        <w:t xml:space="preserve">For the total meals variable, we used a lognormal model (log transformation) because the raw distribution was strongly right-skewed. Although total meals is technically a count variable and could in principle be modeled with a negative binomial distribution, we chose the lognormal approach for two reasons. First, the primary goal was to compare repeatability and predictability across all 16 variables on a common scale. Using a different distributional family for one variable would have required simulation-based methods to extract comparable R and CVi estimates, making direct comparison across variables much more complex. Second, the same issue applies to feeding rate and drinking rate, which we excluded from the current analysis entirely because their distributions could not be adequately normalized even after log transformation. Fitting these variables with appropriate non-Gaussian families and deriving comparable repeatability metrics through simulation is beyond the scope of this paper but represents a worthwhile extension for future work.</w:t>
      </w:r>
    </w:p>
    <w:bookmarkEnd w:id="54"/>
    <w:bookmarkStart w:id="55" w:name="future-directions"/>
    <w:p>
      <w:pPr>
        <w:pStyle w:val="Heading2"/>
      </w:pPr>
      <w:r>
        <w:t xml:space="preserve">4.5 Future directions</w:t>
      </w:r>
    </w:p>
    <w:p>
      <w:pPr>
        <w:pStyle w:val="FirstParagraph"/>
      </w:pPr>
      <w:r>
        <w:t xml:space="preserve">Several new directions could be explored based on this work. First, the</w:t>
      </w:r>
      <w:r>
        <w:t xml:space="preserve"> </w:t>
      </w:r>
      <w:r>
        <w:rPr>
          <w:rStyle w:val="VerbatimChar"/>
        </w:rPr>
        <w:t xml:space="preserve">moo4feed</w:t>
      </w:r>
      <w:r>
        <w:t xml:space="preserve"> </w:t>
      </w:r>
      <w:r>
        <w:t xml:space="preserve">R package should be applied to other species and study systems (e.g., goats, birds) to evaluate whether the behavioral extraction pipeline and the analytical framework generalize beyond dairy cattle. The package was designed with flexibility in mind, and testing its applicability across diverse farm settings would strengthen its utility as a general tool for behavioral phenotyping.</w:t>
      </w:r>
    </w:p>
    <w:p>
      <w:pPr>
        <w:pStyle w:val="BodyText"/>
      </w:pPr>
      <w:r>
        <w:t xml:space="preserve">Second, future research should go deeper into the temporal and spatial dimensions of feeding behavior. Our analyses characterized what cows do on average across the day, but not when or where they choose to compete. During feed delivery, we observed that certain</w:t>
      </w:r>
      <w:r>
        <w:t xml:space="preserve"> </w:t>
      </w:r>
      <w:r>
        <w:t xml:space="preserve">“popular”</w:t>
      </w:r>
      <w:r>
        <w:t xml:space="preserve"> </w:t>
      </w:r>
      <w:r>
        <w:t xml:space="preserve">bins received fresh feed first and attracted disproportionately high competition, even though fresh feed was delivered to all bins. Cows likely differ in their temporal strategies: some may head straight to the most popular bins during peak competition times (arguably a risky, costly approach), while others may access fresh feed at the same high-competition time but choose less popular bins that still have fresh feed yet are more isolated from herd traffic. Understanding whether individual cows consistently adopt one temporal strategy over another would add a new dimension to behavioral profiling.</w:t>
      </w:r>
    </w:p>
    <w:p>
      <w:pPr>
        <w:pStyle w:val="BodyText"/>
      </w:pPr>
      <w:r>
        <w:t xml:space="preserve">Third, future work should investigate social relationships between specific cows. Are there stable bonds within the herd, pairs that always feed together or next to each other? Are there strong antagonisms where particular individuals always replace each other? Understanding these dyadic patterns could enhanve our understanding about the social network structure of farm animals.</w:t>
      </w:r>
    </w:p>
    <w:p>
      <w:pPr>
        <w:pStyle w:val="BodyText"/>
      </w:pPr>
      <w:r>
        <w:t xml:space="preserve">Fourth, changes in these behaviors over time, and especially changes in a cow’s predictability (a highly consistent cow suddenly showing large variation in her behavior), could serve as early indicators of disease or distress. The personality-dependent sickness behavior documented by Setser et al.</w:t>
      </w:r>
      <w:r>
        <w:t xml:space="preserve"> </w:t>
      </w:r>
      <w:r>
        <w:t xml:space="preserve">(</w:t>
      </w:r>
      <w:hyperlink w:anchor="ref-setser2024a">
        <w:r>
          <w:rPr>
            <w:rStyle w:val="Hyperlink"/>
          </w:rPr>
          <w:t xml:space="preserve">2024b</w:t>
        </w:r>
      </w:hyperlink>
      <w:r>
        <w:t xml:space="preserve">)</w:t>
      </w:r>
      <w:r>
        <w:t xml:space="preserve"> </w:t>
      </w:r>
      <w:r>
        <w:t xml:space="preserve">in calves, where fearful and active calves changed their lying behavior in opposite directions when sick, suggests that the four cow types identified here may respond to illness differently. Prospective validation of whether individual behavioral profiles predict the nature, direction, and timing of health-related behavioral changes would be the critical translational step toward individualized health monitoring.</w:t>
      </w:r>
    </w:p>
    <w:p>
      <w:pPr>
        <w:pStyle w:val="BodyText"/>
      </w:pPr>
      <w:r>
        <w:t xml:space="preserve">Finally, while the</w:t>
      </w:r>
      <w:r>
        <w:t xml:space="preserve"> </w:t>
      </w:r>
      <w:r>
        <w:rPr>
          <w:rStyle w:val="VerbatimChar"/>
        </w:rPr>
        <w:t xml:space="preserve">moo4feed</w:t>
      </w:r>
      <w:r>
        <w:t xml:space="preserve"> </w:t>
      </w:r>
      <w:r>
        <w:t xml:space="preserve">package currently takes in data from electronic feeders and drinkers, it was designed in a modular and flexible way. If computer vision systems or other technologies become available that can record which cow eats where and when, the package can accommodate these alternative data sources as long as they output the same fundamental information: individual identity, location, timing, and intake.</w:t>
      </w:r>
    </w:p>
    <w:bookmarkEnd w:id="55"/>
    <w:bookmarkEnd w:id="56"/>
    <w:bookmarkStart w:id="57"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behavioral narratives. Using dairy cows as an example, we demonstrate that animals living in the same environment differ consistently and substantially from one another across feeding, drinking, and social behaviors. Variables capturing exploratory behavior, social competition at the feed bunk, and water drinking duration showed the greatest and most consistent among-individual variation. Daily feed intake was among the least discriminating, suggesting that individuals converge to similar daily intakes through strikingly different strategies. Using behaviors showing consistent among-individual differences, we identified four distinct behavioral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behavioral profiling as a practical foundation for disease and distress monitoring in farm animals and beyond.</w:t>
      </w:r>
    </w:p>
    <w:bookmarkEnd w:id="57"/>
    <w:bookmarkStart w:id="58"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58"/>
    <w:bookmarkStart w:id="59"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59"/>
    <w:bookmarkStart w:id="60"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60"/>
    <w:bookmarkStart w:id="129"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28" w:name="references"/>
    <w:p>
      <w:pPr>
        <w:pStyle w:val="Heading2"/>
      </w:pPr>
      <w:r>
        <w:t xml:space="preserve">References</w:t>
      </w:r>
    </w:p>
    <w:bookmarkStart w:id="127" w:name="refs"/>
    <w:bookmarkStart w:id="62"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61">
        <w:r>
          <w:rPr>
            <w:rStyle w:val="Hyperlink"/>
          </w:rPr>
          <w:t xml:space="preserve">https://doi.org/10.2527/jas.2017.1593</w:t>
        </w:r>
      </w:hyperlink>
    </w:p>
    <w:bookmarkEnd w:id="62"/>
    <w:bookmarkStart w:id="64" w:name="ref-Bell2009"/>
    <w:p>
      <w:pPr>
        <w:pStyle w:val="Bibliography"/>
      </w:pPr>
      <w:r>
        <w:t xml:space="preserve">Bell, A.M., Hankison, S.J., Laskowski, K.L., 2009. The repeatability of behaviour: A meta-analysis. Animal Behaviour 77, 771–783.</w:t>
      </w:r>
      <w:r>
        <w:t xml:space="preserve"> </w:t>
      </w:r>
      <w:hyperlink r:id="rId63">
        <w:r>
          <w:rPr>
            <w:rStyle w:val="Hyperlink"/>
          </w:rPr>
          <w:t xml:space="preserve">https://doi.org/10.1016/j.anbehav.2008.12.022</w:t>
        </w:r>
      </w:hyperlink>
    </w:p>
    <w:bookmarkEnd w:id="64"/>
    <w:bookmarkStart w:id="65" w:name="ref-biro2012"/>
    <w:p>
      <w:pPr>
        <w:pStyle w:val="Bibliography"/>
      </w:pPr>
      <w:r>
        <w:t xml:space="preserve">Biro, P.A., 2012. Do rapid assays predict repeatability in labile (behavioural) traits? Animal Behaviour 83, 1295–1300.</w:t>
      </w:r>
    </w:p>
    <w:bookmarkEnd w:id="65"/>
    <w:bookmarkStart w:id="67"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66">
        <w:r>
          <w:rPr>
            <w:rStyle w:val="Hyperlink"/>
          </w:rPr>
          <w:t xml:space="preserve">https://doi.org/10.3168/jdsc.2021-0184</w:t>
        </w:r>
      </w:hyperlink>
    </w:p>
    <w:bookmarkEnd w:id="67"/>
    <w:bookmarkStart w:id="69"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68">
        <w:r>
          <w:rPr>
            <w:rStyle w:val="Hyperlink"/>
          </w:rPr>
          <w:t xml:space="preserve">https://doi.org/10.3168/jds.2022-23176</w:t>
        </w:r>
      </w:hyperlink>
    </w:p>
    <w:bookmarkEnd w:id="69"/>
    <w:bookmarkStart w:id="70" w:name="ref-budaev2010using"/>
    <w:p>
      <w:pPr>
        <w:pStyle w:val="Bibliography"/>
      </w:pPr>
      <w:r>
        <w:t xml:space="preserve">Budaev, S.V., 2010. Using principal components and factor analysis in animal behaviour research: Caveats and guidelines. Ethology 116, 472–480.</w:t>
      </w:r>
    </w:p>
    <w:bookmarkEnd w:id="70"/>
    <w:bookmarkStart w:id="71" w:name="ref-burkner2017brms"/>
    <w:p>
      <w:pPr>
        <w:pStyle w:val="Bibliography"/>
      </w:pPr>
      <w:r>
        <w:t xml:space="preserve">Bürkner, P.-C., 2017. Brms: An r package for bayesian multilevel models using stan. Journal of statistical software 80, 1–28.</w:t>
      </w:r>
    </w:p>
    <w:bookmarkEnd w:id="71"/>
    <w:bookmarkStart w:id="73"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72">
        <w:r>
          <w:rPr>
            <w:rStyle w:val="Hyperlink"/>
          </w:rPr>
          <w:t xml:space="preserve">https://doi.org/10.1186/1745-6150-2-2</w:t>
        </w:r>
      </w:hyperlink>
    </w:p>
    <w:bookmarkEnd w:id="73"/>
    <w:bookmarkStart w:id="74"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74"/>
    <w:bookmarkStart w:id="75"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75"/>
    <w:bookmarkStart w:id="76"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76"/>
    <w:bookmarkStart w:id="78"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77">
        <w:r>
          <w:rPr>
            <w:rStyle w:val="Hyperlink"/>
          </w:rPr>
          <w:t xml:space="preserve">https://doi.org/10.1016/j.applanim.2024.106315</w:t>
        </w:r>
      </w:hyperlink>
    </w:p>
    <w:bookmarkEnd w:id="78"/>
    <w:bookmarkStart w:id="79" w:name="ref-dawkins2021"/>
    <w:p>
      <w:pPr>
        <w:pStyle w:val="Bibliography"/>
      </w:pPr>
      <w:r>
        <w:t xml:space="preserve">Dawkins, M.S., 2021. The science of animal welfare: Understanding what animals want. Oxford University Press.</w:t>
      </w:r>
    </w:p>
    <w:bookmarkEnd w:id="79"/>
    <w:bookmarkStart w:id="81"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80">
        <w:r>
          <w:rPr>
            <w:rStyle w:val="Hyperlink"/>
          </w:rPr>
          <w:t xml:space="preserve">https://doi.org/10.3168/JDS.S0022-0302(03)74020-X</w:t>
        </w:r>
      </w:hyperlink>
    </w:p>
    <w:bookmarkEnd w:id="81"/>
    <w:bookmarkStart w:id="82"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82"/>
    <w:bookmarkStart w:id="84"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83">
        <w:r>
          <w:rPr>
            <w:rStyle w:val="Hyperlink"/>
          </w:rPr>
          <w:t xml:space="preserve">https://doi.org/10.3168/jds.2010-3147</w:t>
        </w:r>
      </w:hyperlink>
    </w:p>
    <w:bookmarkEnd w:id="84"/>
    <w:bookmarkStart w:id="85" w:name="ref-finkemeier2018"/>
    <w:p>
      <w:pPr>
        <w:pStyle w:val="Bibliography"/>
      </w:pPr>
      <w:r>
        <w:t xml:space="preserve">Finkemeier, M.-A., Langbein, J., Puppe, B., 2018. Personality research in mammalian farm animals: Concepts, measures, and relationship to welfare. Frontiers in veterinary science 5, 131.</w:t>
      </w:r>
    </w:p>
    <w:bookmarkEnd w:id="85"/>
    <w:bookmarkStart w:id="86" w:name="ref-flower2006effect"/>
    <w:p>
      <w:pPr>
        <w:pStyle w:val="Bibliography"/>
      </w:pPr>
      <w:r>
        <w:t xml:space="preserve">Flower, F., Weary, D., 2006. Effect of hoof pathologies on subjective assessments of dairy cow gait. Journal of dairy science 89, 139–146.</w:t>
      </w:r>
    </w:p>
    <w:bookmarkEnd w:id="86"/>
    <w:bookmarkStart w:id="88" w:name="ref-Foris2021"/>
    <w:p>
      <w:pPr>
        <w:pStyle w:val="Bibliography"/>
      </w:pPr>
      <w:r>
        <w:t xml:space="preserve">Foris, B., Haas, H.G., Langbein, J., Melzer, N., 2021. Familiarity influences social networks in dairy cows after regrouping. Journal of Dairy Science 104, 3485–3494.</w:t>
      </w:r>
      <w:r>
        <w:t xml:space="preserve"> </w:t>
      </w:r>
      <w:hyperlink r:id="rId87">
        <w:r>
          <w:rPr>
            <w:rStyle w:val="Hyperlink"/>
          </w:rPr>
          <w:t xml:space="preserve">https://doi.org/10.3168/jds.2020-18896</w:t>
        </w:r>
      </w:hyperlink>
    </w:p>
    <w:bookmarkEnd w:id="88"/>
    <w:bookmarkStart w:id="89"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89"/>
    <w:bookmarkStart w:id="91"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90">
        <w:r>
          <w:rPr>
            <w:rStyle w:val="Hyperlink"/>
          </w:rPr>
          <w:t xml:space="preserve">https://doi.org/10.1111/rssa.12378</w:t>
        </w:r>
      </w:hyperlink>
    </w:p>
    <w:bookmarkEnd w:id="91"/>
    <w:bookmarkStart w:id="93"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92">
        <w:r>
          <w:rPr>
            <w:rStyle w:val="Hyperlink"/>
          </w:rPr>
          <w:t xml:space="preserve">https://doi.org/10.2527/1995.7392791x</w:t>
        </w:r>
      </w:hyperlink>
    </w:p>
    <w:bookmarkEnd w:id="93"/>
    <w:bookmarkStart w:id="94" w:name="ref-hertel2020"/>
    <w:p>
      <w:pPr>
        <w:pStyle w:val="Bibliography"/>
      </w:pPr>
      <w:r>
        <w:t xml:space="preserve">Hertel, A.G., Niemelä, P.T., Dingemanse, N.J., Mueller, T., 2020. A guide for studying among-individual behavioral variation from movement data in the wild. Movement ecology 8, 30.</w:t>
      </w:r>
    </w:p>
    <w:bookmarkEnd w:id="94"/>
    <w:bookmarkStart w:id="96"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95">
        <w:r>
          <w:rPr>
            <w:rStyle w:val="Hyperlink"/>
          </w:rPr>
          <w:t xml:space="preserve">https://doi.org/10.3168/jds.2011-5038</w:t>
        </w:r>
      </w:hyperlink>
    </w:p>
    <w:bookmarkEnd w:id="96"/>
    <w:bookmarkStart w:id="97" w:name="ref-huzzey2014automatic"/>
    <w:p>
      <w:pPr>
        <w:pStyle w:val="Bibliography"/>
      </w:pPr>
      <w:r>
        <w:t xml:space="preserve">Huzzey, J., Weary, D., Tiau, B., Von Keyserlingk, M., 2014. Automatic detection of social competition using an electronic feeding system. Journal of dairy science 97, 2953–2958.</w:t>
      </w:r>
    </w:p>
    <w:bookmarkEnd w:id="97"/>
    <w:bookmarkStart w:id="98"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98"/>
    <w:bookmarkStart w:id="100"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99">
        <w:r>
          <w:rPr>
            <w:rStyle w:val="Hyperlink"/>
          </w:rPr>
          <w:t xml:space="preserve">https://doi.org/10.1016/0168-1591(91)90086-D</w:t>
        </w:r>
      </w:hyperlink>
    </w:p>
    <w:bookmarkEnd w:id="100"/>
    <w:bookmarkStart w:id="101"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101"/>
    <w:bookmarkStart w:id="103" w:name="ref-mitchell2020"/>
    <w:p>
      <w:pPr>
        <w:pStyle w:val="Bibliography"/>
      </w:pPr>
      <w:r>
        <w:t xml:space="preserve">Mitchell, D.J., Beckmann, C., Biro, P.A., 2021. Understanding the unexplained: The magnitude and correlates of individual differences in residual variance. Ecology and Evolution 11, 7201–7210.</w:t>
      </w:r>
      <w:r>
        <w:t xml:space="preserve"> </w:t>
      </w:r>
      <w:hyperlink r:id="rId102">
        <w:r>
          <w:rPr>
            <w:rStyle w:val="Hyperlink"/>
          </w:rPr>
          <w:t xml:space="preserve">https://doi.org/10.1002/ece3.7603</w:t>
        </w:r>
      </w:hyperlink>
    </w:p>
    <w:bookmarkEnd w:id="103"/>
    <w:bookmarkStart w:id="105"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04">
        <w:r>
          <w:rPr>
            <w:rStyle w:val="Hyperlink"/>
          </w:rPr>
          <w:t xml:space="preserve">https://doi.org/10.3168/jds.2017-14248</w:t>
        </w:r>
      </w:hyperlink>
    </w:p>
    <w:bookmarkEnd w:id="105"/>
    <w:bookmarkStart w:id="106"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06"/>
    <w:bookmarkStart w:id="108"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07">
        <w:r>
          <w:rPr>
            <w:rStyle w:val="Hyperlink"/>
          </w:rPr>
          <w:t xml:space="preserve">https://doi.org/10.3168/jds.S0022-0302(01)74692-9</w:t>
        </w:r>
      </w:hyperlink>
    </w:p>
    <w:bookmarkEnd w:id="108"/>
    <w:bookmarkStart w:id="110" w:name="ref-R-base"/>
    <w:p>
      <w:pPr>
        <w:pStyle w:val="Bibliography"/>
      </w:pPr>
      <w:r>
        <w:t xml:space="preserve">R Core Team, 2025.</w:t>
      </w:r>
      <w:r>
        <w:t xml:space="preserve"> </w:t>
      </w:r>
      <w:hyperlink r:id="rId109">
        <w:r>
          <w:rPr>
            <w:rStyle w:val="Hyperlink"/>
          </w:rPr>
          <w:t xml:space="preserve">R: A language and environment for statistical computing</w:t>
        </w:r>
      </w:hyperlink>
      <w:r>
        <w:t xml:space="preserve">. R Foundation for Statistical Computing, Vienna, Austria.</w:t>
      </w:r>
    </w:p>
    <w:bookmarkEnd w:id="110"/>
    <w:bookmarkStart w:id="111" w:name="ref-reale2007"/>
    <w:p>
      <w:pPr>
        <w:pStyle w:val="Bibliography"/>
      </w:pPr>
      <w:r>
        <w:t xml:space="preserve">Réale, D., Reader, S.M., Sol, D., McDougall, P.T., Dingemanse, N.J., 2007. Integrating animal temperament within ecology and evolution. Biological reviews 82, 291–318.</w:t>
      </w:r>
    </w:p>
    <w:bookmarkEnd w:id="111"/>
    <w:bookmarkStart w:id="113"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12">
        <w:r>
          <w:rPr>
            <w:rStyle w:val="Hyperlink"/>
          </w:rPr>
          <w:t xml:space="preserve">https://doi.org/10.1016/j.applanim.2018.12.012</w:t>
        </w:r>
      </w:hyperlink>
    </w:p>
    <w:bookmarkEnd w:id="113"/>
    <w:bookmarkStart w:id="115"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14">
        <w:r>
          <w:rPr>
            <w:rStyle w:val="Hyperlink"/>
          </w:rPr>
          <w:t xml:space="preserve">https://doi.org/10.1016/0377-0427(87)90125-7</w:t>
        </w:r>
      </w:hyperlink>
    </w:p>
    <w:bookmarkEnd w:id="115"/>
    <w:bookmarkStart w:id="116" w:name="ref-setser2024a"/>
    <w:p>
      <w:pPr>
        <w:pStyle w:val="Bibliography"/>
      </w:pPr>
      <w:r>
        <w:t xml:space="preserve">Setser, M.W., Neave, H., Costa, J., 2024b. Are you ready for a challenge? Personality traits influence dairy calves’ responses to disease, pain, and nutritional challenges. Journal of Dairy Science 107, 9821–9838.</w:t>
      </w:r>
    </w:p>
    <w:bookmarkEnd w:id="116"/>
    <w:bookmarkStart w:id="117" w:name="ref-setser2024b"/>
    <w:p>
      <w:pPr>
        <w:pStyle w:val="Bibliography"/>
      </w:pPr>
      <w:r>
        <w:t xml:space="preserve">Setser, M.W., Neave, H., Costa, J., 2024a. Individuality of calves: Linking personality traits to feeding and activity daily patterns measured by precision livestock technology. Journal of Dairy Science 107, 3235–3251.</w:t>
      </w:r>
    </w:p>
    <w:bookmarkEnd w:id="117"/>
    <w:bookmarkStart w:id="118"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18"/>
    <w:bookmarkStart w:id="120"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19">
        <w:r>
          <w:rPr>
            <w:rStyle w:val="Hyperlink"/>
          </w:rPr>
          <w:t xml:space="preserve">https://doi.org/10.1007/978-1-4615-7575-7_2</w:t>
        </w:r>
      </w:hyperlink>
    </w:p>
    <w:bookmarkEnd w:id="120"/>
    <w:bookmarkStart w:id="121"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21"/>
    <w:bookmarkStart w:id="122" w:name="ref-tolkamp1998satiety"/>
    <w:p>
      <w:pPr>
        <w:pStyle w:val="Bibliography"/>
      </w:pPr>
      <w:r>
        <w:t xml:space="preserve">Tolkamp, B., Allcroft, D., Austin, E., Nielsen, B.L., Kyriazakis, I., 1998. Satiety splits feeding behaviour into bouts. Journal of Theoretical Biology 194, 235–250.</w:t>
      </w:r>
    </w:p>
    <w:bookmarkEnd w:id="122"/>
    <w:bookmarkStart w:id="124"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23">
        <w:r>
          <w:rPr>
            <w:rStyle w:val="Hyperlink"/>
          </w:rPr>
          <w:t xml:space="preserve">https://doi.org/10.1214/20-BA1221</w:t>
        </w:r>
      </w:hyperlink>
    </w:p>
    <w:bookmarkEnd w:id="124"/>
    <w:bookmarkStart w:id="126" w:name="ref-webster2011personality"/>
    <w:p>
      <w:pPr>
        <w:pStyle w:val="Bibliography"/>
      </w:pPr>
      <w:r>
        <w:t xml:space="preserve">Webster, M.M., Ward, A.J., 2011. Personality and social context. Biological reviews 86, 759–773.</w:t>
      </w:r>
      <w:r>
        <w:t xml:space="preserve"> </w:t>
      </w:r>
      <w:hyperlink r:id="rId125">
        <w:r>
          <w:rPr>
            <w:rStyle w:val="Hyperlink"/>
          </w:rPr>
          <w:t xml:space="preserve">https://doi.org/10.1111/j.1469-185X.2010.00169.x</w:t>
        </w:r>
      </w:hyperlink>
    </w:p>
    <w:bookmarkEnd w:id="126"/>
    <w:bookmarkEnd w:id="127"/>
    <w:bookmarkEnd w:id="128"/>
    <w:bookmarkEnd w:id="129"/>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1106E"/>
    <w:rsid w:val="00041D18"/>
    <w:rsid w:val="0008104E"/>
    <w:rsid w:val="00342AB3"/>
    <w:rsid w:val="00417FC7"/>
    <w:rsid w:val="00472C8E"/>
    <w:rsid w:val="0060081F"/>
    <w:rsid w:val="00700BA6"/>
    <w:rsid w:val="008B5B9D"/>
    <w:rsid w:val="00BB1731"/>
    <w:rsid w:val="00C95531"/>
    <w:rsid w:val="00D82B74"/>
    <w:rsid w:val="00D82D1C"/>
    <w:rsid w:val="00E1106E"/>
    <w:rsid w:val="00E23478"/>
    <w:rsid w:val="00FA574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hyperlink" Id="rId27" Target="https://app.codecov.io/gh/skysheng7/moo4feed" TargetMode="External" /><Relationship Type="http://schemas.openxmlformats.org/officeDocument/2006/relationships/hyperlink" Id="rId102" Target="https://doi.org/10.1002/ece3.7603" TargetMode="External" /><Relationship Type="http://schemas.openxmlformats.org/officeDocument/2006/relationships/hyperlink" Id="rId119" Target="https://doi.org/10.1007/978-1-4615-7575-7_2" TargetMode="External" /><Relationship Type="http://schemas.openxmlformats.org/officeDocument/2006/relationships/hyperlink" Id="rId99" Target="https://doi.org/10.1016/0168-1591(91)90086-D" TargetMode="External" /><Relationship Type="http://schemas.openxmlformats.org/officeDocument/2006/relationships/hyperlink" Id="rId114" Target="https://doi.org/10.1016/0377-0427(87)90125-7" TargetMode="External" /><Relationship Type="http://schemas.openxmlformats.org/officeDocument/2006/relationships/hyperlink" Id="rId63" Target="https://doi.org/10.1016/j.anbehav.2008.12.022" TargetMode="External" /><Relationship Type="http://schemas.openxmlformats.org/officeDocument/2006/relationships/hyperlink" Id="rId112" Target="https://doi.org/10.1016/j.applanim.2018.12.012" TargetMode="External" /><Relationship Type="http://schemas.openxmlformats.org/officeDocument/2006/relationships/hyperlink" Id="rId77" Target="https://doi.org/10.1016/j.applanim.2024.106315" TargetMode="External" /><Relationship Type="http://schemas.openxmlformats.org/officeDocument/2006/relationships/hyperlink" Id="rId125" Target="https://doi.org/10.1111/j.1469-185X.2010.00169.x" TargetMode="External" /><Relationship Type="http://schemas.openxmlformats.org/officeDocument/2006/relationships/hyperlink" Id="rId90" Target="https://doi.org/10.1111/rssa.12378" TargetMode="External" /><Relationship Type="http://schemas.openxmlformats.org/officeDocument/2006/relationships/hyperlink" Id="rId72" Target="https://doi.org/10.1186/1745-6150-2-2" TargetMode="External" /><Relationship Type="http://schemas.openxmlformats.org/officeDocument/2006/relationships/hyperlink" Id="rId123" Target="https://doi.org/10.1214/20-BA1221" TargetMode="External" /><Relationship Type="http://schemas.openxmlformats.org/officeDocument/2006/relationships/hyperlink" Id="rId92" Target="https://doi.org/10.2527/1995.7392791x" TargetMode="External" /><Relationship Type="http://schemas.openxmlformats.org/officeDocument/2006/relationships/hyperlink" Id="rId61" Target="https://doi.org/10.2527/jas.2017.1593" TargetMode="External" /><Relationship Type="http://schemas.openxmlformats.org/officeDocument/2006/relationships/hyperlink" Id="rId80" Target="https://doi.org/10.3168/JDS.S0022-0302(03)74020-X" TargetMode="External" /><Relationship Type="http://schemas.openxmlformats.org/officeDocument/2006/relationships/hyperlink" Id="rId83" Target="https://doi.org/10.3168/jds.2010-3147" TargetMode="External" /><Relationship Type="http://schemas.openxmlformats.org/officeDocument/2006/relationships/hyperlink" Id="rId95" Target="https://doi.org/10.3168/jds.2011-5038" TargetMode="External" /><Relationship Type="http://schemas.openxmlformats.org/officeDocument/2006/relationships/hyperlink" Id="rId104" Target="https://doi.org/10.3168/jds.2017-14248" TargetMode="External" /><Relationship Type="http://schemas.openxmlformats.org/officeDocument/2006/relationships/hyperlink" Id="rId87" Target="https://doi.org/10.3168/jds.2020-18896" TargetMode="External" /><Relationship Type="http://schemas.openxmlformats.org/officeDocument/2006/relationships/hyperlink" Id="rId68" Target="https://doi.org/10.3168/jds.2022-23176" TargetMode="External" /><Relationship Type="http://schemas.openxmlformats.org/officeDocument/2006/relationships/hyperlink" Id="rId107" Target="https://doi.org/10.3168/jds.S0022-0302(01)74692-9" TargetMode="External" /><Relationship Type="http://schemas.openxmlformats.org/officeDocument/2006/relationships/hyperlink" Id="rId66"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09"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7" Target="https://app.codecov.io/gh/skysheng7/moo4feed" TargetMode="External" /><Relationship Type="http://schemas.openxmlformats.org/officeDocument/2006/relationships/hyperlink" Id="rId102" Target="https://doi.org/10.1002/ece3.7603" TargetMode="External" /><Relationship Type="http://schemas.openxmlformats.org/officeDocument/2006/relationships/hyperlink" Id="rId119" Target="https://doi.org/10.1007/978-1-4615-7575-7_2" TargetMode="External" /><Relationship Type="http://schemas.openxmlformats.org/officeDocument/2006/relationships/hyperlink" Id="rId99" Target="https://doi.org/10.1016/0168-1591(91)90086-D" TargetMode="External" /><Relationship Type="http://schemas.openxmlformats.org/officeDocument/2006/relationships/hyperlink" Id="rId114" Target="https://doi.org/10.1016/0377-0427(87)90125-7" TargetMode="External" /><Relationship Type="http://schemas.openxmlformats.org/officeDocument/2006/relationships/hyperlink" Id="rId63" Target="https://doi.org/10.1016/j.anbehav.2008.12.022" TargetMode="External" /><Relationship Type="http://schemas.openxmlformats.org/officeDocument/2006/relationships/hyperlink" Id="rId112" Target="https://doi.org/10.1016/j.applanim.2018.12.012" TargetMode="External" /><Relationship Type="http://schemas.openxmlformats.org/officeDocument/2006/relationships/hyperlink" Id="rId77" Target="https://doi.org/10.1016/j.applanim.2024.106315" TargetMode="External" /><Relationship Type="http://schemas.openxmlformats.org/officeDocument/2006/relationships/hyperlink" Id="rId125" Target="https://doi.org/10.1111/j.1469-185X.2010.00169.x" TargetMode="External" /><Relationship Type="http://schemas.openxmlformats.org/officeDocument/2006/relationships/hyperlink" Id="rId90" Target="https://doi.org/10.1111/rssa.12378" TargetMode="External" /><Relationship Type="http://schemas.openxmlformats.org/officeDocument/2006/relationships/hyperlink" Id="rId72" Target="https://doi.org/10.1186/1745-6150-2-2" TargetMode="External" /><Relationship Type="http://schemas.openxmlformats.org/officeDocument/2006/relationships/hyperlink" Id="rId123" Target="https://doi.org/10.1214/20-BA1221" TargetMode="External" /><Relationship Type="http://schemas.openxmlformats.org/officeDocument/2006/relationships/hyperlink" Id="rId92" Target="https://doi.org/10.2527/1995.7392791x" TargetMode="External" /><Relationship Type="http://schemas.openxmlformats.org/officeDocument/2006/relationships/hyperlink" Id="rId61" Target="https://doi.org/10.2527/jas.2017.1593" TargetMode="External" /><Relationship Type="http://schemas.openxmlformats.org/officeDocument/2006/relationships/hyperlink" Id="rId80" Target="https://doi.org/10.3168/JDS.S0022-0302(03)74020-X" TargetMode="External" /><Relationship Type="http://schemas.openxmlformats.org/officeDocument/2006/relationships/hyperlink" Id="rId83" Target="https://doi.org/10.3168/jds.2010-3147" TargetMode="External" /><Relationship Type="http://schemas.openxmlformats.org/officeDocument/2006/relationships/hyperlink" Id="rId95" Target="https://doi.org/10.3168/jds.2011-5038" TargetMode="External" /><Relationship Type="http://schemas.openxmlformats.org/officeDocument/2006/relationships/hyperlink" Id="rId104" Target="https://doi.org/10.3168/jds.2017-14248" TargetMode="External" /><Relationship Type="http://schemas.openxmlformats.org/officeDocument/2006/relationships/hyperlink" Id="rId87" Target="https://doi.org/10.3168/jds.2020-18896" TargetMode="External" /><Relationship Type="http://schemas.openxmlformats.org/officeDocument/2006/relationships/hyperlink" Id="rId68" Target="https://doi.org/10.3168/jds.2022-23176" TargetMode="External" /><Relationship Type="http://schemas.openxmlformats.org/officeDocument/2006/relationships/hyperlink" Id="rId107" Target="https://doi.org/10.3168/jds.S0022-0302(01)74692-9" TargetMode="External" /><Relationship Type="http://schemas.openxmlformats.org/officeDocument/2006/relationships/hyperlink" Id="rId66"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09"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behaviour signatures through electronic feeder and drinker data</dc:title>
  <dc:creator>Kehan Sheng1, Borbala Foris1,2, Daniel M. Weary1, Marina A.G. von Keyserlingk1</dc:creator>
  <cp:keywords/>
  <dcterms:created xsi:type="dcterms:W3CDTF">2026-05-07T05:27:16Z</dcterms:created>
  <dcterms:modified xsi:type="dcterms:W3CDTF">2026-05-07T05:27:16Z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