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1" w:name="abstract"/>
    <w:p>
      <w:pPr>
        <w:pStyle w:val="Heading1"/>
      </w:pPr>
      <w:r>
        <w:t xml:space="preserve">Abstract</w:t>
      </w:r>
    </w:p>
    <w:p>
      <w:pPr>
        <w:pStyle w:val="FirstParagraph"/>
      </w:pPr>
      <w:r>
        <w:t xml:space="preserve">Individual animals living in the same captive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behavioural profiles within social groups, without isolating animals for individual testing, reducing time and labour costs. Using 107 lactating Holstein dairy cows tracked over 207 days, we extracted 16 behavioural variables from electronic feed bin and water trough data, capturing conventional metrics (feeding and drinking intake, duration and meal frequency) alongside exploratory behaviour (non-nutritive visits), social competition (agonistic replacement events), and indicators of feed quality upon access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 herd majority”</w:t>
      </w:r>
      <w:r>
        <w:t xml:space="preserve"> </w:t>
      </w:r>
      <w:r>
        <w:t xml:space="preserve">(the majority of the herd,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behavioural profiles that would be largely invisible when using generic group-level analyses. This framework may help future researchers identify which cows are most susceptible to negative impacts when housed in competitive environments. To make this approach reproducible and accessible across species and systems, we developed moo4feed (</w:t>
      </w:r>
      <w:hyperlink r:id="rId20">
        <w:r>
          <w:rPr>
            <w:rStyle w:val="Hyperlink"/>
          </w:rPr>
          <w:t xml:space="preserve">https://www.skysheng.io/moo4feed/</w:t>
        </w:r>
      </w:hyperlink>
      <w:r>
        <w:t xml:space="preserve">), an open-source R package designed to extract individual behavioural variables from raw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1"/>
    <w:bookmarkStart w:id="22"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behaviour of individuals within the group, which is in turn modulated by the environment, management, health status of the individuals,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 is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w:t>
      </w:r>
      <w:r>
        <w:t xml:space="preserve"> </w:t>
      </w:r>
      <w:hyperlink w:anchor="ref-phillips2001effects">
        <w:r>
          <w:rPr>
            <w:rStyle w:val="Hyperlink"/>
          </w:rPr>
          <w:t xml:space="preserve">Phillips and Rind, 2001</w:t>
        </w:r>
      </w:hyperlink>
      <w:r>
        <w:t xml:space="preserve">)</w:t>
      </w:r>
      <w:r>
        <w:t xml:space="preserve">. Both approaches are labour-intensive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behaviour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Canada:</w:t>
      </w:r>
      <w:r>
        <w:t xml:space="preserve"> </w:t>
      </w:r>
      <w:hyperlink w:anchor="ref-huzzey2014automatic">
        <w:r>
          <w:rPr>
            <w:rStyle w:val="Hyperlink"/>
          </w:rPr>
          <w:t xml:space="preserve">Huzzey et al., 2014</w:t>
        </w:r>
      </w:hyperlink>
      <w:r>
        <w:t xml:space="preserve">; United States:</w:t>
      </w:r>
      <w:r>
        <w:t xml:space="preserve"> </w:t>
      </w:r>
      <w:hyperlink w:anchor="ref-allwardt2017technical">
        <w:r>
          <w:rPr>
            <w:rStyle w:val="Hyperlink"/>
          </w:rPr>
          <w:t xml:space="preserve">Allwardt et al., 2017</w:t>
        </w:r>
      </w:hyperlink>
      <w:r>
        <w:t xml:space="preserve">; Germany:</w:t>
      </w:r>
      <w:r>
        <w:t xml:space="preserve"> </w:t>
      </w:r>
      <w:hyperlink w:anchor="ref-Foris2021">
        <w:r>
          <w:rPr>
            <w:rStyle w:val="Hyperlink"/>
          </w:rPr>
          <w:t xml:space="preserve">Foris et al., 2021</w:t>
        </w:r>
      </w:hyperlink>
      <w:r>
        <w:t xml:space="preserve">; New Zealand:</w:t>
      </w:r>
      <w:r>
        <w:t xml:space="preserve"> </w:t>
      </w:r>
      <w:hyperlink w:anchor="ref-biswas2022methane">
        <w:r>
          <w:rPr>
            <w:rStyle w:val="Hyperlink"/>
          </w:rPr>
          <w:t xml:space="preserve">Biswas et al., 2022</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dairy cows:</w:t>
      </w:r>
      <w:r>
        <w:t xml:space="preserve"> </w:t>
      </w:r>
      <w:hyperlink w:anchor="ref-thomas2024">
        <w:r>
          <w:rPr>
            <w:rStyle w:val="Hyperlink"/>
          </w:rPr>
          <w:t xml:space="preserve">Thomas et al., 2024</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contains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behavioural summaries cannot.</w:t>
      </w:r>
    </w:p>
    <w:p>
      <w:pPr>
        <w:pStyle w:val="BodyText"/>
      </w:pPr>
      <w:r>
        <w:t xml:space="preserve">To date, however, no comprehensive and accessible framework exists for extracting these higher-resolution behavioural variables from raw electronic feeder and drinker data. A framework that automates this extraction would allow individual animals to be characterized routinely within groups, including those who may be more susceptible to distress due to maladaptive feeding or social strategies. Data cleaning rules also differ across labs and are rarely shared in a reusable form, which limits both reproducibility across studies and the routine application of these measures in dairy research</w:t>
      </w:r>
      <w:r>
        <w:t xml:space="preserve"> </w:t>
      </w:r>
      <w:r>
        <w:t xml:space="preserve">(</w:t>
      </w:r>
      <w:hyperlink w:anchor="ref-wilkinson2016fair">
        <w:r>
          <w:rPr>
            <w:rStyle w:val="Hyperlink"/>
          </w:rPr>
          <w:t xml:space="preserve">Wilkinson et al., 2016</w:t>
        </w:r>
      </w:hyperlink>
      <w:r>
        <w:t xml:space="preserve">)</w:t>
      </w:r>
      <w:r>
        <w:t xml:space="preserve">.</w:t>
      </w:r>
    </w:p>
    <w:p>
      <w:pPr>
        <w:pStyle w:val="BodyText"/>
      </w:pPr>
      <w:r>
        <w:t xml:space="preserve">The primary aim of this study was to quantify individual-level behavioural consistency and among-individual differences in dairy cattle feeding and social behaviours captured from an electronic feeding system; we used repeatability and predictability to identify which behaviours are most informative for characterizing individual differences. A secondary aim was to identify distinct behavioural profiles based on the most consistent among-individual differences, and to demonstrate how these measures could characterize the diversity of feeding and social strategies present within a herd. To make these analyses reproducible and to enable broader application of the approach across species and researchers with varying technical backgrounds, we developed moo4feed (</w:t>
      </w:r>
      <w:hyperlink r:id="rId20">
        <w:r>
          <w:rPr>
            <w:rStyle w:val="Hyperlink"/>
          </w:rPr>
          <w:t xml:space="preserve">https://www.skysheng.io/moo4feed/</w:t>
        </w:r>
      </w:hyperlink>
      <w:r>
        <w:t xml:space="preserve">), an easy-to-use open-source R package that processes raw electronic feeder and drinker data, extracts both standard and higher-resolution behavioural variables.</w:t>
      </w:r>
    </w:p>
    <w:bookmarkEnd w:id="22"/>
    <w:bookmarkStart w:id="34" w:name="methods"/>
    <w:p>
      <w:pPr>
        <w:pStyle w:val="Heading1"/>
      </w:pPr>
      <w:r>
        <w:t xml:space="preserve">2. Methods</w:t>
      </w:r>
    </w:p>
    <w:bookmarkStart w:id="23" w:name="animals-housing-and-data-collection"/>
    <w:p>
      <w:pPr>
        <w:pStyle w:val="Heading2"/>
      </w:pPr>
      <w:r>
        <w:t xml:space="preserve">2.1 Animals, Housing, and Data Collection</w:t>
      </w:r>
    </w:p>
    <w:p>
      <w:pPr>
        <w:pStyle w:val="FirstParagraph"/>
      </w:pPr>
      <w:r>
        <w:t xml:space="preserve">Data were collected as part of a previous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w:t>
      </w:r>
    </w:p>
    <w:bookmarkEnd w:id="23"/>
    <w:bookmarkStart w:id="24"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analyzed reflected the behavioural baseline patterns of cows when they are healthy not lame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loss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not pregnant)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can potentially disturb the behaviour of all other cows in the group (55 estrus events, 2,381 cow-days)</w:t>
      </w:r>
      <w:r>
        <w:t xml:space="preserve"> </w:t>
      </w:r>
      <w:r>
        <w:t xml:space="preserve">(</w:t>
      </w:r>
      <w:hyperlink w:anchor="ref-reith2018behavioral">
        <w:r>
          <w:rPr>
            <w:rStyle w:val="Hyperlink"/>
          </w:rPr>
          <w:t xml:space="preserve">Reith and Hoy, 2018</w:t>
        </w:r>
      </w:hyperlink>
      <w:r>
        <w:t xml:space="preserve">)</w:t>
      </w:r>
      <w:r>
        <w:t xml:space="preserve">.</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r>
        <w:t xml:space="preserve"> </w:t>
      </w:r>
      <w:r>
        <w:t xml:space="preserve">(</w:t>
      </w:r>
      <w:hyperlink w:anchor="ref-von2008acute">
        <w:r>
          <w:rPr>
            <w:rStyle w:val="Hyperlink"/>
          </w:rPr>
          <w:t xml:space="preserve">von Keyserlingk et al., 2008</w:t>
        </w:r>
      </w:hyperlink>
      <w:r>
        <w:t xml:space="preserve">)</w:t>
      </w:r>
      <w:r>
        <w:t xml:space="preserve">.</w:t>
      </w:r>
    </w:p>
    <w:p>
      <w:pPr>
        <w:pStyle w:val="FirstParagraph"/>
      </w:pPr>
      <w:r>
        <w:t xml:space="preserve">After filtering, 107 cows contributed data across 207 days (10-130 days of observation per cow), resulting in the retention of 6226 unique cow-days were retained.</w:t>
      </w:r>
    </w:p>
    <w:bookmarkEnd w:id="24"/>
    <w:bookmarkStart w:id="26" w:name="behavioural-variable-extraction"/>
    <w:p>
      <w:pPr>
        <w:pStyle w:val="Heading2"/>
      </w:pPr>
      <w:r>
        <w:t xml:space="preserve">2.3 Behavioural Variable Extraction</w:t>
      </w:r>
    </w:p>
    <w:p>
      <w:pPr>
        <w:pStyle w:val="FirstParagraph"/>
      </w:pPr>
      <w:r>
        <w:t xml:space="preserve">To process the raw feeding and drinking data and extract meaningful behavioural variables, we developed an open-source R package,</w:t>
      </w:r>
      <w:r>
        <w:t xml:space="preserve"> </w:t>
      </w:r>
      <w:r>
        <w:t xml:space="preserve">‘moo4feed’</w:t>
      </w:r>
      <w:r>
        <w:t xml:space="preserve"> </w:t>
      </w:r>
      <w:r>
        <w:t xml:space="preserve">(</w:t>
      </w:r>
      <w:hyperlink r:id="rId20">
        <w:r>
          <w:rPr>
            <w:rStyle w:val="Hyperlink"/>
          </w:rPr>
          <w:t xml:space="preserve">https://www.skysheng.io/moo4feed/</w:t>
        </w:r>
      </w:hyperlink>
      <w:r>
        <w:t xml:space="preserve">),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During fall-back transitions (when clocks move back one hour, causing chronological order of visits within the repeated hour to be ambiguous), we removed all visits from the duplicated hour, since it is not possible to determine the true chronological order, and adjusted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and thus no hard-coded numerical threshold applies. Action: Flag = abnormal record is retained and sent to researchers on the farm to review for bin health check; Correct = the record is automatically corrected; Remove = the record is deleted from the dataset. For negative weight corrections, feed or water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(SD)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daily feed intake (kg), (ii) daily feeding duration (s), (iii) daily feeding visits, (iv) daily water intake (L), (v) daily drinking duration (s), and (vi) daily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foris2019automatic">
        <w:r>
          <w:rPr>
            <w:rStyle w:val="Hyperlink"/>
          </w:rPr>
          <w:t xml:space="preserve">Foris et al., 2019</w:t>
        </w:r>
      </w:hyperlink>
      <w:r>
        <w:t xml:space="preserve">; see</w:t>
      </w:r>
      <w:r>
        <w:t xml:space="preserve"> </w:t>
      </w:r>
      <w:hyperlink w:anchor="ref-huzzey2014automatic">
        <w:r>
          <w:rPr>
            <w:rStyle w:val="Hyperlink"/>
          </w:rPr>
          <w:t xml:space="preserve">Huzzey et al., 2014</w:t>
        </w:r>
      </w:hyperlink>
      <w:r>
        <w:t xml:space="preserve">)</w:t>
      </w:r>
      <w:r>
        <w:t xml:space="preserve">. In brief,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summarized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w:t>
      </w:r>
      <w:r>
        <w:t xml:space="preserve"> </w:t>
      </w:r>
      <w:hyperlink r:id="rId25">
        <w:r>
          <w:rPr>
            <w:rStyle w:val="Hyperlink"/>
          </w:rPr>
          <w:t xml:space="preserve">https://www.skysheng.io/moo4feed/articles/meal_clustering.html</w:t>
        </w:r>
      </w:hyperlink>
      <w:r>
        <w:t xml:space="preserve">).</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recognize that this set is not exhaustive as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6"/>
    <w:bookmarkStart w:id="27"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temperature-humidity index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 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greatly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similar amounts of feed every day, while others fluctuate their intake substantially across days. A low CVP value means that cows are similar to each other in their predictability: whether that means all cows are highly consistent, or all cows are highly variable is not known, but there is little difference between individuals in their within-individual consistency.</w:t>
      </w:r>
    </w:p>
    <w:p>
      <w:pPr>
        <w:pStyle w:val="BodyText"/>
      </w:pPr>
      <w:r>
        <w:rPr>
          <w:b/>
          <w:bCs/>
        </w:rPr>
        <w:t xml:space="preserve">Behavioural variable clustering.</w:t>
      </w:r>
      <w:r>
        <w:t xml:space="preserve"> </w:t>
      </w:r>
      <w:r>
        <w:t xml:space="preserve">To organize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behavioural profiles.</w:t>
      </w:r>
      <w:r>
        <w:t xml:space="preserve"> </w:t>
      </w:r>
      <w:r>
        <w:t xml:space="preserve">For each cow and each behavioural variable in the cluster with the highest CVi and R (i.e., Cluster 1), we extracted the individual intercept from the posterior distribution: the population intercept plus each cow’s random effect (back-transformed to the original scale for lognormal models). This provided us with a representation of a cow’s average behavioural type (i.e., a cow’s typical expression of their behaviour).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the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7"/>
    <w:bookmarkStart w:id="33"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0">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1"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Indeed, among all variables we evaluated, the agonistic and non-nutritive visiting frequencies were the most individually distinguishing behaviours in this study. Conversely,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are driven by the low within-individual variance. In other words, each cow is very consistent within themselves from day to day, causing the R to be inflated by the low residual (within-individual) variance rather than by high among-individual variance. Variables ranked near the top on both R and CVi (e.g., daily non-nutritive visits, daily drinking duration), represent the biological meaningful candidates for individual profiling, since cows differ from one another and behave consistently for those differences to be detectable from repeated observations.</w:t>
      </w: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This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were only about 1.2 times more variable than the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 high R, high CVi</w:t>
      </w:r>
      <w:r>
        <w:t xml:space="preserve"> </w:t>
      </w:r>
      <w:r>
        <w:t xml:space="preserve">contained 8 variables: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 high R, low CVi</w:t>
      </w:r>
      <w:r>
        <w:t xml:space="preserve"> </w:t>
      </w:r>
      <w:r>
        <w:t xml:space="preserve">contained 3 variables: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 low R, low CVi</w:t>
      </w:r>
      <w:r>
        <w:t xml:space="preserve"> </w:t>
      </w:r>
      <w:r>
        <w:t xml:space="preserve">contained 5 variables: median meal duration, median feed intake per meal, daily meals, median proportion of feed remaining at visit start, daily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2"/>
    <w:bookmarkStart w:id="49"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behavioural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pPr>
        <w:pStyle w:val="BodyText"/>
      </w:pPr>
      <w:r>
        <w:rPr>
          <w:b/>
          <w:bCs/>
        </w:rPr>
        <w:t xml:space="preserve">Table 3.</w:t>
      </w:r>
      <w:r>
        <w:t xml:space="preserve"> </w:t>
      </w:r>
      <w:r>
        <w:t xml:space="preserve">Varimax-rotated PCA loadings for the 8 Behaviour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3">
        <w:r>
          <w:rPr>
            <w:rStyle w:val="Hyperlink"/>
          </w:rPr>
          <w:t xml:space="preserve">https://www.skysheng.io/moo4feed_decoding_animal/</w:t>
        </w:r>
      </w:hyperlink>
      <w:r>
        <w:t xml:space="preserve">.</w:t>
      </w:r>
    </w:p>
    <w:p>
      <w:pPr>
        <w:pStyle w:val="BodyText"/>
      </w:pPr>
    </w:p>
    <w:p>
      <w:pPr>
        <w:pStyle w:val="BodyText"/>
      </w:pPr>
    </w:p>
    <w:bookmarkStart w:id="48" w:name="cell-fig-pca-biplots"/>
    <w:tbl>
      <w:tblPr>
        <w:tblStyle w:val="Table"/>
        <w:tblW w:type="pct" w:w="5000"/>
        <w:tblLayout w:type="fixed"/>
        <w:tblLook w:firstRow="0" w:lastRow="0" w:firstColumn="0" w:lastColumn="0" w:noHBand="0" w:noVBand="0" w:val="0000"/>
      </w:tblPr>
      <w:tblGrid>
        <w:gridCol w:w="7920"/>
      </w:tblGrid>
      <w:tr>
        <w:tc>
          <w:tcPr/>
          <w:bookmarkStart w:id="47" w:name="fig-pca-biplots"/>
          <w:p>
            <w:pPr>
              <w:pStyle w:val="Compact"/>
              <w:jc w:val="center"/>
            </w:pPr>
            <w:r>
              <w:drawing>
                <wp:inline>
                  <wp:extent cx="5943600" cy="2674620"/>
                  <wp:effectExtent b="0" l="0" r="0" t="0"/>
                  <wp:docPr descr="" title="" id="45" name="Picture"/>
                  <a:graphic>
                    <a:graphicData uri="http://schemas.openxmlformats.org/drawingml/2006/picture">
                      <pic:pic>
                        <pic:nvPicPr>
                          <pic:cNvPr descr="results/15_pca_clustering/pca_M3_c1_int_biplot_clusters_AB.png" id="46" name="Picture"/>
                          <pic:cNvPicPr>
                            <a:picLocks noChangeArrowheads="1" noChangeAspect="1"/>
                          </pic:cNvPicPr>
                        </pic:nvPicPr>
                        <pic:blipFill>
                          <a:blip r:embed="rId44"/>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coloured by k-means cluster assignment (coral orange for Cluster 1, pink for Cluster 2, purple for Cluster 3, and blue for Cluster 4); arrows represent variable loadings scaled to the score space. Ellipses show 95% confidence regions around each cluster centroid.</w:t>
            </w:r>
          </w:p>
          <w:bookmarkEnd w:id="47"/>
        </w:tc>
      </w:tr>
    </w:tbl>
    <w:bookmarkEnd w:id="48"/>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characterized as follows:</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behaviours, and meal patterns are otherwise unremarkable. These cows likely benefit from preferential access to feed bins.</w:t>
      </w:r>
    </w:p>
    <w:bookmarkEnd w:id="49"/>
    <w:bookmarkStart w:id="50" w:name="individual-cow-stories"/>
    <w:p>
      <w:pPr>
        <w:pStyle w:val="Heading2"/>
      </w:pPr>
      <w:r>
        <w:t xml:space="preserve">3.5 Individual Cow Stories</w:t>
      </w:r>
    </w:p>
    <w:p>
      <w:pPr>
        <w:pStyle w:val="FirstParagraph"/>
      </w:pPr>
      <w:r>
        <w:t xml:space="preserve">We selected one cow from each of the 4 clusters and describe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rarely replaces other cows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continues to feed from that bin for a long time. Being frequently replaced does not contradict a long feeding duration: it means she may indeed be eventually displaced after a sustained bout. Her daily feeding duration is long (388.2 min, 87th percentile), and a very high fraction of her meal time is spent with her occupying a feed bin rather than waiting to enter a bin (median percentage of time spent feeding per meal: 90.45%, 92th percentile). This feeding strategy is combined with a high median intake per meal (9.55 kg, 84th percentile). Consistent with this feeding style, her non-nutritive behaviour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below the herd median. She simply keeps returning to the drinkers throughout the day in many short bouts. Her feeding-related variables are within the low to median range in the herd (feeding visits per day: 98.08, 57th percentile; median visits per meal: 10.67, 37th percentile). Although she spent on median 76.15% of the time feeding within a meal, this is well below the herd median (16th percentile); her median intake per meal is also considerably low (6.81 kg, 13th percentile). Her non-nutritive behaviour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anchors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feed bins constantly and pulls her head in and out of bins many times per meal. Although her meals are unusually long (median meal duration: 92.0 min, 98th percentile), only 57.21% of her meal is spent occupying a feed bin (1st percentile, the lowest in the herd), meaning that on average, she spent about half of her meal time standing and waiting next to the feed bins instead of actually occupying a feed bin. Her cumulative daily feeding duration is low (310.5 min, 8th percentile), but surprisingly, her daily feed intake is still high (72.50 kg, 94th percentile); and her median intake per meal is near the top of the herd (10.43 kg, 97th percentile), meaning that even during brief moments when she occupied the feed bins,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behaviour is within the normal range. Her daily drinking duration (13.7 min, 76th percentile) is modestly above the herd median, and she has relatively more drinking visits per day than average cow (11.87, 88th percentile). In sum, cow 5042’s time at the feeding area is made up of many short, interrupted visits rather than sustained feeding; but when she manages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meal is efficient with a moderately high fraction of meal time spent occupying a feed bin (median percentage of time spent feeding per meal: 84.94%, 65th percentile), yielding an above-average median intake per meal (9.55 kg, 85th percentile) and a high daily feed intake (69.60, 81th percentile). Her non-nutritive behaviour is on the lower side (daily non-nutritive visits: 33.50, 35th percentile; median non-nutritive per meal: 4.24, 38th percentile), and her drinking profile is unremarkable (daily drinking duration: 12.4 min, 66th percentile; daily drinking visits: 9.00, 56th percentile). Cow 5120 is efficient, namely when she wants to feed, she goes directly to the bin she wants, replacing whoever is there. Her feeding time is largely uninterrupted by other cows.</w:t>
      </w:r>
    </w:p>
    <w:bookmarkEnd w:id="50"/>
    <w:bookmarkEnd w:id="51"/>
    <w:bookmarkStart w:id="57" w:name="discussion"/>
    <w:p>
      <w:pPr>
        <w:pStyle w:val="Heading1"/>
      </w:pPr>
      <w:r>
        <w:t xml:space="preserve">4. Discussion</w:t>
      </w:r>
    </w:p>
    <w:p>
      <w:pPr>
        <w:pStyle w:val="FirstParagraph"/>
      </w:pPr>
      <w:r>
        <w:t xml:space="preserve">This study demonstrates that existing data streams from electronic feeders and drinkers contain far richer behavioural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characterize four distinct cow types within the herd.</w:t>
      </w:r>
    </w:p>
    <w:bookmarkStart w:id="52"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(daily drinking duration), with most variables falling between 0.38 and 0.64. This places the majority of our behavioural variables above the cross-species average, indicating that the behaviours captured from electronic feeders and drinkers likely reflect stable individual differences.</w:t>
      </w:r>
    </w:p>
    <w:p>
      <w:pPr>
        <w:pStyle w:val="BodyText"/>
      </w:pPr>
      <w:r>
        <w:t xml:space="preserve">Two methodological points are worth noting when comparing our results to previous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Neave et al.</w:t>
      </w:r>
      <w:r>
        <w:t xml:space="preserve"> </w:t>
      </w:r>
      <w:r>
        <w:t xml:space="preserve">(</w:t>
      </w:r>
      <w:hyperlink w:anchor="ref-neave2020long">
        <w:r>
          <w:rPr>
            <w:rStyle w:val="Hyperlink"/>
          </w:rPr>
          <w:t xml:space="preserve">2020</w:t>
        </w:r>
      </w:hyperlink>
      <w:r>
        <w:t xml:space="preserve">)</w:t>
      </w:r>
      <w:r>
        <w:t xml:space="preserve"> </w:t>
      </w:r>
      <w:r>
        <w:t xml:space="preserve">found that bold and exploratory traits were consistent within each rearing period (before and after weaning; after puberty to first lactation), but were not consistent across the pubertal transition, suggesting that major physiological changes at sexual maturation can disrupt previously stable behavioural profiles.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(daily drinking duration: 0.74; daily feeding visits: 0.68; daily non-nutritive visits: 0.64) capture behaviours that have never been assessed for repeatability before, and have no published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previous work: by removing days disrupted by illness, lameness, estrus, and regrouping, we restricted our analyses to a stable behavioural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2"/>
    <w:bookmarkStart w:id="53" w:name="Xcf6d434faa0176b9ddbe0057f7d2f8999a28949"/>
    <w:p>
      <w:pPr>
        <w:pStyle w:val="Heading2"/>
      </w:pPr>
      <w:r>
        <w:t xml:space="preserve">4.2 Novel behavioural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Daily actor events (CVi = 0.47 [0.40, 0.54]) and daily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3"/>
    <w:bookmarkStart w:id="54" w:name="behavioural-profiles-and-cow-types"/>
    <w:p>
      <w:pPr>
        <w:pStyle w:val="Heading2"/>
      </w:pPr>
      <w:r>
        <w:t xml:space="preserve">4.3 Behavioural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However, the patterns we observed are consistent with the personality framework as behavioural differences were not explained purely by the fixed effects in our models. These sensor-derived behavioural profiles appear to reflect some personality-like traits. It is also worth noting that cows in this study were overstocked at the feeder (48 cows for 30 feed bins), which would increase competition for feed access</w:t>
      </w:r>
      <w:r>
        <w:t xml:space="preserve"> </w:t>
      </w:r>
      <w:r>
        <w:t xml:space="preserve">(</w:t>
      </w:r>
      <w:hyperlink w:anchor="ref-sheng2024redefining">
        <w:r>
          <w:rPr>
            <w:rStyle w:val="Hyperlink"/>
          </w:rPr>
          <w:t xml:space="preserve">Sheng et al., 2024</w:t>
        </w:r>
      </w:hyperlink>
      <w:r>
        <w:t xml:space="preserve">)</w:t>
      </w:r>
      <w:r>
        <w:t xml:space="preserve">. Thus, the behavioural profiles we identified may be a reflection of coping strategies cows developed to access resources under high competition, rather than personality traits</w:t>
      </w:r>
      <w:r>
        <w:t xml:space="preserve"> </w:t>
      </w:r>
      <w:r>
        <w:t xml:space="preserve">(</w:t>
      </w:r>
      <w:hyperlink w:anchor="ref-schwanke2025graduate">
        <w:r>
          <w:rPr>
            <w:rStyle w:val="Hyperlink"/>
          </w:rPr>
          <w:t xml:space="preserve">Schwanke and DeVries, 2025</w:t>
        </w:r>
      </w:hyperlink>
      <w:r>
        <w:t xml:space="preserve">)</w:t>
      </w:r>
      <w:r>
        <w:t xml:space="preserve">.</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in intensive and competitive environment,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hydration needs. Cow 7150, whose case we highlighted in detail, showed long drinking durations and frequent drinker visits during a period when THI remained consistently below 68, ruling out heat load as an explanation</w:t>
      </w:r>
      <w:r>
        <w:t xml:space="preserve"> </w:t>
      </w:r>
      <w:r>
        <w:t xml:space="preserve">(</w:t>
      </w:r>
      <w:hyperlink w:anchor="ref-McDonald2020">
        <w:r>
          <w:rPr>
            <w:rStyle w:val="Hyperlink"/>
          </w:rPr>
          <w:t xml:space="preserve">McDonald et al., 2020</w:t>
        </w:r>
      </w:hyperlink>
      <w:r>
        <w:t xml:space="preserve">)</w:t>
      </w:r>
      <w:r>
        <w:t xml:space="preserve">.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4"/>
    <w:bookmarkStart w:id="55"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previous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5"/>
    <w:bookmarkStart w:id="56"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is generalizable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explore the temporal and spatial dimensions of feeding behaviour. Our analyses characterized what cows do on average across the day, but not when or where they choose to compete for access to food and water.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6"/>
    <w:bookmarkEnd w:id="57"/>
    <w:bookmarkStart w:id="58"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behavioural profiles. Using dairy cows as an example, we demonstrate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8"/>
    <w:bookmarkStart w:id="59"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9"/>
    <w:bookmarkStart w:id="60"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60"/>
    <w:bookmarkStart w:id="61"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1"/>
    <w:bookmarkStart w:id="163"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62" w:name="references"/>
    <w:p>
      <w:pPr>
        <w:pStyle w:val="Heading2"/>
      </w:pPr>
      <w:r>
        <w:t xml:space="preserve">References</w:t>
      </w:r>
    </w:p>
    <w:bookmarkStart w:id="161" w:name="refs"/>
    <w:bookmarkStart w:id="63"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2">
        <w:r>
          <w:rPr>
            <w:rStyle w:val="Hyperlink"/>
          </w:rPr>
          <w:t xml:space="preserve">https://doi.org/10.2527/jas.2017.1593</w:t>
        </w:r>
      </w:hyperlink>
    </w:p>
    <w:bookmarkEnd w:id="63"/>
    <w:bookmarkStart w:id="65" w:name="ref-Bell2009"/>
    <w:p>
      <w:pPr>
        <w:pStyle w:val="Bibliography"/>
      </w:pPr>
      <w:r>
        <w:t xml:space="preserve">Bell, A.M., Hankison, S.J., Laskowski, K.L., 2009. The repeatability of behaviour: A meta-analysis. Animal Behaviour 77, 771–783.</w:t>
      </w:r>
      <w:r>
        <w:t xml:space="preserve"> </w:t>
      </w:r>
      <w:hyperlink r:id="rId64">
        <w:r>
          <w:rPr>
            <w:rStyle w:val="Hyperlink"/>
          </w:rPr>
          <w:t xml:space="preserve">https://doi.org/10.1016/j.anbehav.2008.12.022</w:t>
        </w:r>
      </w:hyperlink>
    </w:p>
    <w:bookmarkEnd w:id="65"/>
    <w:bookmarkStart w:id="67" w:name="ref-biro2012"/>
    <w:p>
      <w:pPr>
        <w:pStyle w:val="Bibliography"/>
      </w:pPr>
      <w:r>
        <w:t xml:space="preserve">Biro, P.A., 2012. Do rapid assays predict repeatability in labile (behavioural) traits? Animal Behaviour 83, 1295–1300.</w:t>
      </w:r>
      <w:r>
        <w:t xml:space="preserve"> </w:t>
      </w:r>
      <w:hyperlink r:id="rId66">
        <w:r>
          <w:rPr>
            <w:rStyle w:val="Hyperlink"/>
          </w:rPr>
          <w:t xml:space="preserve">https://doi.org/10.1016/j.anbehav.2012.01.036</w:t>
        </w:r>
      </w:hyperlink>
    </w:p>
    <w:bookmarkEnd w:id="67"/>
    <w:bookmarkStart w:id="69"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8">
        <w:r>
          <w:rPr>
            <w:rStyle w:val="Hyperlink"/>
          </w:rPr>
          <w:t xml:space="preserve">https://doi.org/10.3168/jdsc.2021-0184</w:t>
        </w:r>
      </w:hyperlink>
    </w:p>
    <w:bookmarkEnd w:id="69"/>
    <w:bookmarkStart w:id="71"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0">
        <w:r>
          <w:rPr>
            <w:rStyle w:val="Hyperlink"/>
          </w:rPr>
          <w:t xml:space="preserve">https://doi.org/10.3168/jds.2022-23176</w:t>
        </w:r>
      </w:hyperlink>
    </w:p>
    <w:bookmarkEnd w:id="71"/>
    <w:bookmarkStart w:id="73" w:name="ref-budaev2010using"/>
    <w:p>
      <w:pPr>
        <w:pStyle w:val="Bibliography"/>
      </w:pPr>
      <w:r>
        <w:t xml:space="preserve">Budaev, S.V., 2010. Using principal components and factor analysis in animal behaviour research: Caveats and guidelines. Ethology 116, 472–480.</w:t>
      </w:r>
      <w:r>
        <w:t xml:space="preserve"> </w:t>
      </w:r>
      <w:hyperlink r:id="rId72">
        <w:r>
          <w:rPr>
            <w:rStyle w:val="Hyperlink"/>
          </w:rPr>
          <w:t xml:space="preserve">https://doi.org/10.1111/j.1439-0310.2010.01758.x</w:t>
        </w:r>
      </w:hyperlink>
    </w:p>
    <w:bookmarkEnd w:id="73"/>
    <w:bookmarkStart w:id="75" w:name="ref-burkner2017brms"/>
    <w:p>
      <w:pPr>
        <w:pStyle w:val="Bibliography"/>
      </w:pPr>
      <w:r>
        <w:t xml:space="preserve">Bürkner, P.-C., 2017. Brms: An r package for bayesian multilevel models using stan. Journal of statistical software 80, 1–28.</w:t>
      </w:r>
      <w:r>
        <w:t xml:space="preserve"> </w:t>
      </w:r>
      <w:hyperlink r:id="rId74">
        <w:r>
          <w:rPr>
            <w:rStyle w:val="Hyperlink"/>
          </w:rPr>
          <w:t xml:space="preserve">https://doi.org/10.18637/jss.v080.i01</w:t>
        </w:r>
      </w:hyperlink>
    </w:p>
    <w:bookmarkEnd w:id="75"/>
    <w:bookmarkStart w:id="77"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6">
        <w:r>
          <w:rPr>
            <w:rStyle w:val="Hyperlink"/>
          </w:rPr>
          <w:t xml:space="preserve">https://doi.org/10.1186/1745-6150-2-2</w:t>
        </w:r>
      </w:hyperlink>
    </w:p>
    <w:bookmarkEnd w:id="77"/>
    <w:bookmarkStart w:id="79"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r>
        <w:t xml:space="preserve"> </w:t>
      </w:r>
      <w:hyperlink r:id="rId78">
        <w:r>
          <w:rPr>
            <w:rStyle w:val="Hyperlink"/>
          </w:rPr>
          <w:t xml:space="preserve">https://doi.org/10.1038/s41598-022-24076-x</w:t>
        </w:r>
      </w:hyperlink>
    </w:p>
    <w:bookmarkEnd w:id="79"/>
    <w:bookmarkStart w:id="8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r>
        <w:t xml:space="preserve"> </w:t>
      </w:r>
      <w:hyperlink r:id="rId80">
        <w:r>
          <w:rPr>
            <w:rStyle w:val="Hyperlink"/>
          </w:rPr>
          <w:t xml:space="preserve">https://doi.org/10.3389/fvets.2022.827124</w:t>
        </w:r>
      </w:hyperlink>
    </w:p>
    <w:bookmarkEnd w:id="81"/>
    <w:bookmarkStart w:id="83" w:name="ref-chapinal2007validation"/>
    <w:p>
      <w:pPr>
        <w:pStyle w:val="Bibliography"/>
      </w:pPr>
      <w:r>
        <w:t xml:space="preserve">Chapinal, N., Veira, D.M., Weary, D.M., von Keyserlingk, M.A.G., 2007. Validation of a system for monitoring individual feeding and drinking behavior and intake in group-housed cattle. Journal of dairy science 90, 5732–5736.</w:t>
      </w:r>
      <w:r>
        <w:t xml:space="preserve"> </w:t>
      </w:r>
      <w:hyperlink r:id="rId82">
        <w:r>
          <w:rPr>
            <w:rStyle w:val="Hyperlink"/>
          </w:rPr>
          <w:t xml:space="preserve">https://doi.org/10.3168/jds.2007-0331</w:t>
        </w:r>
      </w:hyperlink>
    </w:p>
    <w:bookmarkEnd w:id="83"/>
    <w:bookmarkStart w:id="85"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4">
        <w:r>
          <w:rPr>
            <w:rStyle w:val="Hyperlink"/>
          </w:rPr>
          <w:t xml:space="preserve">https://doi.org/10.1016/j.applanim.2024.106315</w:t>
        </w:r>
      </w:hyperlink>
    </w:p>
    <w:bookmarkEnd w:id="85"/>
    <w:bookmarkStart w:id="86" w:name="ref-dawkins2021"/>
    <w:p>
      <w:pPr>
        <w:pStyle w:val="Bibliography"/>
      </w:pPr>
      <w:r>
        <w:t xml:space="preserve">Dawkins, M.S., 2021. The science of animal welfare: Understanding what animals want. Oxford University Press.</w:t>
      </w:r>
    </w:p>
    <w:bookmarkEnd w:id="86"/>
    <w:bookmarkStart w:id="88" w:name="ref-DeVries2003"/>
    <w:p>
      <w:pPr>
        <w:pStyle w:val="Bibliography"/>
      </w:pPr>
      <w:r>
        <w:t xml:space="preserve">DeVries, T.J., von Keyserlingk, M.A.G., Beauchemin, K.A., 2003. Short communication: Diurnal feeding pattern of lactating dairy cows. Journal of Dairy Science 86, 4079–4082.</w:t>
      </w:r>
      <w:r>
        <w:t xml:space="preserve"> </w:t>
      </w:r>
      <w:hyperlink r:id="rId87">
        <w:r>
          <w:rPr>
            <w:rStyle w:val="Hyperlink"/>
          </w:rPr>
          <w:t xml:space="preserve">https://doi.org/10.3168/JDS.S0022-0302(03)74020-X</w:t>
        </w:r>
      </w:hyperlink>
    </w:p>
    <w:bookmarkEnd w:id="88"/>
    <w:bookmarkStart w:id="90" w:name="ref-eriksson2020effects"/>
    <w:p>
      <w:pPr>
        <w:pStyle w:val="Bibliography"/>
      </w:pPr>
      <w:r>
        <w:t xml:space="preserve">Eriksson, H.K., Daros, R.R., von Keyserlingk, M.A.G., Weary, D.M., 2020. Effects of case definition and assessment frequency on lameness incidence estimates. Journal of dairy science 103, 638–648.</w:t>
      </w:r>
      <w:r>
        <w:t xml:space="preserve"> </w:t>
      </w:r>
      <w:hyperlink r:id="rId89">
        <w:r>
          <w:rPr>
            <w:rStyle w:val="Hyperlink"/>
          </w:rPr>
          <w:t xml:space="preserve">https://doi.org/10.3168/jds.2019-16426</w:t>
        </w:r>
      </w:hyperlink>
    </w:p>
    <w:bookmarkEnd w:id="90"/>
    <w:bookmarkStart w:id="92"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1">
        <w:r>
          <w:rPr>
            <w:rStyle w:val="Hyperlink"/>
          </w:rPr>
          <w:t xml:space="preserve">https://doi.org/10.3168/jds.2010-3147</w:t>
        </w:r>
      </w:hyperlink>
    </w:p>
    <w:bookmarkEnd w:id="92"/>
    <w:bookmarkStart w:id="94" w:name="ref-finkemeier2018"/>
    <w:p>
      <w:pPr>
        <w:pStyle w:val="Bibliography"/>
      </w:pPr>
      <w:r>
        <w:t xml:space="preserve">Finkemeier, M.-A., Langbein, J., Puppe, B., 2018. Personality research in mammalian farm animals: Concepts, measures, and relationship to welfare. Frontiers in veterinary science 5, 131.</w:t>
      </w:r>
      <w:r>
        <w:t xml:space="preserve"> </w:t>
      </w:r>
      <w:hyperlink r:id="rId93">
        <w:r>
          <w:rPr>
            <w:rStyle w:val="Hyperlink"/>
          </w:rPr>
          <w:t xml:space="preserve">https://doi.org/10.3389/fvets.2018.00131</w:t>
        </w:r>
      </w:hyperlink>
    </w:p>
    <w:bookmarkEnd w:id="94"/>
    <w:bookmarkStart w:id="96" w:name="ref-flower2006effect"/>
    <w:p>
      <w:pPr>
        <w:pStyle w:val="Bibliography"/>
      </w:pPr>
      <w:r>
        <w:t xml:space="preserve">Flower, F.C., Weary, D.M., 2006. Effect of hoof pathologies on subjective assessments of dairy cow gait. Journal of dairy science 89, 139–146.</w:t>
      </w:r>
      <w:r>
        <w:t xml:space="preserve"> </w:t>
      </w:r>
      <w:hyperlink r:id="rId95">
        <w:r>
          <w:rPr>
            <w:rStyle w:val="Hyperlink"/>
          </w:rPr>
          <w:t xml:space="preserve">https://doi.org/10.3168/jds.S0022-0302(06)72077-X</w:t>
        </w:r>
      </w:hyperlink>
    </w:p>
    <w:bookmarkEnd w:id="96"/>
    <w:bookmarkStart w:id="9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7">
        <w:r>
          <w:rPr>
            <w:rStyle w:val="Hyperlink"/>
          </w:rPr>
          <w:t xml:space="preserve">https://doi.org/10.3168/jds.2020-18896</w:t>
        </w:r>
      </w:hyperlink>
    </w:p>
    <w:bookmarkEnd w:id="98"/>
    <w:bookmarkStart w:id="100" w:name="ref-foris2019automatic"/>
    <w:p>
      <w:pPr>
        <w:pStyle w:val="Bibliography"/>
      </w:pPr>
      <w:r>
        <w:t xml:space="preserve">Foris, B., Thompson, A.J., von Keyserlingk, M.A.G., Melzer, N., Weary, D.M., 2019. Automatic detection of feeding-and drinking-related agonistic behavior and dominance in dairy cows. Journal of dairy science 102, 9176–9186.</w:t>
      </w:r>
      <w:r>
        <w:t xml:space="preserve"> </w:t>
      </w:r>
      <w:hyperlink r:id="rId99">
        <w:r>
          <w:rPr>
            <w:rStyle w:val="Hyperlink"/>
          </w:rPr>
          <w:t xml:space="preserve">https://doi.org/10.3168/jds.2019-16697</w:t>
        </w:r>
      </w:hyperlink>
    </w:p>
    <w:bookmarkEnd w:id="100"/>
    <w:bookmarkStart w:id="102"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1">
        <w:r>
          <w:rPr>
            <w:rStyle w:val="Hyperlink"/>
          </w:rPr>
          <w:t xml:space="preserve">https://doi.org/10.1111/rssa.12378</w:t>
        </w:r>
      </w:hyperlink>
    </w:p>
    <w:bookmarkEnd w:id="102"/>
    <w:bookmarkStart w:id="104"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3">
        <w:r>
          <w:rPr>
            <w:rStyle w:val="Hyperlink"/>
          </w:rPr>
          <w:t xml:space="preserve">https://doi.org/10.2527/1995.7392791x</w:t>
        </w:r>
      </w:hyperlink>
    </w:p>
    <w:bookmarkEnd w:id="104"/>
    <w:bookmarkStart w:id="106" w:name="ref-hertel2020"/>
    <w:p>
      <w:pPr>
        <w:pStyle w:val="Bibliography"/>
      </w:pPr>
      <w:r>
        <w:t xml:space="preserve">Hertel, A.G., Niemelä, P.T., Dingemanse, N.J., Mueller, T., 2020. A guide for studying among-individual behavioral variation from movement data in the wild. Movement ecology 8, 30.</w:t>
      </w:r>
      <w:r>
        <w:t xml:space="preserve"> </w:t>
      </w:r>
      <w:hyperlink r:id="rId105">
        <w:r>
          <w:rPr>
            <w:rStyle w:val="Hyperlink"/>
          </w:rPr>
          <w:t xml:space="preserve">https://doi.org/10.1186/s40462-020-00216-8</w:t>
        </w:r>
      </w:hyperlink>
    </w:p>
    <w:bookmarkEnd w:id="106"/>
    <w:bookmarkStart w:id="108"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7">
        <w:r>
          <w:rPr>
            <w:rStyle w:val="Hyperlink"/>
          </w:rPr>
          <w:t xml:space="preserve">https://doi.org/10.3168/jds.2011-5038</w:t>
        </w:r>
      </w:hyperlink>
    </w:p>
    <w:bookmarkEnd w:id="108"/>
    <w:bookmarkStart w:id="110" w:name="ref-huzzey2014automatic"/>
    <w:p>
      <w:pPr>
        <w:pStyle w:val="Bibliography"/>
      </w:pPr>
      <w:r>
        <w:t xml:space="preserve">Huzzey, J.M., Weary, D.M., Tiau, B., von Keyserlingk, M.A.G., 2014. Automatic detection of social competition using an electronic feeding system. Journal of dairy science 97, 2953–2958.</w:t>
      </w:r>
      <w:r>
        <w:t xml:space="preserve"> </w:t>
      </w:r>
      <w:hyperlink r:id="rId109">
        <w:r>
          <w:rPr>
            <w:rStyle w:val="Hyperlink"/>
          </w:rPr>
          <w:t xml:space="preserve">https://doi.org/10.3168/jds.2013-7434</w:t>
        </w:r>
      </w:hyperlink>
    </w:p>
    <w:bookmarkEnd w:id="110"/>
    <w:bookmarkStart w:id="112"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r>
        <w:t xml:space="preserve"> </w:t>
      </w:r>
      <w:hyperlink r:id="rId111">
        <w:r>
          <w:rPr>
            <w:rStyle w:val="Hyperlink"/>
          </w:rPr>
          <w:t xml:space="preserve">https://doi.org/10.1109/ICADIWT.2014.6814687</w:t>
        </w:r>
      </w:hyperlink>
    </w:p>
    <w:bookmarkEnd w:id="112"/>
    <w:bookmarkStart w:id="114"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3">
        <w:r>
          <w:rPr>
            <w:rStyle w:val="Hyperlink"/>
          </w:rPr>
          <w:t xml:space="preserve">https://doi.org/10.1016/0168-1591(91)90086-D</w:t>
        </w:r>
      </w:hyperlink>
    </w:p>
    <w:bookmarkEnd w:id="114"/>
    <w:bookmarkStart w:id="116"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r>
        <w:t xml:space="preserve"> </w:t>
      </w:r>
      <w:hyperlink r:id="rId115">
        <w:r>
          <w:rPr>
            <w:rStyle w:val="Hyperlink"/>
          </w:rPr>
          <w:t xml:space="preserve">https://doi.org/10.1109/AEEICB.2017.7972424</w:t>
        </w:r>
      </w:hyperlink>
    </w:p>
    <w:bookmarkEnd w:id="116"/>
    <w:bookmarkStart w:id="118" w:name="ref-McDonald2020"/>
    <w:p>
      <w:pPr>
        <w:pStyle w:val="Bibliography"/>
      </w:pPr>
      <w:r>
        <w:t xml:space="preserve">McDonald, P.V., von Keyserlingk, M.A.G., Weary, D.M., 2020. Hot weather increases competition between dairy cows at the drinker. Journal of Dairy Science 103, 3447–3458.</w:t>
      </w:r>
      <w:r>
        <w:t xml:space="preserve"> </w:t>
      </w:r>
      <w:hyperlink r:id="rId117">
        <w:r>
          <w:rPr>
            <w:rStyle w:val="Hyperlink"/>
          </w:rPr>
          <w:t xml:space="preserve">https://doi.org/10.3168/jds.2019-17456</w:t>
        </w:r>
      </w:hyperlink>
    </w:p>
    <w:bookmarkEnd w:id="118"/>
    <w:bookmarkStart w:id="120"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19">
        <w:r>
          <w:rPr>
            <w:rStyle w:val="Hyperlink"/>
          </w:rPr>
          <w:t xml:space="preserve">https://doi.org/10.1002/ece3.7603</w:t>
        </w:r>
      </w:hyperlink>
    </w:p>
    <w:bookmarkEnd w:id="120"/>
    <w:bookmarkStart w:id="122" w:name="ref-neave2020long"/>
    <w:p>
      <w:pPr>
        <w:pStyle w:val="Bibliography"/>
      </w:pPr>
      <w:r>
        <w:t xml:space="preserve">Neave, H.W., Costa, J.H.C., Weary, D.M., von Keyserlingk, M.A.G., 2020. Long-term consistency of personality traits of cattle. Royal Society open science 7.</w:t>
      </w:r>
      <w:r>
        <w:t xml:space="preserve"> </w:t>
      </w:r>
      <w:hyperlink r:id="rId121">
        <w:r>
          <w:rPr>
            <w:rStyle w:val="Hyperlink"/>
          </w:rPr>
          <w:t xml:space="preserve">https://doi.org/10.1098/rsos.191849</w:t>
        </w:r>
      </w:hyperlink>
    </w:p>
    <w:bookmarkEnd w:id="122"/>
    <w:bookmarkStart w:id="124"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23">
        <w:r>
          <w:rPr>
            <w:rStyle w:val="Hyperlink"/>
          </w:rPr>
          <w:t xml:space="preserve">https://doi.org/10.3168/jds.2017-14248</w:t>
        </w:r>
      </w:hyperlink>
    </w:p>
    <w:bookmarkEnd w:id="124"/>
    <w:bookmarkStart w:id="12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r>
        <w:t xml:space="preserve"> </w:t>
      </w:r>
      <w:hyperlink r:id="rId125">
        <w:r>
          <w:rPr>
            <w:rStyle w:val="Hyperlink"/>
          </w:rPr>
          <w:t xml:space="preserve">https://doi.org/10.1098/rsos.212019</w:t>
        </w:r>
      </w:hyperlink>
    </w:p>
    <w:bookmarkEnd w:id="126"/>
    <w:bookmarkStart w:id="12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7">
        <w:r>
          <w:rPr>
            <w:rStyle w:val="Hyperlink"/>
          </w:rPr>
          <w:t xml:space="preserve">https://doi.org/10.3168/jds.S0022-0302(01)74692-9</w:t>
        </w:r>
      </w:hyperlink>
    </w:p>
    <w:bookmarkEnd w:id="128"/>
    <w:bookmarkStart w:id="130" w:name="ref-R-base"/>
    <w:p>
      <w:pPr>
        <w:pStyle w:val="Bibliography"/>
      </w:pPr>
      <w:r>
        <w:t xml:space="preserve">R Core Team, 2025.</w:t>
      </w:r>
      <w:r>
        <w:t xml:space="preserve"> </w:t>
      </w:r>
      <w:hyperlink r:id="rId129">
        <w:r>
          <w:rPr>
            <w:rStyle w:val="Hyperlink"/>
          </w:rPr>
          <w:t xml:space="preserve">R: A language and environment for statistical computing</w:t>
        </w:r>
      </w:hyperlink>
      <w:r>
        <w:t xml:space="preserve">. R Foundation for Statistical Computing, Vienna, Austria.</w:t>
      </w:r>
    </w:p>
    <w:bookmarkEnd w:id="130"/>
    <w:bookmarkStart w:id="132" w:name="ref-reale2007"/>
    <w:p>
      <w:pPr>
        <w:pStyle w:val="Bibliography"/>
      </w:pPr>
      <w:r>
        <w:t xml:space="preserve">Réale, D., Reader, S.M., Sol, D., McDougall, P.T., Dingemanse, N.J., 2007. Integrating animal temperament within ecology and evolution. Biological reviews 82, 291–318.</w:t>
      </w:r>
      <w:r>
        <w:t xml:space="preserve"> </w:t>
      </w:r>
      <w:hyperlink r:id="rId131">
        <w:r>
          <w:rPr>
            <w:rStyle w:val="Hyperlink"/>
          </w:rPr>
          <w:t xml:space="preserve">https://doi.org/10.1111/j.1469-185X.2007.00010.x</w:t>
        </w:r>
      </w:hyperlink>
    </w:p>
    <w:bookmarkEnd w:id="132"/>
    <w:bookmarkStart w:id="134" w:name="ref-reith2018behavioral"/>
    <w:p>
      <w:pPr>
        <w:pStyle w:val="Bibliography"/>
      </w:pPr>
      <w:r>
        <w:t xml:space="preserve">Reith, S., Hoy, S., 2018. Behavioral signs of estrus and the potential of fully automated systems for detection of estrus in dairy cattle. Animal 12, 398–407.</w:t>
      </w:r>
      <w:r>
        <w:t xml:space="preserve"> </w:t>
      </w:r>
      <w:hyperlink r:id="rId133">
        <w:r>
          <w:rPr>
            <w:rStyle w:val="Hyperlink"/>
          </w:rPr>
          <w:t xml:space="preserve">https://doi.org/10.1017/S1751731117001975</w:t>
        </w:r>
      </w:hyperlink>
    </w:p>
    <w:bookmarkEnd w:id="134"/>
    <w:bookmarkStart w:id="136"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35">
        <w:r>
          <w:rPr>
            <w:rStyle w:val="Hyperlink"/>
          </w:rPr>
          <w:t xml:space="preserve">https://doi.org/10.1016/j.applanim.2018.12.012</w:t>
        </w:r>
      </w:hyperlink>
    </w:p>
    <w:bookmarkEnd w:id="136"/>
    <w:bookmarkStart w:id="138"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37">
        <w:r>
          <w:rPr>
            <w:rStyle w:val="Hyperlink"/>
          </w:rPr>
          <w:t xml:space="preserve">https://doi.org/10.1016/0377-0427(87)90125-7</w:t>
        </w:r>
      </w:hyperlink>
    </w:p>
    <w:bookmarkEnd w:id="138"/>
    <w:bookmarkStart w:id="140"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39">
        <w:r>
          <w:rPr>
            <w:rStyle w:val="Hyperlink"/>
          </w:rPr>
          <w:t xml:space="preserve">https://doi.org/10.3168/jds.2025-26552</w:t>
        </w:r>
      </w:hyperlink>
    </w:p>
    <w:bookmarkEnd w:id="140"/>
    <w:bookmarkStart w:id="142"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r>
        <w:t xml:space="preserve"> </w:t>
      </w:r>
      <w:hyperlink r:id="rId141">
        <w:r>
          <w:rPr>
            <w:rStyle w:val="Hyperlink"/>
          </w:rPr>
          <w:t xml:space="preserve">https://doi.org/10.3168/jds.2023-24514</w:t>
        </w:r>
      </w:hyperlink>
    </w:p>
    <w:bookmarkEnd w:id="142"/>
    <w:bookmarkStart w:id="144"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r>
        <w:t xml:space="preserve"> </w:t>
      </w:r>
      <w:hyperlink r:id="rId143">
        <w:r>
          <w:rPr>
            <w:rStyle w:val="Hyperlink"/>
          </w:rPr>
          <w:t xml:space="preserve">https://doi.org/10.3168/jds.2023-24257</w:t>
        </w:r>
      </w:hyperlink>
    </w:p>
    <w:bookmarkEnd w:id="144"/>
    <w:bookmarkStart w:id="146" w:name="ref-sheng2024redefining"/>
    <w:p>
      <w:pPr>
        <w:pStyle w:val="Bibliography"/>
      </w:pPr>
      <w:r>
        <w:t xml:space="preserve">Sheng, K., Foris, B., Krahn, J., Weary, D.M., von Keyserlingk, M.A.G., 2024. Redefining dominance calculation: Increased competition flattens the dominance hierarchy in dairy cows. Journal of Dairy Science 107, 7286–7298.</w:t>
      </w:r>
      <w:r>
        <w:t xml:space="preserve"> </w:t>
      </w:r>
      <w:hyperlink r:id="rId145">
        <w:r>
          <w:rPr>
            <w:rStyle w:val="Hyperlink"/>
          </w:rPr>
          <w:t xml:space="preserve">https://doi.org/10.3168/jds.2023-24587</w:t>
        </w:r>
      </w:hyperlink>
    </w:p>
    <w:bookmarkEnd w:id="146"/>
    <w:bookmarkStart w:id="14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47">
        <w:r>
          <w:rPr>
            <w:rStyle w:val="Hyperlink"/>
          </w:rPr>
          <w:t xml:space="preserve">https://doi.org/10.1007/978-1-4615-7575-7_2</w:t>
        </w:r>
      </w:hyperlink>
    </w:p>
    <w:bookmarkEnd w:id="148"/>
    <w:bookmarkStart w:id="150" w:name="ref-thomas2024"/>
    <w:p>
      <w:pPr>
        <w:pStyle w:val="Bibliography"/>
      </w:pPr>
      <w:r>
        <w:t xml:space="preserve">Thomas, M., Occhiuto, F., Green, M., Vázquez-Diosdado, J.A., Kaler, J., 2024. Repeatability and predictability of lying and feeding behaviours in dairy cattle. Preventive Veterinary Medicine 233, 106357.</w:t>
      </w:r>
      <w:r>
        <w:t xml:space="preserve"> </w:t>
      </w:r>
      <w:hyperlink r:id="rId149">
        <w:r>
          <w:rPr>
            <w:rStyle w:val="Hyperlink"/>
          </w:rPr>
          <w:t xml:space="preserve">https://doi.org/10.1016/j.prevetmed.2024.106357</w:t>
        </w:r>
      </w:hyperlink>
    </w:p>
    <w:bookmarkEnd w:id="150"/>
    <w:bookmarkStart w:id="152" w:name="ref-tolkamp1998satiety"/>
    <w:p>
      <w:pPr>
        <w:pStyle w:val="Bibliography"/>
      </w:pPr>
      <w:r>
        <w:t xml:space="preserve">Tolkamp, B., Allcroft, D., Austin, E., Nielsen, B.L., Kyriazakis, I., 1998. Satiety splits feeding behaviour into bouts. Journal of Theoretical Biology 194, 235–250.</w:t>
      </w:r>
      <w:r>
        <w:t xml:space="preserve"> </w:t>
      </w:r>
      <w:hyperlink r:id="rId151">
        <w:r>
          <w:rPr>
            <w:rStyle w:val="Hyperlink"/>
          </w:rPr>
          <w:t xml:space="preserve">https://doi.org/10.1006/jtbi.1998.0759</w:t>
        </w:r>
      </w:hyperlink>
    </w:p>
    <w:bookmarkEnd w:id="152"/>
    <w:bookmarkStart w:id="154"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53">
        <w:r>
          <w:rPr>
            <w:rStyle w:val="Hyperlink"/>
          </w:rPr>
          <w:t xml:space="preserve">https://doi.org/10.1214/20-BA1221</w:t>
        </w:r>
      </w:hyperlink>
    </w:p>
    <w:bookmarkEnd w:id="154"/>
    <w:bookmarkStart w:id="156" w:name="ref-von2008acute"/>
    <w:p>
      <w:pPr>
        <w:pStyle w:val="Bibliography"/>
      </w:pPr>
      <w:r>
        <w:t xml:space="preserve">von Keyserlingk, M.A.G., Olenick, D.M., Weary, D.M., 2008. Acute behavioral effects of regrouping dairy cows. Journal of Dairy Science 91, 1011–1016.</w:t>
      </w:r>
      <w:r>
        <w:t xml:space="preserve"> </w:t>
      </w:r>
      <w:hyperlink r:id="rId155">
        <w:r>
          <w:rPr>
            <w:rStyle w:val="Hyperlink"/>
          </w:rPr>
          <w:t xml:space="preserve">https://doi.org/10.3168/jds.2007-0532</w:t>
        </w:r>
      </w:hyperlink>
    </w:p>
    <w:bookmarkEnd w:id="156"/>
    <w:bookmarkStart w:id="158" w:name="ref-webster2011personality"/>
    <w:p>
      <w:pPr>
        <w:pStyle w:val="Bibliography"/>
      </w:pPr>
      <w:r>
        <w:t xml:space="preserve">Webster, M.M., Ward, A.J., 2011. Personality and social context. Biological reviews 86, 759–773.</w:t>
      </w:r>
      <w:r>
        <w:t xml:space="preserve"> </w:t>
      </w:r>
      <w:hyperlink r:id="rId157">
        <w:r>
          <w:rPr>
            <w:rStyle w:val="Hyperlink"/>
          </w:rPr>
          <w:t xml:space="preserve">https://doi.org/10.1111/j.1469-185X.2010.00169.x</w:t>
        </w:r>
      </w:hyperlink>
    </w:p>
    <w:bookmarkEnd w:id="158"/>
    <w:bookmarkStart w:id="160" w:name="ref-wilkinson2016fair"/>
    <w:p>
      <w:pPr>
        <w:pStyle w:val="Bibliography"/>
      </w:pPr>
      <w:r>
        <w:t xml:space="preserve">Wilkinson, M.D., Dumontier, M., Aalbersberg, Ij.J., Appleton, G., Axton, M., Baak, A., Blomberg, N., Boiten, J.-W., Silva Santos, L.B. da, Bourne, P.E., others, 2016. The FAIR guiding principles for scientific data management and stewardship. Scientific data 3, 1–9.</w:t>
      </w:r>
      <w:r>
        <w:t xml:space="preserve"> </w:t>
      </w:r>
      <w:hyperlink r:id="rId159">
        <w:r>
          <w:rPr>
            <w:rStyle w:val="Hyperlink"/>
          </w:rPr>
          <w:t xml:space="preserve">https://doi.org/10.1038/sdata.2016.18</w:t>
        </w:r>
      </w:hyperlink>
    </w:p>
    <w:bookmarkEnd w:id="160"/>
    <w:bookmarkEnd w:id="161"/>
    <w:bookmarkEnd w:id="162"/>
    <w:bookmarkEnd w:id="163"/>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7621EB"/>
    <w:rsid w:val="008B5B9D"/>
    <w:rsid w:val="008D2737"/>
    <w:rsid w:val="00906878"/>
    <w:rsid w:val="00A23682"/>
    <w:rsid w:val="00A87D45"/>
    <w:rsid w:val="00BB1731"/>
    <w:rsid w:val="00C95531"/>
    <w:rsid w:val="00D82B74"/>
    <w:rsid w:val="00D82D1C"/>
    <w:rsid w:val="00E1106E"/>
    <w:rsid w:val="00E23478"/>
    <w:rsid w:val="00F01327"/>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A23682"/>
    <w:pPr>
      <w:spacing w:after="80" w:line="480" w:lineRule="auto"/>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A23682"/>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hyperlink" Id="rId28" Target="https://app.codecov.io/gh/skysheng7/moo4feed" TargetMode="External" /><Relationship Type="http://schemas.openxmlformats.org/officeDocument/2006/relationships/hyperlink" Id="rId119" Target="https://doi.org/10.1002/ece3.7603" TargetMode="External" /><Relationship Type="http://schemas.openxmlformats.org/officeDocument/2006/relationships/hyperlink" Id="rId151" Target="https://doi.org/10.1006/jtbi.1998.0759" TargetMode="External" /><Relationship Type="http://schemas.openxmlformats.org/officeDocument/2006/relationships/hyperlink" Id="rId147" Target="https://doi.org/10.1007/978-1-4615-7575-7_2" TargetMode="External" /><Relationship Type="http://schemas.openxmlformats.org/officeDocument/2006/relationships/hyperlink" Id="rId113" Target="https://doi.org/10.1016/0168-1591(91)90086-D" TargetMode="External" /><Relationship Type="http://schemas.openxmlformats.org/officeDocument/2006/relationships/hyperlink" Id="rId137" Target="https://doi.org/10.1016/0377-0427(87)90125-7" TargetMode="External" /><Relationship Type="http://schemas.openxmlformats.org/officeDocument/2006/relationships/hyperlink" Id="rId64" Target="https://doi.org/10.1016/j.anbehav.2008.12.022" TargetMode="External" /><Relationship Type="http://schemas.openxmlformats.org/officeDocument/2006/relationships/hyperlink" Id="rId66" Target="https://doi.org/10.1016/j.anbehav.2012.01.036" TargetMode="External" /><Relationship Type="http://schemas.openxmlformats.org/officeDocument/2006/relationships/hyperlink" Id="rId135" Target="https://doi.org/10.1016/j.applanim.2018.12.012" TargetMode="External" /><Relationship Type="http://schemas.openxmlformats.org/officeDocument/2006/relationships/hyperlink" Id="rId84" Target="https://doi.org/10.1016/j.applanim.2024.106315" TargetMode="External" /><Relationship Type="http://schemas.openxmlformats.org/officeDocument/2006/relationships/hyperlink" Id="rId149" Target="https://doi.org/10.1016/j.prevetmed.2024.106357" TargetMode="External" /><Relationship Type="http://schemas.openxmlformats.org/officeDocument/2006/relationships/hyperlink" Id="rId133" Target="https://doi.org/10.1017/S1751731117001975" TargetMode="External" /><Relationship Type="http://schemas.openxmlformats.org/officeDocument/2006/relationships/hyperlink" Id="rId78" Target="https://doi.org/10.1038/s41598-022-24076-x" TargetMode="External" /><Relationship Type="http://schemas.openxmlformats.org/officeDocument/2006/relationships/hyperlink" Id="rId159" Target="https://doi.org/10.1038/sdata.2016.18" TargetMode="External" /><Relationship Type="http://schemas.openxmlformats.org/officeDocument/2006/relationships/hyperlink" Id="rId121" Target="https://doi.org/10.1098/rsos.191849" TargetMode="External" /><Relationship Type="http://schemas.openxmlformats.org/officeDocument/2006/relationships/hyperlink" Id="rId125" Target="https://doi.org/10.1098/rsos.212019" TargetMode="External" /><Relationship Type="http://schemas.openxmlformats.org/officeDocument/2006/relationships/hyperlink" Id="rId115" Target="https://doi.org/10.1109/AEEICB.2017.7972424" TargetMode="External" /><Relationship Type="http://schemas.openxmlformats.org/officeDocument/2006/relationships/hyperlink" Id="rId111" Target="https://doi.org/10.1109/ICADIWT.2014.6814687" TargetMode="External" /><Relationship Type="http://schemas.openxmlformats.org/officeDocument/2006/relationships/hyperlink" Id="rId72" Target="https://doi.org/10.1111/j.1439-0310.2010.01758.x" TargetMode="External" /><Relationship Type="http://schemas.openxmlformats.org/officeDocument/2006/relationships/hyperlink" Id="rId131" Target="https://doi.org/10.1111/j.1469-185X.2007.00010.x" TargetMode="External" /><Relationship Type="http://schemas.openxmlformats.org/officeDocument/2006/relationships/hyperlink" Id="rId157"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76" Target="https://doi.org/10.1186/1745-6150-2-2" TargetMode="External" /><Relationship Type="http://schemas.openxmlformats.org/officeDocument/2006/relationships/hyperlink" Id="rId105" Target="https://doi.org/10.1186/s40462-020-00216-8" TargetMode="External" /><Relationship Type="http://schemas.openxmlformats.org/officeDocument/2006/relationships/hyperlink" Id="rId153" Target="https://doi.org/10.1214/20-BA1221" TargetMode="External" /><Relationship Type="http://schemas.openxmlformats.org/officeDocument/2006/relationships/hyperlink" Id="rId74" Target="https://doi.org/10.18637/jss.v080.i01" TargetMode="External" /><Relationship Type="http://schemas.openxmlformats.org/officeDocument/2006/relationships/hyperlink" Id="rId103" Target="https://doi.org/10.2527/1995.7392791x" TargetMode="External" /><Relationship Type="http://schemas.openxmlformats.org/officeDocument/2006/relationships/hyperlink" Id="rId62" Target="https://doi.org/10.2527/jas.2017.1593" TargetMode="External" /><Relationship Type="http://schemas.openxmlformats.org/officeDocument/2006/relationships/hyperlink" Id="rId87" Target="https://doi.org/10.3168/JDS.S0022-0302(03)74020-X" TargetMode="External" /><Relationship Type="http://schemas.openxmlformats.org/officeDocument/2006/relationships/hyperlink" Id="rId82" Target="https://doi.org/10.3168/jds.2007-0331" TargetMode="External" /><Relationship Type="http://schemas.openxmlformats.org/officeDocument/2006/relationships/hyperlink" Id="rId155" Target="https://doi.org/10.3168/jds.2007-0532" TargetMode="External" /><Relationship Type="http://schemas.openxmlformats.org/officeDocument/2006/relationships/hyperlink" Id="rId91" Target="https://doi.org/10.3168/jds.2010-3147" TargetMode="External" /><Relationship Type="http://schemas.openxmlformats.org/officeDocument/2006/relationships/hyperlink" Id="rId107" Target="https://doi.org/10.3168/jds.2011-5038" TargetMode="External" /><Relationship Type="http://schemas.openxmlformats.org/officeDocument/2006/relationships/hyperlink" Id="rId109" Target="https://doi.org/10.3168/jds.2013-7434" TargetMode="External" /><Relationship Type="http://schemas.openxmlformats.org/officeDocument/2006/relationships/hyperlink" Id="rId123" Target="https://doi.org/10.3168/jds.2017-14248" TargetMode="External" /><Relationship Type="http://schemas.openxmlformats.org/officeDocument/2006/relationships/hyperlink" Id="rId89" Target="https://doi.org/10.3168/jds.2019-16426" TargetMode="External" /><Relationship Type="http://schemas.openxmlformats.org/officeDocument/2006/relationships/hyperlink" Id="rId99" Target="https://doi.org/10.3168/jds.2019-16697" TargetMode="External" /><Relationship Type="http://schemas.openxmlformats.org/officeDocument/2006/relationships/hyperlink" Id="rId117" Target="https://doi.org/10.3168/jds.2019-17456" TargetMode="External" /><Relationship Type="http://schemas.openxmlformats.org/officeDocument/2006/relationships/hyperlink" Id="rId97" Target="https://doi.org/10.3168/jds.2020-18896" TargetMode="External" /><Relationship Type="http://schemas.openxmlformats.org/officeDocument/2006/relationships/hyperlink" Id="rId70" Target="https://doi.org/10.3168/jds.2022-23176" TargetMode="External" /><Relationship Type="http://schemas.openxmlformats.org/officeDocument/2006/relationships/hyperlink" Id="rId143" Target="https://doi.org/10.3168/jds.2023-24257" TargetMode="External" /><Relationship Type="http://schemas.openxmlformats.org/officeDocument/2006/relationships/hyperlink" Id="rId141" Target="https://doi.org/10.3168/jds.2023-24514" TargetMode="External" /><Relationship Type="http://schemas.openxmlformats.org/officeDocument/2006/relationships/hyperlink" Id="rId145" Target="https://doi.org/10.3168/jds.2023-24587" TargetMode="External" /><Relationship Type="http://schemas.openxmlformats.org/officeDocument/2006/relationships/hyperlink" Id="rId139" Target="https://doi.org/10.3168/jds.2025-26552" TargetMode="External" /><Relationship Type="http://schemas.openxmlformats.org/officeDocument/2006/relationships/hyperlink" Id="rId127" Target="https://doi.org/10.3168/jds.S0022-0302(01)74692-9" TargetMode="External" /><Relationship Type="http://schemas.openxmlformats.org/officeDocument/2006/relationships/hyperlink" Id="rId95" Target="https://doi.org/10.3168/jds.S0022-0302(06)72077-X" TargetMode="External" /><Relationship Type="http://schemas.openxmlformats.org/officeDocument/2006/relationships/hyperlink" Id="rId68" Target="https://doi.org/10.3168/jdsc.2021-0184" TargetMode="External" /><Relationship Type="http://schemas.openxmlformats.org/officeDocument/2006/relationships/hyperlink" Id="rId93" Target="https://doi.org/10.3389/fvets.2018.00131" TargetMode="External" /><Relationship Type="http://schemas.openxmlformats.org/officeDocument/2006/relationships/hyperlink" Id="rId80" Target="https://doi.org/10.3389/fvets.2022.82712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9" Target="https://www.R-project.org/" TargetMode="External" /><Relationship Type="http://schemas.openxmlformats.org/officeDocument/2006/relationships/hyperlink" Id="rId20" Target="https://www.skysheng.io/moo4feed/" TargetMode="External" /><Relationship Type="http://schemas.openxmlformats.org/officeDocument/2006/relationships/hyperlink" Id="rId25" Target="https://www.skysheng.io/moo4feed/articles/meal_clustering.html" TargetMode="External" /><Relationship Type="http://schemas.openxmlformats.org/officeDocument/2006/relationships/hyperlink" Id="rId43"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19" Target="https://doi.org/10.1002/ece3.7603" TargetMode="External" /><Relationship Type="http://schemas.openxmlformats.org/officeDocument/2006/relationships/hyperlink" Id="rId151" Target="https://doi.org/10.1006/jtbi.1998.0759" TargetMode="External" /><Relationship Type="http://schemas.openxmlformats.org/officeDocument/2006/relationships/hyperlink" Id="rId147" Target="https://doi.org/10.1007/978-1-4615-7575-7_2" TargetMode="External" /><Relationship Type="http://schemas.openxmlformats.org/officeDocument/2006/relationships/hyperlink" Id="rId113" Target="https://doi.org/10.1016/0168-1591(91)90086-D" TargetMode="External" /><Relationship Type="http://schemas.openxmlformats.org/officeDocument/2006/relationships/hyperlink" Id="rId137" Target="https://doi.org/10.1016/0377-0427(87)90125-7" TargetMode="External" /><Relationship Type="http://schemas.openxmlformats.org/officeDocument/2006/relationships/hyperlink" Id="rId64" Target="https://doi.org/10.1016/j.anbehav.2008.12.022" TargetMode="External" /><Relationship Type="http://schemas.openxmlformats.org/officeDocument/2006/relationships/hyperlink" Id="rId66" Target="https://doi.org/10.1016/j.anbehav.2012.01.036" TargetMode="External" /><Relationship Type="http://schemas.openxmlformats.org/officeDocument/2006/relationships/hyperlink" Id="rId135" Target="https://doi.org/10.1016/j.applanim.2018.12.012" TargetMode="External" /><Relationship Type="http://schemas.openxmlformats.org/officeDocument/2006/relationships/hyperlink" Id="rId84" Target="https://doi.org/10.1016/j.applanim.2024.106315" TargetMode="External" /><Relationship Type="http://schemas.openxmlformats.org/officeDocument/2006/relationships/hyperlink" Id="rId149" Target="https://doi.org/10.1016/j.prevetmed.2024.106357" TargetMode="External" /><Relationship Type="http://schemas.openxmlformats.org/officeDocument/2006/relationships/hyperlink" Id="rId133" Target="https://doi.org/10.1017/S1751731117001975" TargetMode="External" /><Relationship Type="http://schemas.openxmlformats.org/officeDocument/2006/relationships/hyperlink" Id="rId78" Target="https://doi.org/10.1038/s41598-022-24076-x" TargetMode="External" /><Relationship Type="http://schemas.openxmlformats.org/officeDocument/2006/relationships/hyperlink" Id="rId159" Target="https://doi.org/10.1038/sdata.2016.18" TargetMode="External" /><Relationship Type="http://schemas.openxmlformats.org/officeDocument/2006/relationships/hyperlink" Id="rId121" Target="https://doi.org/10.1098/rsos.191849" TargetMode="External" /><Relationship Type="http://schemas.openxmlformats.org/officeDocument/2006/relationships/hyperlink" Id="rId125" Target="https://doi.org/10.1098/rsos.212019" TargetMode="External" /><Relationship Type="http://schemas.openxmlformats.org/officeDocument/2006/relationships/hyperlink" Id="rId115" Target="https://doi.org/10.1109/AEEICB.2017.7972424" TargetMode="External" /><Relationship Type="http://schemas.openxmlformats.org/officeDocument/2006/relationships/hyperlink" Id="rId111" Target="https://doi.org/10.1109/ICADIWT.2014.6814687" TargetMode="External" /><Relationship Type="http://schemas.openxmlformats.org/officeDocument/2006/relationships/hyperlink" Id="rId72" Target="https://doi.org/10.1111/j.1439-0310.2010.01758.x" TargetMode="External" /><Relationship Type="http://schemas.openxmlformats.org/officeDocument/2006/relationships/hyperlink" Id="rId131" Target="https://doi.org/10.1111/j.1469-185X.2007.00010.x" TargetMode="External" /><Relationship Type="http://schemas.openxmlformats.org/officeDocument/2006/relationships/hyperlink" Id="rId157"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76" Target="https://doi.org/10.1186/1745-6150-2-2" TargetMode="External" /><Relationship Type="http://schemas.openxmlformats.org/officeDocument/2006/relationships/hyperlink" Id="rId105" Target="https://doi.org/10.1186/s40462-020-00216-8" TargetMode="External" /><Relationship Type="http://schemas.openxmlformats.org/officeDocument/2006/relationships/hyperlink" Id="rId153" Target="https://doi.org/10.1214/20-BA1221" TargetMode="External" /><Relationship Type="http://schemas.openxmlformats.org/officeDocument/2006/relationships/hyperlink" Id="rId74" Target="https://doi.org/10.18637/jss.v080.i01" TargetMode="External" /><Relationship Type="http://schemas.openxmlformats.org/officeDocument/2006/relationships/hyperlink" Id="rId103" Target="https://doi.org/10.2527/1995.7392791x" TargetMode="External" /><Relationship Type="http://schemas.openxmlformats.org/officeDocument/2006/relationships/hyperlink" Id="rId62" Target="https://doi.org/10.2527/jas.2017.1593" TargetMode="External" /><Relationship Type="http://schemas.openxmlformats.org/officeDocument/2006/relationships/hyperlink" Id="rId87" Target="https://doi.org/10.3168/JDS.S0022-0302(03)74020-X" TargetMode="External" /><Relationship Type="http://schemas.openxmlformats.org/officeDocument/2006/relationships/hyperlink" Id="rId82" Target="https://doi.org/10.3168/jds.2007-0331" TargetMode="External" /><Relationship Type="http://schemas.openxmlformats.org/officeDocument/2006/relationships/hyperlink" Id="rId155" Target="https://doi.org/10.3168/jds.2007-0532" TargetMode="External" /><Relationship Type="http://schemas.openxmlformats.org/officeDocument/2006/relationships/hyperlink" Id="rId91" Target="https://doi.org/10.3168/jds.2010-3147" TargetMode="External" /><Relationship Type="http://schemas.openxmlformats.org/officeDocument/2006/relationships/hyperlink" Id="rId107" Target="https://doi.org/10.3168/jds.2011-5038" TargetMode="External" /><Relationship Type="http://schemas.openxmlformats.org/officeDocument/2006/relationships/hyperlink" Id="rId109" Target="https://doi.org/10.3168/jds.2013-7434" TargetMode="External" /><Relationship Type="http://schemas.openxmlformats.org/officeDocument/2006/relationships/hyperlink" Id="rId123" Target="https://doi.org/10.3168/jds.2017-14248" TargetMode="External" /><Relationship Type="http://schemas.openxmlformats.org/officeDocument/2006/relationships/hyperlink" Id="rId89" Target="https://doi.org/10.3168/jds.2019-16426" TargetMode="External" /><Relationship Type="http://schemas.openxmlformats.org/officeDocument/2006/relationships/hyperlink" Id="rId99" Target="https://doi.org/10.3168/jds.2019-16697" TargetMode="External" /><Relationship Type="http://schemas.openxmlformats.org/officeDocument/2006/relationships/hyperlink" Id="rId117" Target="https://doi.org/10.3168/jds.2019-17456" TargetMode="External" /><Relationship Type="http://schemas.openxmlformats.org/officeDocument/2006/relationships/hyperlink" Id="rId97" Target="https://doi.org/10.3168/jds.2020-18896" TargetMode="External" /><Relationship Type="http://schemas.openxmlformats.org/officeDocument/2006/relationships/hyperlink" Id="rId70" Target="https://doi.org/10.3168/jds.2022-23176" TargetMode="External" /><Relationship Type="http://schemas.openxmlformats.org/officeDocument/2006/relationships/hyperlink" Id="rId143" Target="https://doi.org/10.3168/jds.2023-24257" TargetMode="External" /><Relationship Type="http://schemas.openxmlformats.org/officeDocument/2006/relationships/hyperlink" Id="rId141" Target="https://doi.org/10.3168/jds.2023-24514" TargetMode="External" /><Relationship Type="http://schemas.openxmlformats.org/officeDocument/2006/relationships/hyperlink" Id="rId145" Target="https://doi.org/10.3168/jds.2023-24587" TargetMode="External" /><Relationship Type="http://schemas.openxmlformats.org/officeDocument/2006/relationships/hyperlink" Id="rId139" Target="https://doi.org/10.3168/jds.2025-26552" TargetMode="External" /><Relationship Type="http://schemas.openxmlformats.org/officeDocument/2006/relationships/hyperlink" Id="rId127" Target="https://doi.org/10.3168/jds.S0022-0302(01)74692-9" TargetMode="External" /><Relationship Type="http://schemas.openxmlformats.org/officeDocument/2006/relationships/hyperlink" Id="rId95" Target="https://doi.org/10.3168/jds.S0022-0302(06)72077-X" TargetMode="External" /><Relationship Type="http://schemas.openxmlformats.org/officeDocument/2006/relationships/hyperlink" Id="rId68" Target="https://doi.org/10.3168/jdsc.2021-0184" TargetMode="External" /><Relationship Type="http://schemas.openxmlformats.org/officeDocument/2006/relationships/hyperlink" Id="rId93" Target="https://doi.org/10.3389/fvets.2018.00131" TargetMode="External" /><Relationship Type="http://schemas.openxmlformats.org/officeDocument/2006/relationships/hyperlink" Id="rId80" Target="https://doi.org/10.3389/fvets.2022.82712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9" Target="https://www.R-project.org/" TargetMode="External" /><Relationship Type="http://schemas.openxmlformats.org/officeDocument/2006/relationships/hyperlink" Id="rId20" Target="https://www.skysheng.io/moo4feed/" TargetMode="External" /><Relationship Type="http://schemas.openxmlformats.org/officeDocument/2006/relationships/hyperlink" Id="rId25" Target="https://www.skysheng.io/moo4feed/articles/meal_clustering.html" TargetMode="External" /><Relationship Type="http://schemas.openxmlformats.org/officeDocument/2006/relationships/hyperlink" Id="rId43"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2026-05-14T02:00:36Z</dcterms:created>
  <dcterms:modified xsi:type="dcterms:W3CDTF">2026-05-14T02:00:36Z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