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feeding behaviour narratives using data streams collected from an automatic feeding system</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behavioral strategies within their natural social groups, without isolating animals for personality testing, reducing time and labor costs. Using 107 lactating Holstein dairy cows tracked over 207 days, we extracted 16 behavioral variables from electronic feed bin and water trough data, capturing conventional metrics (feeding and drinking intake, duration and meal frequency) alongside exploratory behavior (non-nutritive visits), social competition (agonistic replacement events), and indicators of feed quality upon access (e.g., proportion of fresh feed remaining upon arrival). Bayesian mixed-effects models quantified repeatability (between-individual variation in average behavioral expression) and predictability (between-individual variation in within-individual consistency). Variables capturing exploratory behavior, social competition, and water drinking duration showed the greatest and most consistent among-individual variation, while daily feed intake was among the least discriminating, suggesting individuals converge to similar intakes through strikingly different strategies. Principal component analysis with varimax rotation followed by k-means clustering on the eight variables with the highest repeatability and among-individual variation identified four behavioral profiles:</w:t>
      </w:r>
      <w:r>
        <w:t xml:space="preserve"> </w:t>
      </w:r>
      <w:r>
        <w:t xml:space="preserve">“typical”</w:t>
      </w:r>
      <w:r>
        <w:t xml:space="preserve"> </w:t>
      </w:r>
      <w:r>
        <w:t xml:space="preserve">cows (the unremarkable majority, frequently displaced at the bins),</w:t>
      </w:r>
      <w:r>
        <w:t xml:space="preserve"> </w:t>
      </w:r>
      <w:r>
        <w:t xml:space="preserve">“dominant”</w:t>
      </w:r>
      <w:r>
        <w:t xml:space="preserve"> </w:t>
      </w:r>
      <w:r>
        <w:t xml:space="preserve">cows (initiating many replacements with efficient, uninterrupted meals),</w:t>
      </w:r>
      <w:r>
        <w:t xml:space="preserve"> </w:t>
      </w:r>
      <w:r>
        <w:t xml:space="preserve">“heavy drinkers”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behavioral profiles that would be largely invisible when using generic group-level analyses. This framework may help future research in identifing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behavioral variables from raw electronic feeder and drinker data.</w:t>
      </w:r>
    </w:p>
    <w:p>
      <w:pPr>
        <w:pStyle w:val="BodyText"/>
      </w:pPr>
      <w:r>
        <w:rPr>
          <w:b/>
          <w:bCs/>
        </w:rPr>
        <w:t xml:space="preserve">Keywords:</w:t>
      </w:r>
      <w:r>
        <w:t xml:space="preserve"> </w:t>
      </w:r>
      <w:r>
        <w:t xml:space="preserve">repeatability, reproducibility, precision livestock farming, behavioral monitoring, individual differences</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etser2024b">
        <w:r>
          <w:rPr>
            <w:rStyle w:val="Hyperlink"/>
          </w:rPr>
          <w:t xml:space="preserve">Setser et al., 2024</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these longitudinal data streams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behavioral type (an individual’s average expression of a behavior),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summaries cannot.</w:t>
      </w:r>
    </w:p>
    <w:p>
      <w:pPr>
        <w:pStyle w:val="BodyText"/>
      </w:pPr>
      <w:r>
        <w:t xml:space="preserve">To date, however, no comprehensive and accessible framework exists for extracting these higher-resolution behavioral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behavioral consistency and among-individual differences in dairy cattle feeding and social behaviors captured from an electronic feeding system, using repeatability and predictability to identify which behaviors are most informative for characterizing individual differences. A secondary aim was to identify distinct behavioral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behavioral variables.</w:t>
      </w:r>
    </w:p>
    <w:bookmarkEnd w:id="21"/>
    <w:bookmarkStart w:id="34" w:name="methods"/>
    <w:p>
      <w:pPr>
        <w:pStyle w:val="Heading1"/>
      </w:pPr>
      <w:r>
        <w:t xml:space="preserve">3. Methods</w:t>
      </w:r>
    </w:p>
    <w:bookmarkStart w:id="22" w:name="animals-housing-and-data-collection"/>
    <w:p>
      <w:pPr>
        <w:pStyle w:val="Heading2"/>
      </w:pPr>
      <w:r>
        <w:t xml:space="preserve">3.1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3.2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5" w:name="behavioral-variable-extraction"/>
    <w:p>
      <w:pPr>
        <w:pStyle w:val="Heading2"/>
      </w:pPr>
      <w:r>
        <w:t xml:space="preserve">3.3 Behavioral Variable Extraction</w:t>
      </w:r>
    </w:p>
    <w:p>
      <w:pPr>
        <w:pStyle w:val="FirstParagraph"/>
      </w:pPr>
      <w:r>
        <w:t xml:space="preserve">To process the raw feeding and drinking data and extract meaningful behavioral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Full documentation, including additional functionalities not used here (e.g., pairwise synchronicity analysis), please refer to the package website.</w:t>
      </w:r>
    </w:p>
    <w:tbl>
      <w:tblPr>
        <w:tblStyle w:val="Table"/>
        <w:tblW w:type="pct" w:w="5000"/>
        <w:tblLayout w:type="fixed"/>
        <w:tblLook w:firstRow="0" w:lastRow="0" w:firstColumn="0" w:lastColumn="0" w:noHBand="0" w:noVBand="0" w:val="0000"/>
      </w:tblPr>
      <w:tblGrid>
        <w:gridCol w:w="7920"/>
      </w:tblGrid>
      <w:tr>
        <w:tc>
          <w:tcPr/>
          <w:bookmarkStart w:id="24" w:name="tbl-qc-checks"/>
          <w:p>
            <w:pPr>
              <w:jc w:val="start"/>
              <w:spacing w:before="200"/>
              <w:pStyle w:val="ImageCaption"/>
            </w:pPr>
            <w:r>
              <w:t xml:space="preserve">Table 1: Automated quality control checks applied to raw visit data from electronic feed and water bins. Dashes (—) indicate that threshold id data-driven, no hard-coded numerical threshold applies. Action: Flag = abnormal record is retained and marked for researchers to review in the daily quality control report; Correct = the record is automatically corrected; Remove = the record is deleted from the dataset. For negative weight corrections, intake is recalculated from the corrected weights (start weight − end weight); if the recalculated intake remains negative, the record is removed. All flagged records are retained in the final dataset; the flagging procedure functions as a warning system rather than a data filter.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cows detected than expected, indicating potential lost ear tags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Unrealistically large intake per visit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unusually low traffic or no visits, indicating potential equipment malfunction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Implausibly long visit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bookmarkEnd w:id="24"/>
        </w:tc>
      </w:tr>
    </w:tbl>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w:t>
      </w:r>
      <w:r>
        <w:t xml:space="preserve"> </w:t>
      </w:r>
      <w:hyperlink w:anchor="tbl-qc-checks">
        <w:r>
          <w:rPr>
            <w:rStyle w:val="Hyperlink"/>
          </w:rPr>
          <w:t xml:space="preserve">Table 1</w:t>
        </w:r>
      </w:hyperlink>
      <w:r>
        <w:t xml:space="preserve">.</w:t>
      </w:r>
    </w:p>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3.2).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behavioral variables were calculated per cow: total daily feed intake (kg), total daily feeding duration (s), total feeding visits, total daily water intake (L), total daily drinking duration (s), and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behavioral variables were included in the statistical analyses described in Section 3.4: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3.4 are designed to accommodate additional variables, and we encourage future researchers to extend this set and evaluate which further metrics may be informative for individual profiling.</w:t>
      </w:r>
    </w:p>
    <w:bookmarkEnd w:id="25"/>
    <w:bookmarkStart w:id="26" w:name="statistical-analysis"/>
    <w:p>
      <w:pPr>
        <w:pStyle w:val="Heading2"/>
      </w:pPr>
      <w:r>
        <w:t xml:space="preserve">3.4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Behavioral variable clustering.</w:t>
      </w:r>
      <w:r>
        <w:t xml:space="preserve"> </w:t>
      </w:r>
      <w:r>
        <w:t xml:space="preserve">To organize the 16 behavioral variables by how informative they are for individual profiling, we applied k-means clustering (k = 3, 50 random starts) to the posterior mean CVi and R values for each variable, after scaling both dimensions. All variables have low predictaibility values, thus measures of predictability were not used in behavioral variable clustering. The number of clusters (k = 3) was determined by researcher judgment based on visual inspection of the CVi and R distributions. The three clusters were labeled by descending R and CVi: Cluster 1 (high R, high CVi: traits in which cows differ substantially in their individual average behavioral expression relative to the herd mean, and those individual differences are consistent over time); Cluster 2 (high R, low CVi: traits in which individual differences are consistent over time, but the variation among cows is small relative to the herd mean); and Cluster 3 (low R, low CVi: traits in which cows show little variation relative to the herd mean, and what little variation exists is not consistent over time). We used only the variables in Cluster 1 for the downstream cow clustering, as they were deemed as the most informative for individual cow profiling.</w:t>
      </w:r>
    </w:p>
    <w:p>
      <w:pPr>
        <w:pStyle w:val="BodyText"/>
      </w:pPr>
      <w:r>
        <w:rPr>
          <w:b/>
          <w:bCs/>
        </w:rPr>
        <w:t xml:space="preserve">Individual-level behavioral profiles.</w:t>
      </w:r>
      <w:r>
        <w:t xml:space="preserve"> </w:t>
      </w:r>
      <w:r>
        <w:t xml:space="preserve">For each cow and each behavioral variable in Cluster 1, we extracted the individual intercept from the posterior distribution: the population intercept plus each cow’s random effect (back-transformed to the original scale for lognormal models). This represents a cow’s average behavioral type (i.e., a cow’s typical expression of their behavior). For example, for daily feed intake modeled with a Gaussian likelihood, if the population intercept is 50 kg and cow A’s random effect is 20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three principal components.</w:t>
      </w:r>
    </w:p>
    <w:bookmarkEnd w:id="26"/>
    <w:bookmarkStart w:id="33" w:name="X12f7218f56bb14132dd246c9b94261230bb4ed3"/>
    <w:p>
      <w:pPr>
        <w:pStyle w:val="Heading2"/>
      </w:pPr>
      <w:r>
        <w:t xml:space="preserve">3.5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7">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8">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behavioral measures. The source code and example data included in the R package is hosted on GitHub:</w:t>
      </w:r>
      <w:r>
        <w:t xml:space="preserve"> </w:t>
      </w:r>
      <w:hyperlink r:id="rId29">
        <w:r>
          <w:rPr>
            <w:rStyle w:val="Hyperlink"/>
          </w:rPr>
          <w:t xml:space="preserve">https://github.com/skysheng7/moo4feed.git</w:t>
        </w:r>
      </w:hyperlink>
      <w:r>
        <w:t xml:space="preserve">. We used the newly developed R package to extract the behavioral variables described in Section 3.3 and conduct all statistical analyses described in Section 3.4, data and code for all the data analysis are available at:</w:t>
      </w:r>
      <w:r>
        <w:t xml:space="preserve"> </w:t>
      </w:r>
      <w:hyperlink r:id="rId30">
        <w:r>
          <w:rPr>
            <w:rStyle w:val="Hyperlink"/>
          </w:rPr>
          <w:t xml:space="preserve">https://github.com/skysheng7/competition_dominance_analysis.git</w:t>
        </w:r>
      </w:hyperlink>
      <w:r>
        <w:t xml:space="preserve">. We have also used Borealis to archive the R package at:</w:t>
      </w:r>
      <w:r>
        <w:t xml:space="preserve"> </w:t>
      </w:r>
      <w:hyperlink r:id="rId31">
        <w:r>
          <w:rPr>
            <w:rStyle w:val="Hyperlink"/>
          </w:rPr>
          <w:t xml:space="preserve">https://doi.org/10.5683/SP3/LF4DRO</w:t>
        </w:r>
      </w:hyperlink>
      <w:r>
        <w:t xml:space="preserve"> </w:t>
      </w:r>
      <w:r>
        <w:t xml:space="preserve">and data analysis code at:</w:t>
      </w:r>
      <w:r>
        <w:t xml:space="preserve"> </w:t>
      </w:r>
      <w:hyperlink r:id="rId32">
        <w:r>
          <w:rPr>
            <w:rStyle w:val="Hyperlink"/>
          </w:rPr>
          <w:t xml:space="preserve">https://doi.org/10.5683/SP3/K6J350</w:t>
        </w:r>
      </w:hyperlink>
      <w:r>
        <w:t xml:space="preserve">.</w:t>
      </w:r>
    </w:p>
    <w:bookmarkEnd w:id="33"/>
    <w:bookmarkEnd w:id="34"/>
    <w:bookmarkStart w:id="55" w:name="results"/>
    <w:p>
      <w:pPr>
        <w:pStyle w:val="Heading1"/>
      </w:pPr>
      <w:r>
        <w:t xml:space="preserve">4.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40" w:name="X9d6e91404153fc17df43a9ceb93dda92758a06e"/>
    <w:p>
      <w:pPr>
        <w:pStyle w:val="Heading2"/>
      </w:pPr>
      <w:r>
        <w:t xml:space="preserve">4.1 Among-Individual Variation: Repeatability and CVi</w:t>
      </w:r>
    </w:p>
    <w:p>
      <w:pPr>
        <w:pStyle w:val="FirstParagraph"/>
      </w:pPr>
      <w:r>
        <w:t xml:space="preserve">Because R is confounded by within-individual variance (Section 3.4), we use the coefficient of individual variation (CVi) as the primary metric for comparing the magnitude of among-individual differences across the 16 behavioral variables, and we report R alongside CVi as a reference for how reliably those differences persist from day to day (Table 1,</w:t>
      </w:r>
      <w:r>
        <w:t xml:space="preserve"> </w:t>
      </w:r>
      <w:hyperlink w:anchor="fig-rep-cvp-scatter">
        <w:r>
          <w:rPr>
            <w:rStyle w:val="Hyperlink"/>
          </w:rPr>
          <w:t xml:space="preserve">Figure 1</w:t>
        </w:r>
      </w:hyperlink>
      <w:r>
        <w:t xml:space="preserve">).</w:t>
      </w: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behaviors in this herd among all variables we evalauted. At the other end of the spectrum, the percentage of meal time spent actively feeding (CVi = 0.09 [0.08, 0.10]) and daily feed intake (CVi = 0.10 [0.08, 0.11]) showed the smallest relative variation, meaning cows are nearly indistinguishable from one another on these dimensions.</w:t>
      </w:r>
    </w:p>
    <w:p>
      <w:pPr>
        <w:pStyle w:val="BodyText"/>
      </w:pPr>
      <w:r>
        <w:t xml:space="preserve">Repeatability (R) provides complementary but not redundant information. Daily water drinking duration had the highest R (0.74 [0.69, 0.79]), followed by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3.4,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w:t>
      </w:r>
      <m:oMath>
        <m:r>
          <m:t>R</m:t>
        </m:r>
        <m:r>
          <m:rPr>
            <m:sty m:val="p"/>
          </m:rPr>
          <m:t>=</m:t>
        </m:r>
        <m:f>
          <m:fPr>
            <m:type m:val="bar"/>
          </m:fPr>
          <m:num>
            <m:r>
              <m:rPr>
                <m:nor/>
                <m:sty m:val="p"/>
              </m:rPr>
              <m:t>var.cow</m:t>
            </m:r>
          </m:num>
          <m:den>
            <m:r>
              <m:rPr>
                <m:nor/>
                <m:sty m:val="p"/>
              </m:rPr>
              <m:t>var.cow</m:t>
            </m:r>
            <m:r>
              <m:rPr>
                <m:sty m:val="p"/>
              </m:rPr>
              <m:t>+</m:t>
            </m:r>
            <m:r>
              <m:rPr>
                <m:nor/>
                <m:sty m:val="p"/>
              </m:rPr>
              <m:t>var.res</m:t>
            </m:r>
          </m:den>
        </m:f>
      </m:oMath>
      <w:r>
        <w:t xml:space="preserve">)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p>
      <w:pPr>
        <w:sectPr>
          <w:pgSz w:w="12240" w:h="15840"/>
          <w:pgMar w:top="1440" w:right="1440" w:bottom="1440" w:left="1440" w:header="720" w:footer="720" w:gutter="0"/>
          <w:cols w:space="720"/>
        </w:sectPr>
      </w:pPr>
    </w:p>
    <w:p>
      <w:pPr>
        <w:pStyle w:val="BodyText"/>
      </w:pPr>
    </w:p>
    <w:p>
      <w:pPr>
        <w:pStyle w:val="BodyText"/>
      </w:pPr>
      <w:r>
        <w:rPr>
          <w:b/>
          <w:bCs/>
        </w:rPr>
        <w:t xml:space="preserve">Table 1.</w:t>
      </w:r>
      <w:r>
        <w:t xml:space="preserve"> </w:t>
      </w:r>
      <w:r>
        <w:t xml:space="preserve">Repeatability (R), coefficient of individual variation (CVi), coefficient of variation of predictability (CVP), and residual intra-individual variability (rIIV) for the 16 behavioral variables. Values are posterior means with 95% credible intervals in brackets. Cell color encodes the posterior mean within each metric (darker = higher). Rows are grouped by behavioral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31"/>
        <w:gridCol w:w="2792"/>
        <w:gridCol w:w="1712"/>
        <w:gridCol w:w="1712"/>
        <w:gridCol w:w="1712"/>
        <w:gridCol w:w="1712"/>
      </w:tblGrid>
      <w:tr>
        <w:trPr>
          <w:trHeight w:val="580"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none" w:sz="0" w:space="0" w:color="000000"/>
              <w:top w:val="single" w:sz="12" w:space="0" w:color="666666"/>
              <w:left w:val="none" w:sz="0" w:space="0" w:color="000000"/>
              <w:right w:val="none" w:sz="0" w:space="0" w:color="000000"/>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none" w:sz="0" w:space="0" w:color="000000"/>
              <w:top w:val="single" w:sz="12" w:space="0" w:color="666666"/>
              <w:left w:val="none" w:sz="0" w:space="0" w:color="000000"/>
              <w:right w:val="none" w:sz="0" w:space="0" w:color="000000"/>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none" w:sz="0" w:space="0" w:color="000000"/>
              <w:top w:val="single" w:sz="12" w:space="0" w:color="666666"/>
              <w:left w:val="none" w:sz="0" w:space="0" w:color="000000"/>
              <w:right w:val="none" w:sz="0" w:space="0" w:color="000000"/>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none" w:sz="0" w:space="0" w:color="000000"/>
              <w:top w:val="single" w:sz="12" w:space="0" w:color="666666"/>
              <w:left w:val="none" w:sz="0" w:space="0" w:color="000000"/>
              <w:right w:val="none" w:sz="0" w:space="0" w:color="000000"/>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none" w:sz="0" w:space="0" w:color="000000"/>
              <w:top w:val="none" w:sz="0" w:space="0" w:color="000000"/>
              <w:left w:val="none" w:sz="0" w:space="0" w:color="000000"/>
              <w:right w:val="none" w:sz="0" w:space="0" w:color="000000"/>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none" w:sz="0" w:space="0" w:color="000000"/>
              <w:top w:val="none" w:sz="0" w:space="0" w:color="000000"/>
              <w:left w:val="none" w:sz="0" w:space="0" w:color="000000"/>
              <w:right w:val="none" w:sz="0" w:space="0" w:color="000000"/>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none" w:sz="0" w:space="0" w:color="000000"/>
              <w:top w:val="none" w:sz="0" w:space="0" w:color="000000"/>
              <w:left w:val="none" w:sz="0" w:space="0" w:color="000000"/>
              <w:right w:val="none" w:sz="0" w:space="0" w:color="000000"/>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none" w:sz="0" w:space="0" w:color="000000"/>
              <w:top w:val="none" w:sz="0" w:space="0" w:color="000000"/>
              <w:left w:val="none" w:sz="0" w:space="0" w:color="000000"/>
              <w:right w:val="none" w:sz="0" w:space="0" w:color="000000"/>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none" w:sz="0" w:space="0" w:color="000000"/>
              <w:top w:val="none" w:sz="0" w:space="0" w:color="000000"/>
              <w:left w:val="none" w:sz="0" w:space="0" w:color="000000"/>
              <w:right w:val="none" w:sz="0" w:space="0" w:color="000000"/>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none" w:sz="0" w:space="0" w:color="000000"/>
              <w:top w:val="none" w:sz="0" w:space="0" w:color="000000"/>
              <w:left w:val="none" w:sz="0" w:space="0" w:color="000000"/>
              <w:right w:val="none" w:sz="0" w:space="0" w:color="000000"/>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none" w:sz="0" w:space="0" w:color="000000"/>
              <w:top w:val="none" w:sz="0" w:space="0" w:color="000000"/>
              <w:left w:val="none" w:sz="0" w:space="0" w:color="000000"/>
              <w:right w:val="none" w:sz="0" w:space="0" w:color="000000"/>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none" w:sz="0" w:space="0" w:color="000000"/>
              <w:top w:val="none" w:sz="0" w:space="0" w:color="000000"/>
              <w:left w:val="none" w:sz="0" w:space="0" w:color="000000"/>
              <w:right w:val="none" w:sz="0" w:space="0" w:color="000000"/>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none" w:sz="0" w:space="0" w:color="000000"/>
              <w:top w:val="none" w:sz="0" w:space="0" w:color="000000"/>
              <w:left w:val="none" w:sz="0" w:space="0" w:color="000000"/>
              <w:right w:val="none" w:sz="0" w:space="0" w:color="000000"/>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none" w:sz="0" w:space="0" w:color="000000"/>
              <w:top w:val="none" w:sz="0" w:space="0" w:color="000000"/>
              <w:left w:val="none" w:sz="0" w:space="0" w:color="000000"/>
              <w:right w:val="none" w:sz="0" w:space="0" w:color="000000"/>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none" w:sz="0" w:space="0" w:color="000000"/>
              <w:top w:val="none" w:sz="0" w:space="0" w:color="000000"/>
              <w:left w:val="none" w:sz="0" w:space="0" w:color="000000"/>
              <w:right w:val="none" w:sz="0" w:space="0" w:color="000000"/>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none" w:sz="0" w:space="0" w:color="000000"/>
              <w:top w:val="none" w:sz="0" w:space="0" w:color="000000"/>
              <w:left w:val="none" w:sz="0" w:space="0" w:color="000000"/>
              <w:right w:val="none" w:sz="0" w:space="0" w:color="000000"/>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none" w:sz="0" w:space="0" w:color="000000"/>
              <w:top w:val="none" w:sz="0" w:space="0" w:color="000000"/>
              <w:left w:val="none" w:sz="0" w:space="0" w:color="000000"/>
              <w:right w:val="none" w:sz="0" w:space="0" w:color="000000"/>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none" w:sz="0" w:space="0" w:color="000000"/>
              <w:top w:val="none" w:sz="0" w:space="0" w:color="000000"/>
              <w:left w:val="none" w:sz="0" w:space="0" w:color="000000"/>
              <w:right w:val="none" w:sz="0" w:space="0" w:color="000000"/>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none" w:sz="0" w:space="0" w:color="000000"/>
              <w:top w:val="none" w:sz="0" w:space="0" w:color="000000"/>
              <w:left w:val="none" w:sz="0" w:space="0" w:color="000000"/>
              <w:right w:val="none" w:sz="0" w:space="0" w:color="000000"/>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none" w:sz="0" w:space="0" w:color="000000"/>
              <w:top w:val="none" w:sz="0" w:space="0" w:color="000000"/>
              <w:left w:val="none" w:sz="0" w:space="0" w:color="000000"/>
              <w:right w:val="none" w:sz="0" w:space="0" w:color="000000"/>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none" w:sz="0" w:space="0" w:color="000000"/>
              <w:top w:val="none" w:sz="0" w:space="0" w:color="000000"/>
              <w:left w:val="none" w:sz="0" w:space="0" w:color="000000"/>
              <w:right w:val="none" w:sz="0" w:space="0" w:color="000000"/>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none" w:sz="0" w:space="0" w:color="000000"/>
              <w:top w:val="none" w:sz="0" w:space="0" w:color="000000"/>
              <w:left w:val="none" w:sz="0" w:space="0" w:color="000000"/>
              <w:right w:val="none" w:sz="0" w:space="0" w:color="000000"/>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none" w:sz="0" w:space="0" w:color="000000"/>
              <w:top w:val="none" w:sz="0" w:space="0" w:color="000000"/>
              <w:left w:val="none" w:sz="0" w:space="0" w:color="000000"/>
              <w:right w:val="none" w:sz="0" w:space="0" w:color="000000"/>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none" w:sz="0" w:space="0" w:color="000000"/>
              <w:top w:val="none" w:sz="0" w:space="0" w:color="000000"/>
              <w:left w:val="none" w:sz="0" w:space="0" w:color="000000"/>
              <w:right w:val="none" w:sz="0" w:space="0" w:color="000000"/>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none" w:sz="0" w:space="0" w:color="000000"/>
              <w:top w:val="none" w:sz="0" w:space="0" w:color="000000"/>
              <w:left w:val="none" w:sz="0" w:space="0" w:color="000000"/>
              <w:right w:val="none" w:sz="0" w:space="0" w:color="000000"/>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none" w:sz="0" w:space="0" w:color="000000"/>
              <w:top w:val="none" w:sz="0" w:space="0" w:color="000000"/>
              <w:left w:val="none" w:sz="0" w:space="0" w:color="000000"/>
              <w:right w:val="none" w:sz="0" w:space="0" w:color="000000"/>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none" w:sz="0" w:space="0" w:color="000000"/>
              <w:top w:val="none" w:sz="0" w:space="0" w:color="000000"/>
              <w:left w:val="none" w:sz="0" w:space="0" w:color="000000"/>
              <w:right w:val="none" w:sz="0" w:space="0" w:color="000000"/>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none" w:sz="0" w:space="0" w:color="000000"/>
              <w:top w:val="none" w:sz="0" w:space="0" w:color="000000"/>
              <w:left w:val="none" w:sz="0" w:space="0" w:color="000000"/>
              <w:right w:val="none" w:sz="0" w:space="0" w:color="000000"/>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none" w:sz="0" w:space="0" w:color="000000"/>
              <w:top w:val="none" w:sz="0" w:space="0" w:color="000000"/>
              <w:left w:val="none" w:sz="0" w:space="0" w:color="000000"/>
              <w:right w:val="none" w:sz="0" w:space="0" w:color="000000"/>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none" w:sz="0" w:space="0" w:color="000000"/>
              <w:top w:val="none" w:sz="0" w:space="0" w:color="000000"/>
              <w:left w:val="none" w:sz="0" w:space="0" w:color="000000"/>
              <w:right w:val="none" w:sz="0" w:space="0" w:color="000000"/>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none" w:sz="0" w:space="0" w:color="000000"/>
              <w:top w:val="none" w:sz="0" w:space="0" w:color="000000"/>
              <w:left w:val="none" w:sz="0" w:space="0" w:color="000000"/>
              <w:right w:val="none" w:sz="0" w:space="0" w:color="000000"/>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none" w:sz="0" w:space="0" w:color="000000"/>
              <w:top w:val="none" w:sz="0" w:space="0" w:color="000000"/>
              <w:left w:val="none" w:sz="0" w:space="0" w:color="000000"/>
              <w:right w:val="none" w:sz="0" w:space="0" w:color="000000"/>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none" w:sz="0" w:space="0" w:color="000000"/>
              <w:top w:val="none" w:sz="0" w:space="0" w:color="000000"/>
              <w:left w:val="none" w:sz="0" w:space="0" w:color="000000"/>
              <w:right w:val="none" w:sz="0" w:space="0" w:color="000000"/>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none" w:sz="0" w:space="0" w:color="000000"/>
              <w:top w:val="none" w:sz="0" w:space="0" w:color="000000"/>
              <w:left w:val="none" w:sz="0" w:space="0" w:color="000000"/>
              <w:right w:val="none" w:sz="0" w:space="0" w:color="000000"/>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none" w:sz="0" w:space="0" w:color="000000"/>
              <w:top w:val="none" w:sz="0" w:space="0" w:color="000000"/>
              <w:left w:val="none" w:sz="0" w:space="0" w:color="000000"/>
              <w:right w:val="none" w:sz="0" w:space="0" w:color="000000"/>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none" w:sz="0" w:space="0" w:color="000000"/>
              <w:top w:val="none" w:sz="0" w:space="0" w:color="000000"/>
              <w:left w:val="none" w:sz="0" w:space="0" w:color="000000"/>
              <w:right w:val="none" w:sz="0" w:space="0" w:color="000000"/>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none" w:sz="0" w:space="0" w:color="000000"/>
              <w:top w:val="none" w:sz="0" w:space="0" w:color="000000"/>
              <w:left w:val="none" w:sz="0" w:space="0" w:color="000000"/>
              <w:right w:val="none" w:sz="0" w:space="0" w:color="000000"/>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none" w:sz="0" w:space="0" w:color="000000"/>
              <w:top w:val="none" w:sz="0" w:space="0" w:color="000000"/>
              <w:left w:val="none" w:sz="0" w:space="0" w:color="000000"/>
              <w:right w:val="none" w:sz="0" w:space="0" w:color="000000"/>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none" w:sz="0" w:space="0" w:color="000000"/>
              <w:top w:val="none" w:sz="0" w:space="0" w:color="000000"/>
              <w:left w:val="none" w:sz="0" w:space="0" w:color="000000"/>
              <w:right w:val="none" w:sz="0" w:space="0" w:color="000000"/>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none" w:sz="0" w:space="0" w:color="000000"/>
              <w:top w:val="none" w:sz="0" w:space="0" w:color="000000"/>
              <w:left w:val="none" w:sz="0" w:space="0" w:color="000000"/>
              <w:right w:val="none" w:sz="0" w:space="0" w:color="000000"/>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none" w:sz="0" w:space="0" w:color="000000"/>
              <w:top w:val="none" w:sz="0" w:space="0" w:color="000000"/>
              <w:left w:val="none" w:sz="0" w:space="0" w:color="000000"/>
              <w:right w:val="none" w:sz="0" w:space="0" w:color="000000"/>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none" w:sz="0" w:space="0" w:color="000000"/>
              <w:top w:val="none" w:sz="0" w:space="0" w:color="000000"/>
              <w:left w:val="none" w:sz="0" w:space="0" w:color="000000"/>
              <w:right w:val="none" w:sz="0" w:space="0" w:color="000000"/>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none" w:sz="0" w:space="0" w:color="000000"/>
              <w:top w:val="none" w:sz="0" w:space="0" w:color="000000"/>
              <w:left w:val="none" w:sz="0" w:space="0" w:color="000000"/>
              <w:right w:val="none" w:sz="0" w:space="0" w:color="000000"/>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none" w:sz="0" w:space="0" w:color="000000"/>
              <w:top w:val="none" w:sz="0" w:space="0" w:color="000000"/>
              <w:left w:val="none" w:sz="0" w:space="0" w:color="000000"/>
              <w:right w:val="none" w:sz="0" w:space="0" w:color="000000"/>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none" w:sz="0" w:space="0" w:color="000000"/>
              <w:top w:val="none" w:sz="0" w:space="0" w:color="000000"/>
              <w:left w:val="none" w:sz="0" w:space="0" w:color="000000"/>
              <w:right w:val="none" w:sz="0" w:space="0" w:color="000000"/>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none" w:sz="0" w:space="0" w:color="000000"/>
              <w:top w:val="none" w:sz="0" w:space="0" w:color="000000"/>
              <w:left w:val="none" w:sz="0" w:space="0" w:color="000000"/>
              <w:right w:val="none" w:sz="0" w:space="0" w:color="000000"/>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none" w:sz="0" w:space="0" w:color="000000"/>
              <w:top w:val="none" w:sz="0" w:space="0" w:color="000000"/>
              <w:left w:val="none" w:sz="0" w:space="0" w:color="000000"/>
              <w:right w:val="none" w:sz="0" w:space="0" w:color="000000"/>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none" w:sz="0" w:space="0" w:color="000000"/>
              <w:top w:val="none" w:sz="0" w:space="0" w:color="000000"/>
              <w:left w:val="none" w:sz="0" w:space="0" w:color="000000"/>
              <w:right w:val="none" w:sz="0" w:space="0" w:color="000000"/>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none" w:sz="0" w:space="0" w:color="000000"/>
              <w:top w:val="none" w:sz="0" w:space="0" w:color="000000"/>
              <w:left w:val="none" w:sz="0" w:space="0" w:color="000000"/>
              <w:right w:val="none" w:sz="0" w:space="0" w:color="000000"/>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none" w:sz="0" w:space="0" w:color="000000"/>
              <w:top w:val="none" w:sz="0" w:space="0" w:color="000000"/>
              <w:left w:val="none" w:sz="0" w:space="0" w:color="000000"/>
              <w:right w:val="none" w:sz="0" w:space="0" w:color="000000"/>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none" w:sz="0" w:space="0" w:color="000000"/>
              <w:top w:val="none" w:sz="0" w:space="0" w:color="000000"/>
              <w:left w:val="none" w:sz="0" w:space="0" w:color="000000"/>
              <w:right w:val="none" w:sz="0" w:space="0" w:color="000000"/>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none" w:sz="0" w:space="0" w:color="000000"/>
              <w:top w:val="none" w:sz="0" w:space="0" w:color="000000"/>
              <w:left w:val="none" w:sz="0" w:space="0" w:color="000000"/>
              <w:right w:val="none" w:sz="0" w:space="0" w:color="000000"/>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none" w:sz="0" w:space="0" w:color="000000"/>
              <w:top w:val="none" w:sz="0" w:space="0" w:color="000000"/>
              <w:left w:val="none" w:sz="0" w:space="0" w:color="000000"/>
              <w:right w:val="none" w:sz="0" w:space="0" w:color="000000"/>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12" w:space="0" w:color="666666"/>
              <w:top w:val="none" w:sz="0" w:space="0" w:color="000000"/>
              <w:left w:val="none" w:sz="0" w:space="0" w:color="000000"/>
              <w:right w:val="none" w:sz="0" w:space="0" w:color="000000"/>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12" w:space="0" w:color="666666"/>
              <w:top w:val="none" w:sz="0" w:space="0" w:color="000000"/>
              <w:left w:val="none" w:sz="0" w:space="0" w:color="000000"/>
              <w:right w:val="none" w:sz="0" w:space="0" w:color="000000"/>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12" w:space="0" w:color="666666"/>
              <w:top w:val="none" w:sz="0" w:space="0" w:color="000000"/>
              <w:left w:val="none" w:sz="0" w:space="0" w:color="000000"/>
              <w:right w:val="none" w:sz="0" w:space="0" w:color="000000"/>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12" w:space="0" w:color="666666"/>
              <w:top w:val="none" w:sz="0" w:space="0" w:color="000000"/>
              <w:left w:val="none" w:sz="0" w:space="0" w:color="000000"/>
              <w:right w:val="none" w:sz="0" w:space="0" w:color="000000"/>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bookmarkStart w:id="39" w:name="cell-fig-rep-cvp-scatter"/>
    <w:tbl>
      <w:tblPr>
        <w:tblStyle w:val="Table"/>
        <w:tblW w:type="pct" w:w="5000"/>
        <w:tblLayout w:type="fixed"/>
        <w:tblLook w:firstRow="0" w:lastRow="0" w:firstColumn="0" w:lastColumn="0" w:noHBand="0" w:noVBand="0" w:val="0000"/>
      </w:tblPr>
      <w:tblGrid>
        <w:gridCol w:w="7920"/>
      </w:tblGrid>
      <w:tr>
        <w:tc>
          <w:tcPr/>
          <w:bookmarkStart w:id="38" w:name="fig-rep-cvp-scatter"/>
          <w:p>
            <w:pPr>
              <w:pStyle w:val="Compact"/>
              <w:jc w:val="center"/>
            </w:pPr>
            <w:r>
              <w:drawing>
                <wp:inline>
                  <wp:extent cx="5943600" cy="2701636"/>
                  <wp:effectExtent b="0" l="0" r="0" t="0"/>
                  <wp:docPr descr="" title="" id="36" name="Picture"/>
                  <a:graphic>
                    <a:graphicData uri="http://schemas.openxmlformats.org/drawingml/2006/picture">
                      <pic:pic>
                        <pic:nvPicPr>
                          <pic:cNvPr descr="results/14_individual_traits/ellipse_scatter_grid_AB.png" id="37" name="Picture"/>
                          <pic:cNvPicPr>
                            <a:picLocks noChangeArrowheads="1" noChangeAspect="1"/>
                          </pic:cNvPicPr>
                        </pic:nvPicPr>
                        <pic:blipFill>
                          <a:blip r:embed="rId35"/>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behavioral variables. (A) Repeatability (R) vs coefficient of individual variation (CVi). (B) Coefficient of variation of predictability (CVP) vs CVi. Each point is a behavioral variable; ellipses show 95% credible intervals on both axes. Points are coloured by the 3-cluster k-means solution of Section 4.3 (Cluster 1 = high R, high CVi; Cluster 2 = high R, low CVi; Cluster 3 = low R, low CVi). Point shape distinguishes the likelihood family used for the mixed model.</w:t>
            </w:r>
          </w:p>
          <w:bookmarkEnd w:id="38"/>
        </w:tc>
      </w:tr>
    </w:tbl>
    <w:bookmarkEnd w:id="39"/>
    <w:p>
      <w:pPr>
        <w:pStyle w:val="BodyText"/>
      </w:pPr>
    </w:p>
    <w:bookmarkEnd w:id="40"/>
    <w:bookmarkStart w:id="41" w:name="X857bc80184dc77d076ea7728b0a447ef6e74b84"/>
    <w:p>
      <w:pPr>
        <w:pStyle w:val="Heading2"/>
      </w:pPr>
      <w:r>
        <w:t xml:space="preserve">4.2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behaviors at a similar level of behvioral consistency within themselves aross different days, and cows differed little from one another in how predictable they were. The corresponding rIIV values indicate that the least-predictable cows showed only about 1.2 times more variable than most-predictable cows for these behaviors.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 consistency: some cows were more consistent than others in these behaviors,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1"/>
    <w:bookmarkStart w:id="42" w:name="classifying-behavioral-variables"/>
    <w:p>
      <w:pPr>
        <w:pStyle w:val="Heading2"/>
      </w:pPr>
      <w:r>
        <w:t xml:space="preserve">4.3 Classifying Behavioral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Behavior Cluster 1 — high R, high CVi</w:t>
      </w:r>
      <w:r>
        <w:t xml:space="preserve"> </w:t>
      </w:r>
      <w:r>
        <w:t xml:space="preserve">contained 8 variables: number of non nutritive visits, total actor, median non nutritive per meal, water duration, total reactor, median visit per meal, feed visits, water visits. Cows in this cluster differed widely from one another in their average behavioral expression, and these differences remained stable over time. In other words, each cow had a distinctive and repeatable behavioural signature. These variables are the most useful for characterising individual behavioural profiles.</w:t>
      </w:r>
    </w:p>
    <w:p>
      <w:pPr>
        <w:pStyle w:val="BodyText"/>
      </w:pPr>
      <w:r>
        <w:rPr>
          <w:b/>
          <w:bCs/>
        </w:rPr>
        <w:t xml:space="preserve">Behavior Cluster 2 — high R, low CVi</w:t>
      </w:r>
      <w:r>
        <w:t xml:space="preserve"> </w:t>
      </w:r>
      <w:r>
        <w:t xml:space="preserve">contained 3 variables: feed duration, water intake, median feeding pct per meal. Individual differences were again consistent over time, but the spread of individual differences across the herd was narrow relative to the herd mean.</w:t>
      </w:r>
    </w:p>
    <w:p>
      <w:pPr>
        <w:pStyle w:val="BodyText"/>
      </w:pPr>
      <w:r>
        <w:rPr>
          <w:b/>
          <w:bCs/>
        </w:rPr>
        <w:t xml:space="preserve">Behavior Cluster 3 — low R, low CVi</w:t>
      </w:r>
      <w:r>
        <w:t xml:space="preserve"> </w:t>
      </w:r>
      <w:r>
        <w:t xml:space="preserve">contained 5 variables: median meal duration, median intake per meal, total meals, median pct feed remaining,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tendencies.</w:t>
      </w:r>
    </w:p>
    <w:bookmarkEnd w:id="42"/>
    <w:bookmarkStart w:id="53" w:name="identifying-cow-types-via-pca"/>
    <w:p>
      <w:pPr>
        <w:pStyle w:val="Heading2"/>
      </w:pPr>
      <w:r>
        <w:t xml:space="preserve">4.4 Identifying Cow Types via PCA</w:t>
      </w:r>
    </w:p>
    <w:p>
      <w:pPr>
        <w:pStyle w:val="FirstParagraph"/>
      </w:pPr>
      <w:r>
        <w:t xml:space="preserve">We applied PCA with varimax rotation to the intercepts (average individual cow’s behaviour expression) of the 8 Behavior Cluster 1 variables. 3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2,</w:t>
      </w:r>
      <w:r>
        <w:t xml:space="preserve"> </w:t>
      </w:r>
      <w:hyperlink w:anchor="fig-pca-biplots">
        <w:r>
          <w:rPr>
            <w:rStyle w:val="Hyperlink"/>
          </w:rPr>
          <w:t xml:space="preserve">Figure 2</w:t>
        </w:r>
      </w:hyperlink>
      <w:r>
        <w:t xml:space="preserve">). Rotated Component (RC) 1 explained the largest share of variance (51.6%), driven primarily by non-nutritive behavior and feeding patterns. RC2 explained 21.3% of variance and was most strongly associated with drinking patterns. RC3 captured the remaining variance, primarily related to agonistic behavior (actor and reactor events).</w:t>
      </w:r>
    </w:p>
    <w:p>
      <w:pPr>
        <w:pStyle w:val="BodyText"/>
      </w:pPr>
    </w:p>
    <w:p>
      <w:pPr>
        <w:pStyle w:val="BodyText"/>
      </w:pPr>
      <w:r>
        <w:rPr>
          <w:b/>
          <w:bCs/>
        </w:rPr>
        <w:t xml:space="preserve">Table 2.</w:t>
      </w:r>
      <w:r>
        <w:t xml:space="preserve"> </w:t>
      </w:r>
      <w:r>
        <w:t xml:space="preserve">Varimax-rotated PCA loadings for the 8 Behavior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12" w:space="0" w:color="666666"/>
              <w:top w:val="single" w:sz="12" w:space="0" w:color="666666"/>
              <w:left w:val="none" w:sz="0" w:space="0" w:color="000000"/>
              <w:right w:val="none" w:sz="0" w:space="0" w:color="000000"/>
            </w:tcBorders>
            <w:shd w:val="clear" w:color="auto" w:fill="1F3A9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p>
    <w:p>
      <w:pPr>
        <w:pStyle w:val="BodyText"/>
      </w:pPr>
    </w:p>
    <w:bookmarkStart w:id="51" w:name="fig-pca-biplo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6" w:name="fig-pca-biplots-1"/>
                <w:p>
                  <w:pPr>
                    <w:pStyle w:val="Compact"/>
                    <w:jc w:val="center"/>
                    <w:jc w:val="left"/>
                  </w:pPr>
                  <w:r>
                    <w:drawing>
                      <wp:inline>
                        <wp:extent cx="2971800" cy="2674620"/>
                        <wp:effectExtent b="0" l="0" r="0" t="0"/>
                        <wp:docPr descr="" title="" id="44" name="Picture"/>
                        <a:graphic>
                          <a:graphicData uri="http://schemas.openxmlformats.org/drawingml/2006/picture">
                            <pic:pic>
                              <pic:nvPicPr>
                                <pic:cNvPr descr="results/15_pca_clustering/pca_M3_c1_int_biplot_clusters_rc1_rc2.png" id="45" name="Picture"/>
                                <pic:cNvPicPr>
                                  <a:picLocks noChangeArrowheads="1" noChangeAspect="1"/>
                                </pic:cNvPicPr>
                              </pic:nvPicPr>
                              <pic:blipFill>
                                <a:blip r:embed="rId43"/>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(a) RC1 vs RC2</w:t>
                  </w:r>
                </w:p>
                <w:bookmarkEnd w:id="46"/>
              </w:tc>
            </w:tr>
          </w:tbl>
          <w:p/>
        </w:tc>
        <w:tc>
          <w:tcPr/>
          <w:tbl>
            <w:tblPr>
              <w:tblStyle w:val="Table"/>
              <w:tblW w:type="pct" w:w="4900"/>
              <w:tblLayout w:type="fixed"/>
              <w:tblLook w:firstRow="0" w:lastRow="0" w:firstColumn="0" w:lastColumn="0" w:noHBand="0" w:noVBand="0" w:val="0000"/>
            </w:tblPr>
            <w:tblGrid>
              <w:gridCol w:w="7761"/>
            </w:tblGrid>
            <w:tr>
              <w:tc>
                <w:tcPr/>
                <w:bookmarkStart w:id="50" w:name="fig-pca-biplots-2"/>
                <w:p>
                  <w:pPr>
                    <w:pStyle w:val="Compact"/>
                    <w:jc w:val="center"/>
                    <w:jc w:val="left"/>
                  </w:pPr>
                  <w:r>
                    <w:drawing>
                      <wp:inline>
                        <wp:extent cx="2971800" cy="2674620"/>
                        <wp:effectExtent b="0" l="0" r="0" t="0"/>
                        <wp:docPr descr="" title="" id="48" name="Picture"/>
                        <a:graphic>
                          <a:graphicData uri="http://schemas.openxmlformats.org/drawingml/2006/picture">
                            <pic:pic>
                              <pic:nvPicPr>
                                <pic:cNvPr descr="results/15_pca_clustering/pca_M3_c1_int_biplot_clusters_rc1_rc3.png" id="49" name="Picture"/>
                                <pic:cNvPicPr>
                                  <a:picLocks noChangeArrowheads="1" noChangeAspect="1"/>
                                </pic:cNvPicPr>
                              </pic:nvPicPr>
                              <pic:blipFill>
                                <a:blip r:embed="rId47"/>
                                <a:stretch>
                                  <a:fillRect/>
                                </a:stretch>
                              </pic:blipFill>
                              <pic:spPr bwMode="auto">
                                <a:xfrm>
                                  <a:off x="0" y="0"/>
                                  <a:ext cx="2971800" cy="2674620"/>
                                </a:xfrm>
                                <a:prstGeom prst="rect">
                                  <a:avLst/>
                                </a:prstGeom>
                                <a:noFill/>
                                <a:ln w="9525">
                                  <a:noFill/>
                                  <a:headEnd/>
                                  <a:tailEnd/>
                                </a:ln>
                              </pic:spPr>
                            </pic:pic>
                          </a:graphicData>
                        </a:graphic>
                      </wp:inline>
                    </w:drawing>
                  </w:r>
                </w:p>
                <w:p>
                  <w:pPr>
                    <w:jc w:val="start"/>
                    <w:spacing w:before="200"/>
                    <w:pStyle w:val="ImageCaption"/>
                  </w:pPr>
                  <w:r>
                    <w:t xml:space="preserve">(b) RC1 vs RC3</w:t>
                  </w:r>
                </w:p>
                <w:bookmarkEnd w:id="50"/>
              </w:tc>
            </w:tr>
          </w:tbl>
          <w:p/>
        </w:tc>
      </w:tr>
    </w:tbl>
    <w:p>
      <w:pPr>
        <w:spacing w:before="200"/>
        <w:pStyle w:val="ImageCaption"/>
      </w:pPr>
      <w:r>
        <w:t xml:space="preserve">Figure 2: PCA biplots using the intercepts of Cluster-1 variables. Left: Rotated Component (RC)1 vs RC2. Right: RC1 vs RC3. Each point is a cow, coloured by k-means cluster assignment; arrows represent variable loadings scaled to the score space. Ellipses show 95% confidence regions around each cluster centroid.</w:t>
      </w:r>
    </w:p>
    <w:bookmarkEnd w:id="51"/>
    <w:p>
      <w:pPr>
        <w:pStyle w:val="BodyText"/>
      </w:pPr>
    </w:p>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52">
        <w:r>
          <w:rPr>
            <w:rStyle w:val="Hyperlink"/>
          </w:rPr>
          <w:t xml:space="preserve">https://www.skysheng.io/moo4feed_decoding_animal/</w:t>
        </w:r>
      </w:hyperlink>
      <w:r>
        <w:t xml:space="preserve">.</w:t>
      </w:r>
    </w:p>
    <w:p>
      <w:pPr>
        <w:pStyle w:val="BodyText"/>
      </w:pPr>
      <w:r>
        <w:rPr>
          <w:b/>
          <w:bCs/>
        </w:rPr>
        <w:t xml:space="preserve">Cow Cluster 1 —</w:t>
      </w:r>
      <w:r>
        <w:rPr>
          <w:b/>
          <w:bCs/>
        </w:rPr>
        <w:t xml:space="preserve"> </w:t>
      </w:r>
      <w:r>
        <w:rPr>
          <w:b/>
          <w:bCs/>
        </w:rPr>
        <w:t xml:space="preserve">“typical subordinate”</w:t>
      </w:r>
      <w:r>
        <w:rPr>
          <w:b/>
          <w:bCs/>
        </w:rPr>
        <w:t xml:space="preserve"> </w:t>
      </w:r>
      <w:r>
        <w:rPr>
          <w:b/>
          <w:bCs/>
        </w:rPr>
        <w:t xml:space="preserve">cows (n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“heavy drinkers”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behavioral tail of the distribution rather than a common type.</w:t>
      </w:r>
    </w:p>
    <w:p>
      <w:pPr>
        <w:pStyle w:val="BodyText"/>
      </w:pPr>
      <w:r>
        <w:rPr>
          <w:b/>
          <w:bCs/>
        </w:rPr>
        <w:t xml:space="preserve">Cow Cluster 4 —</w:t>
      </w:r>
      <w:r>
        <w:rPr>
          <w:b/>
          <w:bCs/>
        </w:rPr>
        <w:t xml:space="preserve"> </w:t>
      </w:r>
      <w:r>
        <w:rPr>
          <w:b/>
          <w:bCs/>
        </w:rPr>
        <w:t xml:space="preserve">“dominant”</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initiate many more replacement events than they receive (</w:t>
      </w:r>
      <w:hyperlink w:anchor="fig-pca-biplots">
        <w:r>
          <w:rPr>
            <w:rStyle w:val="Hyperlink"/>
          </w:rPr>
          <w:t xml:space="preserve">Figure 2</w:t>
        </w:r>
      </w:hyperlink>
      <w:r>
        <w:t xml:space="preserve"> </w:t>
      </w:r>
      <w:r>
        <w:t xml:space="preserve">B). Their feeding, drinking behaviors, and meal patterns are otherwise unremarkable. This cluster represents the socially dominant cows of the herd. These cows likely benefit from preferential access to feed bins.</w:t>
      </w:r>
    </w:p>
    <w:bookmarkEnd w:id="53"/>
    <w:bookmarkStart w:id="54" w:name="individual-cow-stories"/>
    <w:p>
      <w:pPr>
        <w:pStyle w:val="Heading2"/>
      </w:pPr>
      <w:r>
        <w:t xml:space="preserve">4.6 Individual Cow Stories</w:t>
      </w:r>
    </w:p>
    <w:p>
      <w:pPr>
        <w:pStyle w:val="FirstParagraph"/>
      </w:pPr>
      <w:r>
        <w:t xml:space="preserve">We selected one cow from each of the 4 clusters (cows 7068, 7150, 5042, 5120) and describe their individual stories through their average behavioral expression compared to the herd. All behavioral values reported below are posterior means of each cow’s behavioral type (i.e., her individual intercept from the mixed models in Section 4.1),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subordinate”</w:t>
      </w:r>
      <w:r>
        <w:rPr>
          <w:b/>
          <w:bCs/>
        </w:rPr>
        <w:t xml:space="preserve"> </w:t>
      </w:r>
      <w:r>
        <w:rPr>
          <w:b/>
          <w:bCs/>
        </w:rPr>
        <w:t xml:space="preserve">(Cluster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“heavy drinker”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actually below the herd median. She simply keep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essentially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 to occupy a feed bin, she eats fast.</w:t>
      </w:r>
    </w:p>
    <w:p>
      <w:pPr>
        <w:pStyle w:val="BodyText"/>
      </w:pPr>
      <w:r>
        <w:rPr>
          <w:b/>
          <w:bCs/>
        </w:rPr>
        <w:t xml:space="preserve">Cow 5120 — a</w:t>
      </w:r>
      <w:r>
        <w:rPr>
          <w:b/>
          <w:bCs/>
        </w:rPr>
        <w:t xml:space="preserve"> </w:t>
      </w:r>
      <w:r>
        <w:rPr>
          <w:b/>
          <w:bCs/>
        </w:rPr>
        <w:t xml:space="preserve">“dominant”</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54"/>
    <w:bookmarkEnd w:id="55"/>
    <w:bookmarkStart w:id="74" w:name="discussion"/>
    <w:p>
      <w:pPr>
        <w:pStyle w:val="Heading1"/>
      </w:pPr>
      <w:r>
        <w:t xml:space="preserve">4. Discussion</w:t>
      </w:r>
    </w:p>
    <w:bookmarkStart w:id="58" w:name="interpretation-of-results"/>
    <w:p>
      <w:pPr>
        <w:pStyle w:val="Heading2"/>
      </w:pPr>
      <w:r>
        <w:t xml:space="preserve">Interpretation of Results</w:t>
      </w:r>
    </w:p>
    <w:p>
      <w:pPr>
        <w:pStyle w:val="FirstParagraph"/>
      </w:pPr>
      <w:r>
        <w:t xml:space="preserve">[What do your results mean? Connect back to research questions]</w:t>
      </w:r>
    </w:p>
    <w:bookmarkStart w:id="56" w:name="research-question-1-restate-question"/>
    <w:p>
      <w:pPr>
        <w:pStyle w:val="Heading3"/>
      </w:pPr>
      <w:r>
        <w:t xml:space="preserve">[Research Question 1]: [Restate question]</w:t>
      </w:r>
    </w:p>
    <w:p>
      <w:pPr>
        <w:pStyle w:val="FirstParagraph"/>
      </w:pPr>
      <w:r>
        <w:t xml:space="preserve">[Discuss what your results tell us about this question]</w:t>
      </w:r>
    </w:p>
    <w:bookmarkEnd w:id="56"/>
    <w:bookmarkStart w:id="57" w:name="research-question-2-restate-question"/>
    <w:p>
      <w:pPr>
        <w:pStyle w:val="Heading3"/>
      </w:pPr>
      <w:r>
        <w:t xml:space="preserve">[Research Question 2]: [Restate question]</w:t>
      </w:r>
    </w:p>
    <w:p>
      <w:pPr>
        <w:pStyle w:val="FirstParagraph"/>
      </w:pPr>
      <w:r>
        <w:t xml:space="preserve">[Continue for each research question]</w:t>
      </w:r>
    </w:p>
    <w:bookmarkEnd w:id="57"/>
    <w:bookmarkEnd w:id="58"/>
    <w:bookmarkStart w:id="62" w:name="implications"/>
    <w:p>
      <w:pPr>
        <w:pStyle w:val="Heading2"/>
      </w:pPr>
      <w:r>
        <w:t xml:space="preserve">Implications</w:t>
      </w:r>
    </w:p>
    <w:bookmarkStart w:id="59" w:name="theoretical-implications"/>
    <w:p>
      <w:pPr>
        <w:pStyle w:val="Heading3"/>
      </w:pPr>
      <w:r>
        <w:t xml:space="preserve">Theoretical Implications</w:t>
      </w:r>
    </w:p>
    <w:p>
      <w:pPr>
        <w:pStyle w:val="FirstParagraph"/>
      </w:pPr>
      <w:r>
        <w:t xml:space="preserve">[How your findings contribute to theory]</w:t>
      </w:r>
    </w:p>
    <w:bookmarkEnd w:id="59"/>
    <w:bookmarkStart w:id="60" w:name="practical-implications"/>
    <w:p>
      <w:pPr>
        <w:pStyle w:val="Heading3"/>
      </w:pPr>
      <w:r>
        <w:t xml:space="preserve">Practical Implications</w:t>
      </w:r>
    </w:p>
    <w:p>
      <w:pPr>
        <w:pStyle w:val="FirstParagraph"/>
      </w:pPr>
      <w:r>
        <w:t xml:space="preserve">[How your findings can be applied in practice]</w:t>
      </w:r>
    </w:p>
    <w:bookmarkEnd w:id="60"/>
    <w:bookmarkStart w:id="61" w:name="methodological-implications"/>
    <w:p>
      <w:pPr>
        <w:pStyle w:val="Heading3"/>
      </w:pPr>
      <w:r>
        <w:t xml:space="preserve">Methodological Implications</w:t>
      </w:r>
    </w:p>
    <w:p>
      <w:pPr>
        <w:pStyle w:val="FirstParagraph"/>
      </w:pPr>
      <w:r>
        <w:t xml:space="preserve">[What your work means for how research should be conducted]</w:t>
      </w:r>
    </w:p>
    <w:bookmarkEnd w:id="61"/>
    <w:bookmarkEnd w:id="62"/>
    <w:bookmarkStart w:id="65" w:name="comparison-with-prior-work"/>
    <w:p>
      <w:pPr>
        <w:pStyle w:val="Heading2"/>
      </w:pPr>
      <w:r>
        <w:t xml:space="preserve">Comparison with Prior Work</w:t>
      </w:r>
    </w:p>
    <w:p>
      <w:pPr>
        <w:pStyle w:val="FirstParagraph"/>
      </w:pPr>
      <w:r>
        <w:t xml:space="preserve">[How your results relate to existing literature]</w:t>
      </w:r>
    </w:p>
    <w:bookmarkStart w:id="63" w:name="confirmatory-findings"/>
    <w:p>
      <w:pPr>
        <w:pStyle w:val="Heading3"/>
      </w:pPr>
      <w:r>
        <w:t xml:space="preserve">Confirmatory Findings</w:t>
      </w:r>
    </w:p>
    <w:p>
      <w:pPr>
        <w:pStyle w:val="FirstParagraph"/>
      </w:pPr>
      <w:r>
        <w:t xml:space="preserve">[Where your results support existing work]</w:t>
      </w:r>
    </w:p>
    <w:bookmarkEnd w:id="63"/>
    <w:bookmarkStart w:id="64" w:name="novel-contributions"/>
    <w:p>
      <w:pPr>
        <w:pStyle w:val="Heading3"/>
      </w:pPr>
      <w:r>
        <w:t xml:space="preserve">Novel Contributions</w:t>
      </w:r>
    </w:p>
    <w:p>
      <w:pPr>
        <w:pStyle w:val="FirstParagraph"/>
      </w:pPr>
      <w:r>
        <w:t xml:space="preserve">[Where your results extend or challenge existing knowledge]</w:t>
      </w:r>
    </w:p>
    <w:bookmarkEnd w:id="64"/>
    <w:bookmarkEnd w:id="65"/>
    <w:bookmarkStart w:id="69" w:name="limitations"/>
    <w:p>
      <w:pPr>
        <w:pStyle w:val="Heading2"/>
      </w:pPr>
      <w:r>
        <w:t xml:space="preserve">Limitations</w:t>
      </w:r>
    </w:p>
    <w:p>
      <w:pPr>
        <w:pStyle w:val="FirstParagraph"/>
      </w:pPr>
      <w:r>
        <w:t xml:space="preserve">[Honest assessment of study limitations]</w:t>
      </w:r>
    </w:p>
    <w:bookmarkStart w:id="66" w:name="methodological-limitations"/>
    <w:p>
      <w:pPr>
        <w:pStyle w:val="Heading3"/>
      </w:pPr>
      <w:r>
        <w:t xml:space="preserve">Methodological Limitations</w:t>
      </w:r>
    </w:p>
    <w:p>
      <w:pPr>
        <w:pStyle w:val="FirstParagraph"/>
      </w:pPr>
      <w:r>
        <w:t xml:space="preserve">[Limitations in your approach]</w:t>
      </w:r>
    </w:p>
    <w:bookmarkEnd w:id="66"/>
    <w:bookmarkStart w:id="67" w:name="scope-limitations"/>
    <w:p>
      <w:pPr>
        <w:pStyle w:val="Heading3"/>
      </w:pPr>
      <w:r>
        <w:t xml:space="preserve">Scope Limitations</w:t>
      </w:r>
    </w:p>
    <w:p>
      <w:pPr>
        <w:pStyle w:val="FirstParagraph"/>
      </w:pPr>
      <w:r>
        <w:t xml:space="preserve">[Boundaries of your findings]</w:t>
      </w:r>
    </w:p>
    <w:bookmarkEnd w:id="67"/>
    <w:bookmarkStart w:id="68" w:name="data-limitations"/>
    <w:p>
      <w:pPr>
        <w:pStyle w:val="Heading3"/>
      </w:pPr>
      <w:r>
        <w:t xml:space="preserve">Data Limitations</w:t>
      </w:r>
    </w:p>
    <w:p>
      <w:pPr>
        <w:pStyle w:val="FirstParagraph"/>
      </w:pPr>
      <w:r>
        <w:t xml:space="preserve">[If applicable]</w:t>
      </w:r>
    </w:p>
    <w:bookmarkEnd w:id="68"/>
    <w:bookmarkEnd w:id="69"/>
    <w:bookmarkStart w:id="72" w:name="threats-to-validity"/>
    <w:p>
      <w:pPr>
        <w:pStyle w:val="Heading2"/>
      </w:pPr>
      <w:r>
        <w:t xml:space="preserve">Threats to Validity</w:t>
      </w:r>
    </w:p>
    <w:p>
      <w:pPr>
        <w:pStyle w:val="FirstParagraph"/>
      </w:pPr>
      <w:r>
        <w:t xml:space="preserve">[Potential issues that could affect your conclusions]</w:t>
      </w:r>
    </w:p>
    <w:bookmarkStart w:id="70" w:name="internal-validity"/>
    <w:p>
      <w:pPr>
        <w:pStyle w:val="Heading3"/>
      </w:pPr>
      <w:r>
        <w:t xml:space="preserve">Internal Validity</w:t>
      </w:r>
    </w:p>
    <w:p>
      <w:pPr>
        <w:pStyle w:val="FirstParagraph"/>
      </w:pPr>
      <w:r>
        <w:t xml:space="preserve">[Issues within your study]</w:t>
      </w:r>
    </w:p>
    <w:bookmarkEnd w:id="70"/>
    <w:bookmarkStart w:id="71" w:name="external-validity"/>
    <w:p>
      <w:pPr>
        <w:pStyle w:val="Heading3"/>
      </w:pPr>
      <w:r>
        <w:t xml:space="preserve">External Validity</w:t>
      </w:r>
    </w:p>
    <w:p>
      <w:pPr>
        <w:pStyle w:val="FirstParagraph"/>
      </w:pPr>
      <w:r>
        <w:t xml:space="preserve">[Generalizability concerns]</w:t>
      </w:r>
    </w:p>
    <w:bookmarkEnd w:id="71"/>
    <w:bookmarkEnd w:id="72"/>
    <w:bookmarkStart w:id="73" w:name="future-research-directions"/>
    <w:p>
      <w:pPr>
        <w:pStyle w:val="Heading2"/>
      </w:pPr>
      <w:r>
        <w:t xml:space="preserve">Future Research Directions</w:t>
      </w:r>
    </w:p>
    <w:p>
      <w:pPr>
        <w:pStyle w:val="FirstParagraph"/>
      </w:pPr>
      <w:r>
        <w:t xml:space="preserve">[What should be done next]</w:t>
      </w:r>
    </w:p>
    <w:p>
      <w:pPr>
        <w:pStyle w:val="Compact"/>
        <w:numPr>
          <w:ilvl w:val="0"/>
          <w:numId w:val="1003"/>
        </w:numPr>
      </w:pPr>
      <w:r>
        <w:rPr>
          <w:b/>
          <w:bCs/>
        </w:rPr>
        <w:t xml:space="preserve">[Direction 1]</w:t>
      </w:r>
      <w:r>
        <w:t xml:space="preserve">: [Description and rationale]</w:t>
      </w:r>
    </w:p>
    <w:p>
      <w:pPr>
        <w:pStyle w:val="Compact"/>
        <w:numPr>
          <w:ilvl w:val="0"/>
          <w:numId w:val="1003"/>
        </w:numPr>
      </w:pPr>
      <w:r>
        <w:rPr>
          <w:b/>
          <w:bCs/>
        </w:rPr>
        <w:t xml:space="preserve">[Direction 2]</w:t>
      </w:r>
      <w:r>
        <w:t xml:space="preserve">: [Description and rationale]</w:t>
      </w:r>
    </w:p>
    <w:p>
      <w:pPr>
        <w:pStyle w:val="Compact"/>
        <w:numPr>
          <w:ilvl w:val="0"/>
          <w:numId w:val="1003"/>
        </w:numPr>
      </w:pPr>
      <w:r>
        <w:rPr>
          <w:b/>
          <w:bCs/>
        </w:rPr>
        <w:t xml:space="preserve">[Direction 3]</w:t>
      </w:r>
      <w:r>
        <w:t xml:space="preserve">: [Description and rationale]</w:t>
      </w:r>
    </w:p>
    <w:bookmarkEnd w:id="73"/>
    <w:bookmarkEnd w:id="74"/>
    <w:bookmarkStart w:id="75"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behavioral narratives. Using dairy cows as an example, we demonstrate that animals living in the same environment differ consistently and substantially from one another across feeding, drinking, and social behaviors. Variables capturing exploratory behavior, social competition at the feed bunk, and water drinking duration showed the greatest and most consistent among-individual variation. Daily feed intake was among the least discriminating, suggesting that individuals converge to similar daily intakes through strikingly different strategies. Using behaviors showing consistent among-individual differences, we identified four distinct behavioral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behavioral profiling as a practical foundation for disease and distress monitoring in farm animals and beyond.</w:t>
      </w:r>
    </w:p>
    <w:bookmarkEnd w:id="75"/>
    <w:bookmarkStart w:id="76"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76"/>
    <w:bookmarkStart w:id="77"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77"/>
    <w:bookmarkStart w:id="78"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78"/>
    <w:bookmarkStart w:id="142"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41" w:name="references"/>
    <w:p>
      <w:pPr>
        <w:pStyle w:val="Heading2"/>
      </w:pPr>
      <w:r>
        <w:t xml:space="preserve">References</w:t>
      </w:r>
    </w:p>
    <w:bookmarkStart w:id="140" w:name="refs"/>
    <w:bookmarkStart w:id="80"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79">
        <w:r>
          <w:rPr>
            <w:rStyle w:val="Hyperlink"/>
          </w:rPr>
          <w:t xml:space="preserve">https://doi.org/10.2527/jas.2017.1593</w:t>
        </w:r>
      </w:hyperlink>
    </w:p>
    <w:bookmarkEnd w:id="80"/>
    <w:bookmarkStart w:id="81" w:name="ref-biro2012"/>
    <w:p>
      <w:pPr>
        <w:pStyle w:val="Bibliography"/>
      </w:pPr>
      <w:r>
        <w:t xml:space="preserve">Biro, P.A., 2012. Do rapid assays predict repeatability in labile (behavioural) traits? Animal Behaviour 83, 1295–1300.</w:t>
      </w:r>
    </w:p>
    <w:bookmarkEnd w:id="81"/>
    <w:bookmarkStart w:id="83"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82">
        <w:r>
          <w:rPr>
            <w:rStyle w:val="Hyperlink"/>
          </w:rPr>
          <w:t xml:space="preserve">https://doi.org/10.3168/jdsc.2021-0184</w:t>
        </w:r>
      </w:hyperlink>
    </w:p>
    <w:bookmarkEnd w:id="83"/>
    <w:bookmarkStart w:id="85"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84">
        <w:r>
          <w:rPr>
            <w:rStyle w:val="Hyperlink"/>
          </w:rPr>
          <w:t xml:space="preserve">https://doi.org/10.3168/jds.2022-23176</w:t>
        </w:r>
      </w:hyperlink>
    </w:p>
    <w:bookmarkEnd w:id="85"/>
    <w:bookmarkStart w:id="86" w:name="ref-budaev2010using"/>
    <w:p>
      <w:pPr>
        <w:pStyle w:val="Bibliography"/>
      </w:pPr>
      <w:r>
        <w:t xml:space="preserve">Budaev, S.V., 2010. Using principal components and factor analysis in animal behaviour research: Caveats and guidelines. Ethology 116, 472–480.</w:t>
      </w:r>
    </w:p>
    <w:bookmarkEnd w:id="86"/>
    <w:bookmarkStart w:id="87" w:name="ref-burkner2017brms"/>
    <w:p>
      <w:pPr>
        <w:pStyle w:val="Bibliography"/>
      </w:pPr>
      <w:r>
        <w:t xml:space="preserve">Bürkner, P.-C., 2017. Brms: An r package for bayesian multilevel models using stan. Journal of statistical software 80, 1–28.</w:t>
      </w:r>
    </w:p>
    <w:bookmarkEnd w:id="87"/>
    <w:bookmarkStart w:id="89"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88">
        <w:r>
          <w:rPr>
            <w:rStyle w:val="Hyperlink"/>
          </w:rPr>
          <w:t xml:space="preserve">https://doi.org/10.1186/1745-6150-2-2</w:t>
        </w:r>
      </w:hyperlink>
    </w:p>
    <w:bookmarkEnd w:id="89"/>
    <w:bookmarkStart w:id="90"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90"/>
    <w:bookmarkStart w:id="91"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91"/>
    <w:bookmarkStart w:id="92"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92"/>
    <w:bookmarkStart w:id="94"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93">
        <w:r>
          <w:rPr>
            <w:rStyle w:val="Hyperlink"/>
          </w:rPr>
          <w:t xml:space="preserve">https://doi.org/10.1016/j.applanim.2024.106315</w:t>
        </w:r>
      </w:hyperlink>
    </w:p>
    <w:bookmarkEnd w:id="94"/>
    <w:bookmarkStart w:id="95" w:name="ref-dawkins2021"/>
    <w:p>
      <w:pPr>
        <w:pStyle w:val="Bibliography"/>
      </w:pPr>
      <w:r>
        <w:t xml:space="preserve">Dawkins, M.S., 2021. The science of animal welfare: Understanding what animals want. Oxford University Press.</w:t>
      </w:r>
    </w:p>
    <w:bookmarkEnd w:id="95"/>
    <w:bookmarkStart w:id="97"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96">
        <w:r>
          <w:rPr>
            <w:rStyle w:val="Hyperlink"/>
          </w:rPr>
          <w:t xml:space="preserve">https://doi.org/10.3168/JDS.S0022-0302(03)74020-X</w:t>
        </w:r>
      </w:hyperlink>
    </w:p>
    <w:bookmarkEnd w:id="97"/>
    <w:bookmarkStart w:id="98"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98"/>
    <w:bookmarkStart w:id="100"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99">
        <w:r>
          <w:rPr>
            <w:rStyle w:val="Hyperlink"/>
          </w:rPr>
          <w:t xml:space="preserve">https://doi.org/10.3168/jds.2010-3147</w:t>
        </w:r>
      </w:hyperlink>
    </w:p>
    <w:bookmarkEnd w:id="100"/>
    <w:bookmarkStart w:id="101" w:name="ref-finkemeier2018"/>
    <w:p>
      <w:pPr>
        <w:pStyle w:val="Bibliography"/>
      </w:pPr>
      <w:r>
        <w:t xml:space="preserve">Finkemeier, M.-A., Langbein, J., Puppe, B., 2018. Personality research in mammalian farm animals: Concepts, measures, and relationship to welfare. Frontiers in veterinary science 5, 131.</w:t>
      </w:r>
    </w:p>
    <w:bookmarkEnd w:id="101"/>
    <w:bookmarkStart w:id="102" w:name="ref-flower2006effect"/>
    <w:p>
      <w:pPr>
        <w:pStyle w:val="Bibliography"/>
      </w:pPr>
      <w:r>
        <w:t xml:space="preserve">Flower, F., Weary, D., 2006. Effect of hoof pathologies on subjective assessments of dairy cow gait. Journal of dairy science 89, 139–146.</w:t>
      </w:r>
    </w:p>
    <w:bookmarkEnd w:id="102"/>
    <w:bookmarkStart w:id="104" w:name="ref-Foris2021"/>
    <w:p>
      <w:pPr>
        <w:pStyle w:val="Bibliography"/>
      </w:pPr>
      <w:r>
        <w:t xml:space="preserve">Foris, B., Haas, H.G., Langbein, J., Melzer, N., 2021. Familiarity influences social networks in dairy cows after regrouping. Journal of Dairy Science 104, 3485–3494.</w:t>
      </w:r>
      <w:r>
        <w:t xml:space="preserve"> </w:t>
      </w:r>
      <w:hyperlink r:id="rId103">
        <w:r>
          <w:rPr>
            <w:rStyle w:val="Hyperlink"/>
          </w:rPr>
          <w:t xml:space="preserve">https://doi.org/10.3168/jds.2020-18896</w:t>
        </w:r>
      </w:hyperlink>
    </w:p>
    <w:bookmarkEnd w:id="104"/>
    <w:bookmarkStart w:id="105"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105"/>
    <w:bookmarkStart w:id="107"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106">
        <w:r>
          <w:rPr>
            <w:rStyle w:val="Hyperlink"/>
          </w:rPr>
          <w:t xml:space="preserve">https://doi.org/10.1111/rssa.12378</w:t>
        </w:r>
      </w:hyperlink>
    </w:p>
    <w:bookmarkEnd w:id="107"/>
    <w:bookmarkStart w:id="109"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108">
        <w:r>
          <w:rPr>
            <w:rStyle w:val="Hyperlink"/>
          </w:rPr>
          <w:t xml:space="preserve">https://doi.org/10.2527/1995.7392791x</w:t>
        </w:r>
      </w:hyperlink>
    </w:p>
    <w:bookmarkEnd w:id="109"/>
    <w:bookmarkStart w:id="110" w:name="ref-hertel2020"/>
    <w:p>
      <w:pPr>
        <w:pStyle w:val="Bibliography"/>
      </w:pPr>
      <w:r>
        <w:t xml:space="preserve">Hertel, A.G., Niemelä, P.T., Dingemanse, N.J., Mueller, T., 2020. A guide for studying among-individual behavioral variation from movement data in the wild. Movement ecology 8, 30.</w:t>
      </w:r>
    </w:p>
    <w:bookmarkEnd w:id="110"/>
    <w:bookmarkStart w:id="112"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111">
        <w:r>
          <w:rPr>
            <w:rStyle w:val="Hyperlink"/>
          </w:rPr>
          <w:t xml:space="preserve">https://doi.org/10.3168/jds.2011-5038</w:t>
        </w:r>
      </w:hyperlink>
    </w:p>
    <w:bookmarkEnd w:id="112"/>
    <w:bookmarkStart w:id="113" w:name="ref-huzzey2014automatic"/>
    <w:p>
      <w:pPr>
        <w:pStyle w:val="Bibliography"/>
      </w:pPr>
      <w:r>
        <w:t xml:space="preserve">Huzzey, J., Weary, D., Tiau, B., Von Keyserlingk, M., 2014. Automatic detection of social competition using an electronic feeding system. Journal of dairy science 97, 2953–2958.</w:t>
      </w:r>
    </w:p>
    <w:bookmarkEnd w:id="113"/>
    <w:bookmarkStart w:id="114"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114"/>
    <w:bookmarkStart w:id="116"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115">
        <w:r>
          <w:rPr>
            <w:rStyle w:val="Hyperlink"/>
          </w:rPr>
          <w:t xml:space="preserve">https://doi.org/10.1016/0168-1591(91)90086-D</w:t>
        </w:r>
      </w:hyperlink>
    </w:p>
    <w:bookmarkEnd w:id="116"/>
    <w:bookmarkStart w:id="117"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17"/>
    <w:bookmarkStart w:id="119"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18">
        <w:r>
          <w:rPr>
            <w:rStyle w:val="Hyperlink"/>
          </w:rPr>
          <w:t xml:space="preserve">https://doi.org/10.3168/jds.2017-14248</w:t>
        </w:r>
      </w:hyperlink>
    </w:p>
    <w:bookmarkEnd w:id="119"/>
    <w:bookmarkStart w:id="120"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20"/>
    <w:bookmarkStart w:id="122"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21">
        <w:r>
          <w:rPr>
            <w:rStyle w:val="Hyperlink"/>
          </w:rPr>
          <w:t xml:space="preserve">https://doi.org/10.3168/jds.S0022-0302(01)74692-9</w:t>
        </w:r>
      </w:hyperlink>
    </w:p>
    <w:bookmarkEnd w:id="122"/>
    <w:bookmarkStart w:id="124" w:name="ref-R-base"/>
    <w:p>
      <w:pPr>
        <w:pStyle w:val="Bibliography"/>
      </w:pPr>
      <w:r>
        <w:t xml:space="preserve">R Core Team, 2025.</w:t>
      </w:r>
      <w:r>
        <w:t xml:space="preserve"> </w:t>
      </w:r>
      <w:hyperlink r:id="rId123">
        <w:r>
          <w:rPr>
            <w:rStyle w:val="Hyperlink"/>
          </w:rPr>
          <w:t xml:space="preserve">R: A language and environment for statistical computing</w:t>
        </w:r>
      </w:hyperlink>
      <w:r>
        <w:t xml:space="preserve">. R Foundation for Statistical Computing, Vienna, Austria.</w:t>
      </w:r>
    </w:p>
    <w:bookmarkEnd w:id="124"/>
    <w:bookmarkStart w:id="125" w:name="ref-reale2007"/>
    <w:p>
      <w:pPr>
        <w:pStyle w:val="Bibliography"/>
      </w:pPr>
      <w:r>
        <w:t xml:space="preserve">Réale, D., Reader, S.M., Sol, D., McDougall, P.T., Dingemanse, N.J., 2007. Integrating animal temperament within ecology and evolution. Biological reviews 82, 291–318.</w:t>
      </w:r>
    </w:p>
    <w:bookmarkEnd w:id="125"/>
    <w:bookmarkStart w:id="127"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26">
        <w:r>
          <w:rPr>
            <w:rStyle w:val="Hyperlink"/>
          </w:rPr>
          <w:t xml:space="preserve">https://doi.org/10.1016/j.applanim.2018.12.012</w:t>
        </w:r>
      </w:hyperlink>
    </w:p>
    <w:bookmarkEnd w:id="127"/>
    <w:bookmarkStart w:id="129"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28">
        <w:r>
          <w:rPr>
            <w:rStyle w:val="Hyperlink"/>
          </w:rPr>
          <w:t xml:space="preserve">https://doi.org/10.1016/0377-0427(87)90125-7</w:t>
        </w:r>
      </w:hyperlink>
    </w:p>
    <w:bookmarkEnd w:id="129"/>
    <w:bookmarkStart w:id="130" w:name="ref-setser2024b"/>
    <w:p>
      <w:pPr>
        <w:pStyle w:val="Bibliography"/>
      </w:pPr>
      <w:r>
        <w:t xml:space="preserve">Setser, M.W., Neave, H., Costa, J., 2024. Individuality of calves: Linking personality traits to feeding and activity daily patterns measured by precision livestock technology. Journal of Dairy Science 107, 3235–3251.</w:t>
      </w:r>
    </w:p>
    <w:bookmarkEnd w:id="130"/>
    <w:bookmarkStart w:id="131"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31"/>
    <w:bookmarkStart w:id="133"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32">
        <w:r>
          <w:rPr>
            <w:rStyle w:val="Hyperlink"/>
          </w:rPr>
          <w:t xml:space="preserve">https://doi.org/10.1007/978-1-4615-7575-7_2</w:t>
        </w:r>
      </w:hyperlink>
    </w:p>
    <w:bookmarkEnd w:id="133"/>
    <w:bookmarkStart w:id="134"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34"/>
    <w:bookmarkStart w:id="135" w:name="ref-tolkamp1998satiety"/>
    <w:p>
      <w:pPr>
        <w:pStyle w:val="Bibliography"/>
      </w:pPr>
      <w:r>
        <w:t xml:space="preserve">Tolkamp, B., Allcroft, D., Austin, E., Nielsen, B.L., Kyriazakis, I., 1998. Satiety splits feeding behaviour into bouts. Journal of Theoretical Biology 194, 235–250.</w:t>
      </w:r>
    </w:p>
    <w:bookmarkEnd w:id="135"/>
    <w:bookmarkStart w:id="137"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36">
        <w:r>
          <w:rPr>
            <w:rStyle w:val="Hyperlink"/>
          </w:rPr>
          <w:t xml:space="preserve">https://doi.org/10.1214/20-BA1221</w:t>
        </w:r>
      </w:hyperlink>
    </w:p>
    <w:bookmarkEnd w:id="137"/>
    <w:bookmarkStart w:id="139" w:name="ref-webster2011personality"/>
    <w:p>
      <w:pPr>
        <w:pStyle w:val="Bibliography"/>
      </w:pPr>
      <w:r>
        <w:t xml:space="preserve">Webster, M.M., Ward, A.J., 2011. Personality and social context. Biological reviews 86, 759–773.</w:t>
      </w:r>
      <w:r>
        <w:t xml:space="preserve"> </w:t>
      </w:r>
      <w:hyperlink r:id="rId138">
        <w:r>
          <w:rPr>
            <w:rStyle w:val="Hyperlink"/>
          </w:rPr>
          <w:t xml:space="preserve">https://doi.org/10.1111/j.1469-185X.2010.00169.x</w:t>
        </w:r>
      </w:hyperlink>
    </w:p>
    <w:bookmarkEnd w:id="139"/>
    <w:bookmarkEnd w:id="140"/>
    <w:bookmarkEnd w:id="141"/>
    <w:bookmarkEnd w:id="142"/>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2909622"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E1106E"/>
    <w:rsid w:val="00041D18"/>
    <w:rsid w:val="00342AB3"/>
    <w:rsid w:val="00417FC7"/>
    <w:rsid w:val="00472C8E"/>
    <w:rsid w:val="0060081F"/>
    <w:rsid w:val="00700BA6"/>
    <w:rsid w:val="008B5B9D"/>
    <w:rsid w:val="00BB1731"/>
    <w:rsid w:val="00C95531"/>
    <w:rsid w:val="00D82B74"/>
    <w:rsid w:val="00D82D1C"/>
    <w:rsid w:val="00E1106E"/>
    <w:rsid w:val="00E23478"/>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28" Target="https://app.codecov.io/gh/skysheng7/moo4feed" TargetMode="External" /><Relationship Type="http://schemas.openxmlformats.org/officeDocument/2006/relationships/hyperlink" Id="rId132" Target="https://doi.org/10.1007/978-1-4615-7575-7_2" TargetMode="External" /><Relationship Type="http://schemas.openxmlformats.org/officeDocument/2006/relationships/hyperlink" Id="rId115" Target="https://doi.org/10.1016/0168-1591(91)90086-D" TargetMode="External" /><Relationship Type="http://schemas.openxmlformats.org/officeDocument/2006/relationships/hyperlink" Id="rId128" Target="https://doi.org/10.1016/0377-0427(87)90125-7" TargetMode="External" /><Relationship Type="http://schemas.openxmlformats.org/officeDocument/2006/relationships/hyperlink" Id="rId126" Target="https://doi.org/10.1016/j.applanim.2018.12.012" TargetMode="External" /><Relationship Type="http://schemas.openxmlformats.org/officeDocument/2006/relationships/hyperlink" Id="rId93" Target="https://doi.org/10.1016/j.applanim.2024.106315" TargetMode="External" /><Relationship Type="http://schemas.openxmlformats.org/officeDocument/2006/relationships/hyperlink" Id="rId138" Target="https://doi.org/10.1111/j.1469-185X.2010.00169.x" TargetMode="External" /><Relationship Type="http://schemas.openxmlformats.org/officeDocument/2006/relationships/hyperlink" Id="rId106" Target="https://doi.org/10.1111/rssa.12378" TargetMode="External" /><Relationship Type="http://schemas.openxmlformats.org/officeDocument/2006/relationships/hyperlink" Id="rId88" Target="https://doi.org/10.1186/1745-6150-2-2" TargetMode="External" /><Relationship Type="http://schemas.openxmlformats.org/officeDocument/2006/relationships/hyperlink" Id="rId136" Target="https://doi.org/10.1214/20-BA1221" TargetMode="External" /><Relationship Type="http://schemas.openxmlformats.org/officeDocument/2006/relationships/hyperlink" Id="rId108" Target="https://doi.org/10.2527/1995.7392791x" TargetMode="External" /><Relationship Type="http://schemas.openxmlformats.org/officeDocument/2006/relationships/hyperlink" Id="rId79"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99" Target="https://doi.org/10.3168/jds.2010-3147" TargetMode="External" /><Relationship Type="http://schemas.openxmlformats.org/officeDocument/2006/relationships/hyperlink" Id="rId111" Target="https://doi.org/10.3168/jds.2011-5038" TargetMode="External" /><Relationship Type="http://schemas.openxmlformats.org/officeDocument/2006/relationships/hyperlink" Id="rId118" Target="https://doi.org/10.3168/jds.2017-14248" TargetMode="External" /><Relationship Type="http://schemas.openxmlformats.org/officeDocument/2006/relationships/hyperlink" Id="rId103" Target="https://doi.org/10.3168/jds.2020-18896" TargetMode="External" /><Relationship Type="http://schemas.openxmlformats.org/officeDocument/2006/relationships/hyperlink" Id="rId84" Target="https://doi.org/10.3168/jds.2022-23176" TargetMode="External" /><Relationship Type="http://schemas.openxmlformats.org/officeDocument/2006/relationships/hyperlink" Id="rId121" Target="https://doi.org/10.3168/jds.S0022-0302(01)74692-9" TargetMode="External" /><Relationship Type="http://schemas.openxmlformats.org/officeDocument/2006/relationships/hyperlink" Id="rId82" Target="https://doi.org/10.3168/jdsc.2021-018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3" Target="https://www.R-project.org/" TargetMode="External" /><Relationship Type="http://schemas.openxmlformats.org/officeDocument/2006/relationships/hyperlink" Id="rId27" Target="https://www.skysheng.io/moo4feed/" TargetMode="External" /><Relationship Type="http://schemas.openxmlformats.org/officeDocument/2006/relationships/hyperlink" Id="rId5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8" Target="https://app.codecov.io/gh/skysheng7/moo4feed" TargetMode="External" /><Relationship Type="http://schemas.openxmlformats.org/officeDocument/2006/relationships/hyperlink" Id="rId132" Target="https://doi.org/10.1007/978-1-4615-7575-7_2" TargetMode="External" /><Relationship Type="http://schemas.openxmlformats.org/officeDocument/2006/relationships/hyperlink" Id="rId115" Target="https://doi.org/10.1016/0168-1591(91)90086-D" TargetMode="External" /><Relationship Type="http://schemas.openxmlformats.org/officeDocument/2006/relationships/hyperlink" Id="rId128" Target="https://doi.org/10.1016/0377-0427(87)90125-7" TargetMode="External" /><Relationship Type="http://schemas.openxmlformats.org/officeDocument/2006/relationships/hyperlink" Id="rId126" Target="https://doi.org/10.1016/j.applanim.2018.12.012" TargetMode="External" /><Relationship Type="http://schemas.openxmlformats.org/officeDocument/2006/relationships/hyperlink" Id="rId93" Target="https://doi.org/10.1016/j.applanim.2024.106315" TargetMode="External" /><Relationship Type="http://schemas.openxmlformats.org/officeDocument/2006/relationships/hyperlink" Id="rId138" Target="https://doi.org/10.1111/j.1469-185X.2010.00169.x" TargetMode="External" /><Relationship Type="http://schemas.openxmlformats.org/officeDocument/2006/relationships/hyperlink" Id="rId106" Target="https://doi.org/10.1111/rssa.12378" TargetMode="External" /><Relationship Type="http://schemas.openxmlformats.org/officeDocument/2006/relationships/hyperlink" Id="rId88" Target="https://doi.org/10.1186/1745-6150-2-2" TargetMode="External" /><Relationship Type="http://schemas.openxmlformats.org/officeDocument/2006/relationships/hyperlink" Id="rId136" Target="https://doi.org/10.1214/20-BA1221" TargetMode="External" /><Relationship Type="http://schemas.openxmlformats.org/officeDocument/2006/relationships/hyperlink" Id="rId108" Target="https://doi.org/10.2527/1995.7392791x" TargetMode="External" /><Relationship Type="http://schemas.openxmlformats.org/officeDocument/2006/relationships/hyperlink" Id="rId79" Target="https://doi.org/10.2527/jas.2017.1593" TargetMode="External" /><Relationship Type="http://schemas.openxmlformats.org/officeDocument/2006/relationships/hyperlink" Id="rId96" Target="https://doi.org/10.3168/JDS.S0022-0302(03)74020-X" TargetMode="External" /><Relationship Type="http://schemas.openxmlformats.org/officeDocument/2006/relationships/hyperlink" Id="rId99" Target="https://doi.org/10.3168/jds.2010-3147" TargetMode="External" /><Relationship Type="http://schemas.openxmlformats.org/officeDocument/2006/relationships/hyperlink" Id="rId111" Target="https://doi.org/10.3168/jds.2011-5038" TargetMode="External" /><Relationship Type="http://schemas.openxmlformats.org/officeDocument/2006/relationships/hyperlink" Id="rId118" Target="https://doi.org/10.3168/jds.2017-14248" TargetMode="External" /><Relationship Type="http://schemas.openxmlformats.org/officeDocument/2006/relationships/hyperlink" Id="rId103" Target="https://doi.org/10.3168/jds.2020-18896" TargetMode="External" /><Relationship Type="http://schemas.openxmlformats.org/officeDocument/2006/relationships/hyperlink" Id="rId84" Target="https://doi.org/10.3168/jds.2022-23176" TargetMode="External" /><Relationship Type="http://schemas.openxmlformats.org/officeDocument/2006/relationships/hyperlink" Id="rId121" Target="https://doi.org/10.3168/jds.S0022-0302(01)74692-9" TargetMode="External" /><Relationship Type="http://schemas.openxmlformats.org/officeDocument/2006/relationships/hyperlink" Id="rId82" Target="https://doi.org/10.3168/jdsc.2021-0184" TargetMode="External" /><Relationship Type="http://schemas.openxmlformats.org/officeDocument/2006/relationships/hyperlink" Id="rId32" Target="https://doi.org/10.5683/SP3/K6J350" TargetMode="External" /><Relationship Type="http://schemas.openxmlformats.org/officeDocument/2006/relationships/hyperlink" Id="rId31" Target="https://doi.org/10.5683/SP3/LF4DRO" TargetMode="External" /><Relationship Type="http://schemas.openxmlformats.org/officeDocument/2006/relationships/hyperlink" Id="rId30" Target="https://github.com/skysheng7/competition_dominance_analysis.git" TargetMode="External" /><Relationship Type="http://schemas.openxmlformats.org/officeDocument/2006/relationships/hyperlink" Id="rId29" Target="https://github.com/skysheng7/moo4feed.git" TargetMode="External" /><Relationship Type="http://schemas.openxmlformats.org/officeDocument/2006/relationships/hyperlink" Id="rId123" Target="https://www.R-project.org/" TargetMode="External" /><Relationship Type="http://schemas.openxmlformats.org/officeDocument/2006/relationships/hyperlink" Id="rId27" Target="https://www.skysheng.io/moo4feed/" TargetMode="External" /><Relationship Type="http://schemas.openxmlformats.org/officeDocument/2006/relationships/hyperlink" Id="rId5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feeding behaviour narratives using data streams collected from an automatic feeding system</dc:title>
  <dc:creator>Kehan Sheng1, Borbala Foris1,2, Daniel M. Weary1, Marina A.G. von Keyserlingk1</dc:creator>
  <cp:keywords/>
  <dcterms:created xsi:type="dcterms:W3CDTF">2026-05-06T06:50:36Z</dcterms:created>
  <dcterms:modified xsi:type="dcterms:W3CDTF">2026-05-06T06:50:36Z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