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92E1B" w14:textId="77777777" w:rsidR="00B11E0E" w:rsidRDefault="00000000">
      <w:pPr>
        <w:pStyle w:val="Title"/>
      </w:pPr>
      <w:r>
        <w:t>Beyond the herd: Decoding individual animal behavioral narratives through data</w:t>
      </w:r>
    </w:p>
    <w:p w14:paraId="728AA8AF" w14:textId="77777777" w:rsidR="00B11E0E" w:rsidRDefault="00000000">
      <w:pPr>
        <w:pStyle w:val="Author"/>
      </w:pPr>
      <w:r>
        <w:t>Kehan Sheng</w:t>
      </w:r>
      <w:r>
        <w:rPr>
          <w:vertAlign w:val="superscript"/>
        </w:rPr>
        <w:t>1</w:t>
      </w:r>
      <w:r>
        <w:t>, Borbala Foris</w:t>
      </w:r>
      <w:r>
        <w:rPr>
          <w:vertAlign w:val="superscript"/>
        </w:rPr>
        <w:t>1,2</w:t>
      </w:r>
      <w:r>
        <w:t>, Daniel M. Weary</w:t>
      </w:r>
      <w:r>
        <w:rPr>
          <w:vertAlign w:val="superscript"/>
        </w:rPr>
        <w:t>1</w:t>
      </w:r>
      <w:r>
        <w:t>, Marina A.G. von Keyserlingk</w:t>
      </w:r>
      <w:r>
        <w:rPr>
          <w:vertAlign w:val="superscript"/>
        </w:rPr>
        <w:t>1</w:t>
      </w:r>
    </w:p>
    <w:p w14:paraId="4C762A79" w14:textId="77777777" w:rsidR="00B11E0E" w:rsidRDefault="00000000">
      <w:pPr>
        <w:pStyle w:val="FirstParagraph"/>
      </w:pPr>
      <w:r>
        <w:rPr>
          <w:vertAlign w:val="superscript"/>
        </w:rPr>
        <w:t>1</w:t>
      </w:r>
      <w:r>
        <w:t>Animal Welfare Program, Faculty of Land and Food Systems, The University of British Columbia, 2357 Main Mall, Vancouver, BC, V6T 1Z6, Canada</w:t>
      </w:r>
    </w:p>
    <w:p w14:paraId="6C48492F" w14:textId="77777777" w:rsidR="00B11E0E" w:rsidRDefault="00000000">
      <w:pPr>
        <w:pStyle w:val="BodyText"/>
      </w:pPr>
      <w:r>
        <w:rPr>
          <w:vertAlign w:val="superscript"/>
        </w:rPr>
        <w:t>2</w:t>
      </w:r>
      <w:r>
        <w:t>Animal Welfare Science Unit, University of Veterinary Medicine, Veterinärpl. 1, Vienna, 1210, Austria</w:t>
      </w:r>
    </w:p>
    <w:p w14:paraId="2C2C7920" w14:textId="77777777" w:rsidR="00B11E0E" w:rsidRDefault="00000000">
      <w:pPr>
        <w:pStyle w:val="BodyText"/>
      </w:pPr>
      <w:r>
        <w:rPr>
          <w:b/>
          <w:bCs/>
        </w:rPr>
        <w:t>Corresponding author email:</w:t>
      </w:r>
      <w:r>
        <w:t xml:space="preserve"> marina.vonkeyserlingk@ubc.ca</w:t>
      </w:r>
    </w:p>
    <w:p w14:paraId="412F8D6D" w14:textId="77777777" w:rsidR="00B11E0E" w:rsidRDefault="009B0EF4">
      <w:r>
        <w:rPr>
          <w:noProof/>
        </w:rPr>
      </w:r>
      <w:r>
        <w:pict w14:anchorId="33A5BAB8">
          <v:rect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8516F67" w14:textId="77777777" w:rsidR="00B11E0E" w:rsidRDefault="00000000">
      <w:pPr>
        <w:pStyle w:val="Heading1"/>
      </w:pPr>
      <w:bookmarkStart w:id="0" w:name="abstract"/>
      <w:r>
        <w:t>Abstract</w:t>
      </w:r>
    </w:p>
    <w:p w14:paraId="472BB655" w14:textId="77777777" w:rsidR="00B11E0E" w:rsidRDefault="00000000">
      <w:pPr>
        <w:pStyle w:val="FirstParagraph"/>
      </w:pPr>
      <w:r>
        <w:t xml:space="preserve">Electronic drinkers and feeders enable continuous, automated monitoring of individual animals, yet most data analysis still relies on group-level comparisons that omit meaningful individual differences. There is a growing acceptance that animals housed in the same environment exhibit different behaviors, thus for accurate and timely detection of health or welfare challenges it is important to track within-animal changes rather than applying ‘one size fits all’ thresholds. The aim of this study was to use existing data streams to extract behavioral variables and characterize individual-level behavioral consistency in dairy cows. Data were collected from 159 lactating Holstein dairy cows over 10 months. We applied strict data cleaning and filtering to exclude periods of illness, lameness (based on two consecutive non-lame weekly scores), estrus, technical outage, and regrouping events, which resulted in a total of 107 cows tracked across 207 days. We identified 16 behavioral variables derived from electronic feed bin and water trough (Insentec, NL) data. Beyond conventional intake metrics (e.g., feed and water intake, duration, meal frequency), we extracted variables capturing exploratory behavior (e.g., non-nutritive visits), social dynamics (e.g., the number of agonistic replacement events initiated or received per day), and indicators of feed access (e.g., proportion of meal time spent actively eating versus waiting, proportion of fresh feed remaining upon arrival). Bayesian mixed-effects models were used to quantify between-individual variation in average behavioral expression (CVi) and between-individual variation in within-individual behavioral consistency (CVP). The total number of non-nutritive visits per day (CVi = 0.53, CVP = 0.21), total number of actor events per day (CVi = 0.47, CVP = 0.22), median non-nutritive visits per meal (CVi = 0.44, CVP = 0.08), daily water drinking duration (CVi = 0.39, CVP = 0.20), total number of reactor events per day (CVi = 0.38, CVP = 0.15), and median visits per meal (CVi = 0.33, CVP = 0.10) all exhibited consistently high among-individual variation in average behavioral expression and relatively low between-individual variation in within-individual consistency, meaning cows differed substantially from one another on these traits while each cow remained similarly consistent within herself from day to day. In contrast, the median percentage of meal time spent feeding (CVi = 0.09) and daily feed intake (CVi = 0.10) showed the smallest among-individual differences, indicating cows were nearly indistinguishable from one another on these dimensions. Principal component analysis with varimax rotation applied to the cows’ average behavioral expression on the 8 most individually distinctive variables, followed by k-means </w:t>
      </w:r>
      <w:r>
        <w:lastRenderedPageBreak/>
        <w:t>clustering, identified four biologically interpretable cow types: “typical subordinate” cows (the unremarkable majority, routinely displaced at the bin), “dominant” cows (initiating many displacements with efficient, uninterrupted meals), “heavy drinkers” (distinguished by many long drinking visits spread across the day), and a small group of “fragmented, restless feeders” (many short, interrupted visits with frequent agonistic interactions). Together, these results demonstrate that existing data streams from electronic feeders and drinkers can be used to build stable, individual-level behavioral profiles that reveal meaningful variation in feeding, drinking, and social behavior among cows living in the same environment. These individualized baselines provide a foundation for detecting within-animal changes that generic group-level thresholds would miss.</w:t>
      </w:r>
    </w:p>
    <w:p w14:paraId="72FEB4A4" w14:textId="77777777" w:rsidR="00B11E0E" w:rsidRDefault="00000000">
      <w:pPr>
        <w:pStyle w:val="BodyText"/>
      </w:pPr>
      <w:r>
        <w:rPr>
          <w:b/>
          <w:bCs/>
        </w:rPr>
        <w:t>Keywords:</w:t>
      </w:r>
      <w:r>
        <w:t xml:space="preserve"> repeatability, reproducibility, precision livestock farming, behavioral monitoring, individual differences</w:t>
      </w:r>
    </w:p>
    <w:p w14:paraId="3064E8A5" w14:textId="77777777" w:rsidR="00B11E0E" w:rsidRDefault="00000000">
      <w:pPr>
        <w:pStyle w:val="Heading1"/>
      </w:pPr>
      <w:bookmarkStart w:id="1" w:name="introduction"/>
      <w:bookmarkEnd w:id="0"/>
      <w:r>
        <w:t>1. Introduction</w:t>
      </w:r>
    </w:p>
    <w:p w14:paraId="2A3DDF87" w14:textId="77777777" w:rsidR="00B11E0E" w:rsidRDefault="00000000">
      <w:pPr>
        <w:pStyle w:val="FirstParagraph"/>
      </w:pPr>
      <w:r>
        <w:t>Cave paintings from 45,000 years ago show early depictions of humans and pigs (</w:t>
      </w:r>
      <w:hyperlink w:anchor="ref-mcdermott2021">
        <w:r>
          <w:rPr>
            <w:rStyle w:val="Hyperlink"/>
          </w:rPr>
          <w:t>McDermott, 2021</w:t>
        </w:r>
      </w:hyperlink>
      <w:r>
        <w:t>), providing evidence that humans have shared a long history of caring for animals. For our ancient ancestors, understanding animal behavior was no doubt central to informing animal care (</w:t>
      </w:r>
      <w:hyperlink w:anchor="ref-breed2021">
        <w:r>
          <w:rPr>
            <w:rStyle w:val="Hyperlink"/>
          </w:rPr>
          <w:t>Breed and Moore, 2021</w:t>
        </w:r>
      </w:hyperlink>
      <w:r>
        <w:t>). This early interest in animal behaviors included observing animals’ movements, social interactions, cognition, and learning (</w:t>
      </w:r>
      <w:hyperlink w:anchor="ref-breed2021">
        <w:r>
          <w:rPr>
            <w:rStyle w:val="Hyperlink"/>
          </w:rPr>
          <w:t>Breed and Moore, 2021</w:t>
        </w:r>
      </w:hyperlink>
      <w:r>
        <w:t>). There is also evidence that many ancient civilizations used changes in behavioral signs to identify ill animals under their care (</w:t>
      </w:r>
      <w:hyperlink w:anchor="ref-griffith1898">
        <w:r>
          <w:rPr>
            <w:rStyle w:val="Hyperlink"/>
          </w:rPr>
          <w:t>Griffith, 1898</w:t>
        </w:r>
      </w:hyperlink>
      <w:r>
        <w:t>). By the 1800s, naturalists like Charles Darwin were using behavioral observations to infer animals’ affective states, demonstrating that animals express emotions such as fear, pleasure, and anger through their behavior (</w:t>
      </w:r>
      <w:hyperlink w:anchor="ref-darwin1872">
        <w:r>
          <w:rPr>
            <w:rStyle w:val="Hyperlink"/>
          </w:rPr>
          <w:t>Darwin, 1872</w:t>
        </w:r>
      </w:hyperlink>
      <w:r>
        <w:t xml:space="preserve">; </w:t>
      </w:r>
      <w:hyperlink w:anchor="ref-fraser2025">
        <w:r>
          <w:rPr>
            <w:rStyle w:val="Hyperlink"/>
          </w:rPr>
          <w:t>Fraser, 2025</w:t>
        </w:r>
      </w:hyperlink>
      <w:r>
        <w:t>).</w:t>
      </w:r>
    </w:p>
    <w:p w14:paraId="22B512DD" w14:textId="77777777" w:rsidR="00B11E0E" w:rsidRDefault="00000000">
      <w:pPr>
        <w:pStyle w:val="BodyText"/>
      </w:pPr>
      <w:r>
        <w:t>Fast forwarding to the 20th century, in the industrialized world, the production of food from animals had intensified, largely driven by mechanization that reducee number of people required to care for a growing number of livestock (</w:t>
      </w:r>
      <w:hyperlink w:anchor="ref-rollin2011animal">
        <w:r>
          <w:rPr>
            <w:rStyle w:val="Hyperlink"/>
          </w:rPr>
          <w:t>Rollin, 2011</w:t>
        </w:r>
      </w:hyperlink>
      <w:r>
        <w:t>). Although automation was integrated into many aspects of livestock farming, the monitoring of animal health continued to rely on the accumulated experience of human care givers through manual behavioral observations (</w:t>
      </w:r>
      <w:hyperlink w:anchor="ref-hornbuckle1992">
        <w:r>
          <w:rPr>
            <w:rStyle w:val="Hyperlink"/>
          </w:rPr>
          <w:t>Hornbuckle and Morgan, 1992</w:t>
        </w:r>
      </w:hyperlink>
      <w:r>
        <w:t>). These observations focused on identifying sickness behaviors associated with general malaise, such as reduced food and water intake and decreased activity (</w:t>
      </w:r>
      <w:hyperlink w:anchor="ref-hart1988biological">
        <w:r>
          <w:rPr>
            <w:rStyle w:val="Hyperlink"/>
          </w:rPr>
          <w:t>Hart, 1988</w:t>
        </w:r>
      </w:hyperlink>
      <w:r>
        <w:t>). Veterinary medicine has also adopted the approach of providing treatment and manage health at the herd level rather than the individual level (</w:t>
      </w:r>
      <w:hyperlink w:anchor="ref-medeiros2022historical">
        <w:r>
          <w:rPr>
            <w:rStyle w:val="Hyperlink"/>
          </w:rPr>
          <w:t>Medeiros et al., 2022</w:t>
        </w:r>
      </w:hyperlink>
      <w:r>
        <w:t>). These traditional approaches to identifying sick animals shared a common limitation: they typically considered the behavior of animals as a species or population rather than recognizing the importance of individual differences.</w:t>
      </w:r>
    </w:p>
    <w:p w14:paraId="17A17371" w14:textId="77777777" w:rsidR="00B11E0E" w:rsidRDefault="00000000">
      <w:pPr>
        <w:pStyle w:val="BodyText"/>
      </w:pPr>
      <w:r>
        <w:t xml:space="preserve">More recently, there has been a paradigm shift toward understanding individual differences in behavior (see </w:t>
      </w:r>
      <w:hyperlink w:anchor="ref-neave2020long">
        <w:r>
          <w:rPr>
            <w:rStyle w:val="Hyperlink"/>
          </w:rPr>
          <w:t>Neave et al., 2020</w:t>
        </w:r>
      </w:hyperlink>
      <w:r>
        <w:t xml:space="preserve">; </w:t>
      </w:r>
      <w:hyperlink w:anchor="ref-weary2009">
        <w:r>
          <w:rPr>
            <w:rStyle w:val="Hyperlink"/>
          </w:rPr>
          <w:t>Weary et al., 2009</w:t>
        </w:r>
      </w:hyperlink>
      <w:r>
        <w:t>). This shift acknowledges what individual animals housed in identical environments exhibit remarkably different behaviors and strategies, even when healthy, due to their distinct personalities (</w:t>
      </w:r>
      <w:hyperlink w:anchor="ref-carslake2022a">
        <w:r>
          <w:rPr>
            <w:rStyle w:val="Hyperlink"/>
          </w:rPr>
          <w:t>Carslake et al., 2022a</w:t>
        </w:r>
      </w:hyperlink>
      <w:r>
        <w:t xml:space="preserve">; </w:t>
      </w:r>
      <w:hyperlink w:anchor="ref-neave2020long">
        <w:r>
          <w:rPr>
            <w:rStyle w:val="Hyperlink"/>
          </w:rPr>
          <w:t>Neave et al., 2020</w:t>
        </w:r>
      </w:hyperlink>
      <w:r>
        <w:t>). Previous research also emphasized the need to assess animal welfare at the individual rather than herd level, since it is individual animals, not herds, that could suffer (</w:t>
      </w:r>
      <w:hyperlink w:anchor="ref-fraser2025">
        <w:r>
          <w:rPr>
            <w:rStyle w:val="Hyperlink"/>
          </w:rPr>
          <w:t>Fraser, 2025</w:t>
        </w:r>
      </w:hyperlink>
      <w:r>
        <w:t>).</w:t>
      </w:r>
    </w:p>
    <w:p w14:paraId="27D670A6" w14:textId="77777777" w:rsidR="00B11E0E" w:rsidRDefault="00000000">
      <w:pPr>
        <w:pStyle w:val="BodyText"/>
      </w:pPr>
      <w:r>
        <w:t xml:space="preserve">Recent advancement of Precision Livestock Farming (PLF) technologies such as electronic feeders and drinkers offer new opportunities to automatically and continuously monitor animals </w:t>
      </w:r>
      <w:r>
        <w:lastRenderedPageBreak/>
        <w:t>on individual level, particularly behavioral and physiological measures (</w:t>
      </w:r>
      <w:hyperlink w:anchor="ref-dittrich2019">
        <w:r>
          <w:rPr>
            <w:rStyle w:val="Hyperlink"/>
          </w:rPr>
          <w:t>Dittrich et al., 2019</w:t>
        </w:r>
      </w:hyperlink>
      <w:r>
        <w:t>). This continuous monitoring is especially valuable for prey species, which often hide signs of illness when humans are present (</w:t>
      </w:r>
      <w:hyperlink w:anchor="ref-weary2009">
        <w:r>
          <w:rPr>
            <w:rStyle w:val="Hyperlink"/>
          </w:rPr>
          <w:t>Weary et al., 2009</w:t>
        </w:r>
      </w:hyperlink>
      <w:r>
        <w:t>). PLF has been widely promoted as tools for early disease detection (</w:t>
      </w:r>
      <w:hyperlink w:anchor="ref-dittrich2019">
        <w:r>
          <w:rPr>
            <w:rStyle w:val="Hyperlink"/>
          </w:rPr>
          <w:t>Dittrich et al., 2019</w:t>
        </w:r>
      </w:hyperlink>
      <w:r>
        <w:t>). However, much of the PLF research to date has focused on between subject comparison at the group level, such as comparing a specific behavior between healthy and sick groups (</w:t>
      </w:r>
      <w:hyperlink w:anchor="ref-cramer2015">
        <w:r>
          <w:rPr>
            <w:rStyle w:val="Hyperlink"/>
          </w:rPr>
          <w:t>Cramer and Stanton, 2015</w:t>
        </w:r>
      </w:hyperlink>
      <w:r>
        <w:t xml:space="preserve">; </w:t>
      </w:r>
      <w:hyperlink w:anchor="ref-goharshahi2021">
        <w:r>
          <w:rPr>
            <w:rStyle w:val="Hyperlink"/>
          </w:rPr>
          <w:t>Goharshahi et al., 2021</w:t>
        </w:r>
      </w:hyperlink>
      <w:r>
        <w:t>). This population-level thinking fails to account for the substantial individual differences in behavioral expression that is increasingly being documented in the literature (</w:t>
      </w:r>
      <w:hyperlink w:anchor="ref-carslake2022a">
        <w:r>
          <w:rPr>
            <w:rStyle w:val="Hyperlink"/>
          </w:rPr>
          <w:t>Carslake et al., 2022a</w:t>
        </w:r>
      </w:hyperlink>
      <w:r>
        <w:t>). These consistent behavioral differences across time and context reflect distinct animal personalities (</w:t>
      </w:r>
      <w:hyperlink w:anchor="ref-neave2020long">
        <w:r>
          <w:rPr>
            <w:rStyle w:val="Hyperlink"/>
          </w:rPr>
          <w:t>Neave et al., 2020</w:t>
        </w:r>
      </w:hyperlink>
      <w:r>
        <w:t>).</w:t>
      </w:r>
    </w:p>
    <w:p w14:paraId="68AC456D" w14:textId="77777777" w:rsidR="00B11E0E" w:rsidRDefault="00000000">
      <w:pPr>
        <w:pStyle w:val="BodyText"/>
      </w:pPr>
      <w:r>
        <w:t>Also of interest is that as animals become sick, the magnitude and direction of their behavioral changes vary dramatically between individuals; a phenomenon that has been attributed to personality differences (</w:t>
      </w:r>
      <w:hyperlink w:anchor="ref-setser2024a">
        <w:r>
          <w:rPr>
            <w:rStyle w:val="Hyperlink"/>
          </w:rPr>
          <w:t>Setser et al., 2024a</w:t>
        </w:r>
      </w:hyperlink>
      <w:r>
        <w:t>). For instance, when comparing lying behavior in ‘fearful’ versus ‘active’ dairy calves with diarrhea, fearful calves reduced their lying bouts while active calves increased them (</w:t>
      </w:r>
      <w:hyperlink w:anchor="ref-setser2024a">
        <w:r>
          <w:rPr>
            <w:rStyle w:val="Hyperlink"/>
          </w:rPr>
          <w:t>Setser et al., 2024a</w:t>
        </w:r>
      </w:hyperlink>
      <w:r>
        <w:t>). This personality-based variability extends to other behaviors as well. Foe, a recent study found that calves differ greatly in the consistency of their space-use behavior: some calves use a consistent amount of space across days, while others show dramatic day-to-day variation (</w:t>
      </w:r>
      <w:hyperlink w:anchor="ref-occhiuto2022">
        <w:r>
          <w:rPr>
            <w:rStyle w:val="Hyperlink"/>
          </w:rPr>
          <w:t>Occhiuto et al., 2022</w:t>
        </w:r>
      </w:hyperlink>
      <w:r>
        <w:t>). Interpreting such behavioral changes requires understanding each animal’s baseline patterns. For highly variable individuals, substantial changes in space use may be normal, whereas for consistent individuals, the same degree of change could signal health problems.</w:t>
      </w:r>
    </w:p>
    <w:p w14:paraId="33F05E7C" w14:textId="77777777" w:rsidR="00B11E0E" w:rsidRDefault="00000000">
      <w:pPr>
        <w:pStyle w:val="BodyText"/>
      </w:pPr>
      <w:r>
        <w:t>Although PLF has the ability to monitor animals individually, their full potential cannot be realized if data analysis and decision-making are made based on group-level averages. The key to effective disease detection lies in first understanding and tracking each animal’s healthy behavioral patterns, then identifying when they deviate from their personal baseline. Recent studies have used multi-level models to understand individual behavioral baseline, quantify behavioral type (an individual’s average expression oain behaviors), repeatability (consistent among-individual differences), and predictability (individual differences in within-individual consistency) (elephants: (</w:t>
      </w:r>
      <w:hyperlink w:anchor="ref-hertel2020">
        <w:r>
          <w:rPr>
            <w:rStyle w:val="Hyperlink"/>
          </w:rPr>
          <w:t>Hertel et al., 2020</w:t>
        </w:r>
      </w:hyperlink>
      <w:r>
        <w:t>); dairy cows: (</w:t>
      </w:r>
      <w:hyperlink w:anchor="ref-thomas2024">
        <w:r>
          <w:rPr>
            <w:rStyle w:val="Hyperlink"/>
          </w:rPr>
          <w:t>Thomas et al., 2024</w:t>
        </w:r>
      </w:hyperlink>
      <w:r>
        <w:t>); dairy calves: (</w:t>
      </w:r>
      <w:hyperlink w:anchor="ref-carslake2022b">
        <w:r>
          <w:rPr>
            <w:rStyle w:val="Hyperlink"/>
          </w:rPr>
          <w:t>Carslake et al., 2022b</w:t>
        </w:r>
      </w:hyperlink>
      <w:r>
        <w:t xml:space="preserve">; </w:t>
      </w:r>
      <w:hyperlink w:anchor="ref-occhiuto2022">
        <w:r>
          <w:rPr>
            <w:rStyle w:val="Hyperlink"/>
          </w:rPr>
          <w:t>Occhiuto et al., 2022</w:t>
        </w:r>
      </w:hyperlink>
      <w:r>
        <w:t>)). However, existing research has focused primarily on simple metrics such as feed or water intake and feeding or drinking duration.</w:t>
      </w:r>
    </w:p>
    <w:p w14:paraId="27658680" w14:textId="77777777" w:rsidR="00B11E0E" w:rsidRDefault="00000000">
      <w:pPr>
        <w:pStyle w:val="BodyText"/>
      </w:pPr>
      <w:r>
        <w:t>In the current study, we demonstrate that existing PLF systems can extend beyond these basic metrics, as these technologies capture rich data that can be used to derive novel behavioral variables. For instance, electronic feed bins could provide data on feed bin switches per meal as a measure of exploratory behavior (</w:t>
      </w:r>
      <w:hyperlink w:anchor="ref-meagher2017">
        <w:r>
          <w:rPr>
            <w:rStyle w:val="Hyperlink"/>
          </w:rPr>
          <w:t>Meagher et al., 2017</w:t>
        </w:r>
      </w:hyperlink>
      <w:r>
        <w:t>). Additionally, agonistic interactions at feed bins can be identified when the interval between one cow exiting and the next cow entering is exceptionally short, suggesting that the incoming cow physically displaced or socially threatened the departing cow (</w:t>
      </w:r>
      <w:hyperlink w:anchor="ref-foris2019automatic">
        <w:r>
          <w:rPr>
            <w:rStyle w:val="Hyperlink"/>
          </w:rPr>
          <w:t>Foris et al., 2019</w:t>
        </w:r>
      </w:hyperlink>
      <w:r>
        <w:t xml:space="preserve">; </w:t>
      </w:r>
      <w:hyperlink w:anchor="ref-huzzey2014automatic">
        <w:r>
          <w:rPr>
            <w:rStyle w:val="Hyperlink"/>
          </w:rPr>
          <w:t>Huzzey et al., 2014</w:t>
        </w:r>
      </w:hyperlink>
      <w:r>
        <w:t>). The ability to include novel behavioral measures could also revolutionize personality assessment in farm animals (</w:t>
      </w:r>
      <w:hyperlink w:anchor="ref-setser2024b">
        <w:r>
          <w:rPr>
            <w:rStyle w:val="Hyperlink"/>
          </w:rPr>
          <w:t>Setser et al., 2024b</w:t>
        </w:r>
      </w:hyperlink>
      <w:r>
        <w:t>). Traditional personality tests, which often involve isolating animals for choice and motivation tasks (</w:t>
      </w:r>
      <w:hyperlink w:anchor="ref-dawkins2021">
        <w:r>
          <w:rPr>
            <w:rStyle w:val="Hyperlink"/>
          </w:rPr>
          <w:t>Dawkins, 2021</w:t>
        </w:r>
      </w:hyperlink>
      <w:r>
        <w:t>), are increasingly criticized as they may not reflect animals’ natural behavior in group settings (</w:t>
      </w:r>
      <w:hyperlink w:anchor="ref-biro2012">
        <w:r>
          <w:rPr>
            <w:rStyle w:val="Hyperlink"/>
          </w:rPr>
          <w:t>Biro, 2012</w:t>
        </w:r>
      </w:hyperlink>
      <w:r>
        <w:t>). In contrast, data-driven approaches using longitudinal PLF measurements enable researchers to identify personality traits by observing animals in their home pen environments with herd mates (</w:t>
      </w:r>
      <w:hyperlink w:anchor="ref-carslake2022a">
        <w:r>
          <w:rPr>
            <w:rStyle w:val="Hyperlink"/>
          </w:rPr>
          <w:t>Carslake et al., 2022a</w:t>
        </w:r>
      </w:hyperlink>
      <w:r>
        <w:t xml:space="preserve">; </w:t>
      </w:r>
      <w:hyperlink w:anchor="ref-setser2024b">
        <w:r>
          <w:rPr>
            <w:rStyle w:val="Hyperlink"/>
          </w:rPr>
          <w:t>Setser et al., 2024b</w:t>
        </w:r>
      </w:hyperlink>
      <w:r>
        <w:t>).</w:t>
      </w:r>
    </w:p>
    <w:p w14:paraId="7CE5B2F7" w14:textId="77777777" w:rsidR="00B11E0E" w:rsidRDefault="00000000">
      <w:pPr>
        <w:pStyle w:val="BodyText"/>
      </w:pPr>
      <w:r>
        <w:lastRenderedPageBreak/>
        <w:t>In this study, we aim to:</w:t>
      </w:r>
    </w:p>
    <w:p w14:paraId="130F9F1A" w14:textId="77777777" w:rsidR="00B11E0E" w:rsidRDefault="00000000">
      <w:pPr>
        <w:pStyle w:val="BodyText"/>
      </w:pPr>
      <w:r>
        <w:rPr>
          <w:b/>
          <w:bCs/>
        </w:rPr>
        <w:t>1. Introduce an R package for extracting behavioral variables from electronic feeder and drinker data.</w:t>
      </w:r>
      <w:r>
        <w:t xml:space="preserve"> We developed the </w:t>
      </w:r>
      <w:r>
        <w:rPr>
          <w:rStyle w:val="VerbatimChar"/>
        </w:rPr>
        <w:t>moo4feed</w:t>
      </w:r>
      <w:r>
        <w:t xml:space="preserve"> R package to enable researchers to reliably clean and process raw electronic feeder and drinker data using distribution-based thresholds customized to their own dataset. The package extracts both standard feedingnd drinking measures (e.g., intake, visits, and meals) and novel behavioral variables (e.g., non-nutritive visits, feed bin switches per meal), revealing the rich behavioral information already embedded within existing PLF data streams.</w:t>
      </w:r>
    </w:p>
    <w:p w14:paraId="5957552D" w14:textId="77777777" w:rsidR="00B11E0E" w:rsidRDefault="00000000">
      <w:pPr>
        <w:pStyle w:val="BodyText"/>
      </w:pPr>
      <w:r>
        <w:rPr>
          <w:b/>
          <w:bCs/>
        </w:rPr>
        <w:t>2. Quantify individual-level behavioral consistency and among-individual differences.</w:t>
      </w:r>
      <w:r>
        <w:t xml:space="preserve"> Using repeatability and predictability measures, we assess which behavioral variables exhibit stable among-individual differences and which are characterized by greater within-individual variability, thereby identifying behaviors most informative for characterizing individual behavioral profiles.</w:t>
      </w:r>
    </w:p>
    <w:p w14:paraId="066B8A0D" w14:textId="77777777" w:rsidR="00B11E0E" w:rsidRDefault="00000000">
      <w:pPr>
        <w:pStyle w:val="BodyText"/>
      </w:pPr>
      <w:r>
        <w:rPr>
          <w:b/>
          <w:bCs/>
        </w:rPr>
        <w:t>3. Identify distinct behavioral profiles through cluster analysis.</w:t>
      </w:r>
      <w:r>
        <w:t xml:space="preserve"> Using behaviors that exhibit consistent among-individual differences, we group cows with similar behavioral types to reveal the diversity of behavioral profiles present within a herd. To illustrate the practical value of this approach, we present individual behavioral narratives for one representative animal from each cluster, demonstrating how data can be used to tell each animal’s unique story.</w:t>
      </w:r>
    </w:p>
    <w:p w14:paraId="669BBB02" w14:textId="77777777" w:rsidR="00B11E0E" w:rsidRDefault="00000000">
      <w:pPr>
        <w:pStyle w:val="BodyText"/>
      </w:pPr>
      <w:r>
        <w:t>This research lays the groundwork for individual-based behavioural monitoring systems, which might improve health prediction, affective state assessment, natural behavior monitoring, and personality assessment.</w:t>
      </w:r>
    </w:p>
    <w:p w14:paraId="7F6234F5" w14:textId="77777777" w:rsidR="00B11E0E" w:rsidRDefault="00000000">
      <w:pPr>
        <w:pStyle w:val="Heading1"/>
      </w:pPr>
      <w:bookmarkStart w:id="2" w:name="methods"/>
      <w:bookmarkEnd w:id="1"/>
      <w:r>
        <w:t>3. Methods</w:t>
      </w:r>
    </w:p>
    <w:p w14:paraId="75969728" w14:textId="77777777" w:rsidR="00B11E0E" w:rsidRDefault="00000000">
      <w:pPr>
        <w:pStyle w:val="Heading2"/>
      </w:pPr>
      <w:bookmarkStart w:id="3" w:name="animals-housing-and-data-collection"/>
      <w:r>
        <w:t>3.1 Animals, Housing, and Data Collection</w:t>
      </w:r>
    </w:p>
    <w:p w14:paraId="2D31D8FC" w14:textId="77777777" w:rsidR="00B11E0E" w:rsidRDefault="00000000">
      <w:pPr>
        <w:pStyle w:val="FirstParagraph"/>
      </w:pPr>
      <w:r>
        <w:t>Data were collected as part of a larger study described in detail by Sheng et al. (</w:t>
      </w:r>
      <w:hyperlink w:anchor="ref-sheng2024redefining">
        <w:r>
          <w:rPr>
            <w:rStyle w:val="Hyperlink"/>
          </w:rPr>
          <w:t>2024</w:t>
        </w:r>
      </w:hyperlink>
      <w:r>
        <w:t>).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 (</w:t>
      </w:r>
      <w:hyperlink w:anchor="ref-chapinal2007validation">
        <w:r>
          <w:rPr>
            <w:rStyle w:val="Hyperlink"/>
          </w:rPr>
          <w:t>Chapinal et al., 2007</w:t>
        </w:r>
      </w:hyperlink>
      <w:r>
        <w:t>).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 (</w:t>
      </w:r>
      <w:hyperlink w:anchor="ref-flower2006effect">
        <w:r>
          <w:rPr>
            <w:rStyle w:val="Hyperlink"/>
          </w:rPr>
          <w:t>Flower and Weary, 2006</w:t>
        </w:r>
      </w:hyperlink>
      <w:r>
        <w:t>) to identify lame cows. A portion of the data gathered in this research was previously published at Sheng et al. (</w:t>
      </w:r>
      <w:hyperlink w:anchor="ref-sheng2024redefining">
        <w:r>
          <w:rPr>
            <w:rStyle w:val="Hyperlink"/>
          </w:rPr>
          <w:t>2024</w:t>
        </w:r>
      </w:hyperlink>
      <w:r>
        <w:t>).</w:t>
      </w:r>
    </w:p>
    <w:p w14:paraId="6C5E1456" w14:textId="77777777" w:rsidR="00B11E0E" w:rsidRDefault="00000000">
      <w:pPr>
        <w:pStyle w:val="Heading2"/>
      </w:pPr>
      <w:bookmarkStart w:id="4" w:name="data-cleaning-and-filtering"/>
      <w:bookmarkEnd w:id="3"/>
      <w:r>
        <w:lastRenderedPageBreak/>
        <w:t>3.2 Data Cleaning and Filtering</w:t>
      </w:r>
    </w:p>
    <w:p w14:paraId="703F0A72" w14:textId="77777777" w:rsidR="00B11E0E" w:rsidRDefault="00000000">
      <w:pPr>
        <w:pStyle w:val="FirstParagraph"/>
      </w:pPr>
      <w:r>
        <w:t>All data preparation and analysis were conducted using R (version 4.3.1; R Core Team (</w:t>
      </w:r>
      <w:hyperlink w:anchor="ref-R-base">
        <w:r>
          <w:rPr>
            <w:rStyle w:val="Hyperlink"/>
          </w:rPr>
          <w:t>2025</w:t>
        </w:r>
      </w:hyperlink>
      <w:r>
        <w:t>)). To ensure that the data we analyze reflect the behavioural baseline patterns of cows when they are healthy and not in estrus, we applied stricter data cleaning and filtering criteria that extended beyond the data cleaning procedure described in our previous work (</w:t>
      </w:r>
      <w:hyperlink w:anchor="ref-sheng2024redefining">
        <w:r>
          <w:rPr>
            <w:rStyle w:val="Hyperlink"/>
          </w:rPr>
          <w:t>Sheng et al., 2024</w:t>
        </w:r>
      </w:hyperlink>
      <w:r>
        <w:t>). Starting from 14,728 cow-days across 159 cows and 306 d, exclusions were applied at two levels. At the individ level, data were removed for specific cows on days affected by:</w:t>
      </w:r>
    </w:p>
    <w:p w14:paraId="3D80A423" w14:textId="77777777" w:rsidR="00B11E0E" w:rsidRDefault="00000000">
      <w:pPr>
        <w:numPr>
          <w:ilvl w:val="0"/>
          <w:numId w:val="3"/>
        </w:numPr>
      </w:pPr>
      <w:r>
        <w:t>health events, including illness episodes when cows were moved to the hospital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14:paraId="0B259BC6" w14:textId="77777777" w:rsidR="00B11E0E" w:rsidRDefault="00000000">
      <w:pPr>
        <w:numPr>
          <w:ilvl w:val="0"/>
          <w:numId w:val="3"/>
        </w:numPr>
      </w:pPr>
      <w:r>
        <w:t>lameness, defined as two consecutive weekly locomotion scores &gt;= 3 (</w:t>
      </w:r>
      <w:hyperlink w:anchor="ref-eriksson2020effects">
        <w:r>
          <w:rPr>
            <w:rStyle w:val="Hyperlink"/>
          </w:rPr>
          <w:t>Eriksson et al., 2020</w:t>
        </w:r>
      </w:hyperlink>
      <w:r>
        <w:t xml:space="preserve">; </w:t>
      </w:r>
      <w:hyperlink w:anchor="ref-flower2006effect">
        <w:r>
          <w:rPr>
            <w:rStyle w:val="Hyperlink"/>
          </w:rPr>
          <w:t>Flower and Weary, 2006</w:t>
        </w:r>
      </w:hyperlink>
      <w:r>
        <w:t>), with all days during the lame period removed until the cow was scored as sound again, plus a 7-d buffer before lameness onset (48 cows across 227 days, 679 cow-days).</w:t>
      </w:r>
    </w:p>
    <w:p w14:paraId="3CD5B23A" w14:textId="77777777" w:rsidR="00B11E0E" w:rsidRDefault="00000000">
      <w:pPr>
        <w:numPr>
          <w:ilvl w:val="0"/>
          <w:numId w:val="3"/>
        </w:numPr>
      </w:pPr>
      <w:r>
        <w:t>the first and last day each cow was present in the group, as data on these days would be incomplete (159 cows across 43 days, 285 cow-days).</w:t>
      </w:r>
    </w:p>
    <w:p w14:paraId="6D2336DB" w14:textId="77777777" w:rsidR="00B11E0E" w:rsidRDefault="00000000">
      <w:pPr>
        <w:numPr>
          <w:ilvl w:val="0"/>
          <w:numId w:val="3"/>
        </w:numPr>
      </w:pPr>
      <w:r>
        <w:t>days when farm staff recorded interference with individual cows due to lose of ear tags, hoof trimming or other routine husbandry procedures, as these events may temporarily alter behaviour through handling stress or cows being away from the Insentec bins for extended period of times (9 cows across 22 days, 24 cow-days).</w:t>
      </w:r>
    </w:p>
    <w:p w14:paraId="7AFC5CF3" w14:textId="77777777" w:rsidR="00B11E0E" w:rsidRDefault="00000000">
      <w:pPr>
        <w:numPr>
          <w:ilvl w:val="0"/>
          <w:numId w:val="3"/>
        </w:numPr>
      </w:pPr>
      <w:r>
        <w:t>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14:paraId="3E86DDF9" w14:textId="77777777" w:rsidR="00B11E0E" w:rsidRDefault="00000000">
      <w:pPr>
        <w:pStyle w:val="FirstParagraph"/>
      </w:pPr>
      <w:r>
        <w:t>At the herd level, data were removed for all cows on days affected by:</w:t>
      </w:r>
    </w:p>
    <w:p w14:paraId="56FE717F" w14:textId="77777777" w:rsidR="00B11E0E" w:rsidRDefault="00000000">
      <w:pPr>
        <w:numPr>
          <w:ilvl w:val="0"/>
          <w:numId w:val="4"/>
        </w:numPr>
      </w:pPr>
      <w:r>
        <w:t>estrus events, as any cow in heat potentially disturb the behaviour of all other cows in the group (55 estrus events, 2,381 cow-days).</w:t>
      </w:r>
    </w:p>
    <w:p w14:paraId="7A54FF62" w14:textId="77777777" w:rsidR="00B11E0E" w:rsidRDefault="00000000">
      <w:pPr>
        <w:numPr>
          <w:ilvl w:val="0"/>
          <w:numId w:val="4"/>
        </w:numPr>
      </w:pPr>
      <w:r>
        <w:t>technical disruptions to the Insentec recording system, including equipment breakdowns, compressor failures, power outages, missing data, and severe weather events that compromised bin function (28 d, 1,281 cow-days).</w:t>
      </w:r>
    </w:p>
    <w:p w14:paraId="29D6422C" w14:textId="77777777" w:rsidR="00B11E0E" w:rsidRDefault="00000000">
      <w:pPr>
        <w:numPr>
          <w:ilvl w:val="0"/>
          <w:numId w:val="4"/>
        </w:numPr>
      </w:pPr>
      <w:r>
        <w:t>regrouping events when the herd dynamics is destabilized (16 events, 674 cow-days).</w:t>
      </w:r>
    </w:p>
    <w:p w14:paraId="1BB5574C" w14:textId="77777777" w:rsidR="00B11E0E" w:rsidRDefault="00000000">
      <w:pPr>
        <w:pStyle w:val="FirstParagraph"/>
      </w:pPr>
      <w:r>
        <w:t>After filtering, 107 cows with sufficient data across 207 days (10-130 days of observation per cow), 6226 unique cow-days were retained.</w:t>
      </w:r>
    </w:p>
    <w:p w14:paraId="16E2B2C3" w14:textId="77777777" w:rsidR="00B11E0E" w:rsidRDefault="00000000">
      <w:pPr>
        <w:pStyle w:val="Heading2"/>
      </w:pPr>
      <w:bookmarkStart w:id="5" w:name="behavioral-variable-extraction"/>
      <w:bookmarkEnd w:id="4"/>
      <w:r>
        <w:lastRenderedPageBreak/>
        <w:t>3.3 Behavioral Variable Extraction</w:t>
      </w:r>
    </w:p>
    <w:p w14:paraId="11F0A681" w14:textId="77777777" w:rsidR="00B11E0E" w:rsidRDefault="00000000">
      <w:pPr>
        <w:pStyle w:val="FirstParagraph"/>
      </w:pPr>
      <w:r>
        <w:t xml:space="preserve">To process the raw feeding and drinking data collected by the Insentec system and extract meaningful behavioral variables, we developed an open-source R package called moo4feed </w:t>
      </w:r>
      <w:hyperlink r:id="rId5">
        <w:r>
          <w:rPr>
            <w:rStyle w:val="Hyperlink"/>
          </w:rPr>
          <w:t>https://www.skysheng.io/moo4feed/</w:t>
        </w:r>
      </w:hyperlink>
      <w:r>
        <w:t xml:space="preserve"> . This package provides a standardized workflow for handling electronic feed and water bin data and supports a broad range of analyses. The functionality used in this study spans five key areas: (1) data processing, configuration, and quality control; (2) agonistic replacement detection; (3) non-nutritive visit detection; (4) feed availability estimation; and (5) meal clustering and analysis. Note that moo4feed includes additional variables and functionalities beyond the scope of this paper, such as pairwise synchronicity analysis.</w:t>
      </w:r>
    </w:p>
    <w:p w14:paraId="58305729" w14:textId="77777777" w:rsidR="00B11E0E" w:rsidRDefault="00000000">
      <w:pPr>
        <w:pStyle w:val="BodyText"/>
      </w:pPr>
      <w:r>
        <w:rPr>
          <w:b/>
          <w:bCs/>
        </w:rPr>
        <w:t>Data Processing, Configuration and Quality Control.</w:t>
      </w:r>
      <w:r>
        <w:t xml:space="preserve"> The package includes a global configuration system that allows users to tailor data processing to their specific farm setup. Users can customize settings such as column name mappings, time zones, bin identifiers, and the physical layout of bins in the barn, making the tool adaptable to a wide range of data formats and facility designs. The package also includes an automated module for handling daylight saving time (DST) transitions across North American time zones. For any given year and time zone, this module identifies the exact dates and times of spring-forward and fall-back transitions. During fall-back transitions (when clocks move back one hour, causing chronological order of visits within the repeated hour to be ambiguous), the package removes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This automated handling ensures temporal consistency across all visit records without manual correction. Additional details on the reproducible workflow are provided in Section 3.5.</w:t>
      </w:r>
    </w:p>
    <w:p w14:paraId="518CB7DB" w14:textId="77777777" w:rsidR="00B11E0E" w:rsidRDefault="00000000">
      <w:pPr>
        <w:pStyle w:val="BodyText"/>
      </w:pPr>
      <w:r>
        <w:t xml:space="preserve">The first processing step converts raw visit data into a standardized format, with each record capturing the cow’s identity, the bin number, the start and end times of the visit, and the start and end weight of the feed or water in the bin. Only days for which both feeder and drinker data files were available were retained for analysis. Feed and water visit data then go through automated quality control check, which includes multiple validation steps: checking whether the expected number of cows was present each day to warn users when cows went missing or lost their ear tags, detecting and correcting double detections (instances where the same cow was recorded at two different bins simultaneously, which indicates potential bin malfunction), flagging records with negative durations, intakes, or weight measurements, identifying abnormally large single-visit feed or water intakes, flagging cows that did not feed or drink after noon (which may indicate a lost ear tag or illness), and flagging bins with unusually low traffic or no visits (which may indicate equipment malfunction). Visits with implausibly long durations were flagged using customizable thresholds (set to &gt;2,000 s for feed bins and &gt;1,800 s for water bins in this study), as were visits with unrealistically large single-visit intake amounts (&gt;8 kg for feed; &gt;30 L for water) or excessively high intake rates (&gt;0.008 kg/s for feed; &gt;0.35 L/s for water). Days on which a cow recorded fewer than 10 visits were flagged as potentially incomplete, typically due to technical issues such as bin breakdowns, and cows with abnormally low or high daily feed intake (&lt;35 or &gt;75 kg/d) or daily water intake (&lt;60 or &gt;180 L/d) were also flagged. This validation procedure functions as a warning system rather than a data filter. All flagged records </w:t>
      </w:r>
      <w:r>
        <w:lastRenderedPageBreak/>
        <w:t>are retained in the dataset, and researchers receive a summary report to support informed, daily decision-making about data quality on farm.</w:t>
      </w:r>
    </w:p>
    <w:p w14:paraId="1E761EFB" w14:textId="77777777" w:rsidR="00B11E0E" w:rsidRDefault="00000000">
      <w:pPr>
        <w:pStyle w:val="BodyText"/>
      </w:pPr>
      <w:r>
        <w:t>Following this initial quality control, additional outlier detection was performed using a k-nearest neighbor (KNN) algorithm (</w:t>
      </w:r>
      <w:hyperlink w:anchor="ref-malini2017analysis">
        <w:r>
          <w:rPr>
            <w:rStyle w:val="Hyperlink"/>
          </w:rPr>
          <w:t>Malini and Pushpa, 2017</w:t>
        </w:r>
      </w:hyperlink>
      <w:r>
        <w:t>) applied to scaled visit duration, intake, and intake rate. Unlike the traditional approach of removing data points beyond three standard deviations (SD) from the mean, which applies rigid rectangular cutoffs, the KNN method operates in multidimensional space, considering the relationships among all three variables at once. This enables the detection of visits that appear plausible on any single dimension but are implausible in combination. The KNN algorithm compares each data point to its nearest neighbors and flags those that are unusually distant from their local cluster. Users can adjust the number of neighbors (k = 50 in this study), the percentile threshold for flagging (0.04% of feed visits and 0.1% of water visits were flagged as outliers in this study), and the relative scaling of each variable to control how aggressively outliers are detected. The package also provides visualization tools that allow users to inspect flagged outliers in two-dimensional plots (e.g., intake versus duration, or intake rate versus intake) before deciding whether to remove them.</w:t>
      </w:r>
    </w:p>
    <w:p w14:paraId="348F5588" w14:textId="77777777" w:rsidR="00B11E0E" w:rsidRDefault="00000000">
      <w:pPr>
        <w:pStyle w:val="BodyText"/>
      </w:pPr>
      <w:r>
        <w:t>After cleaning, the feed and water datasets are combined, and daily summaries of basic feeding and drinking metrics are calculated. This step yields six conventional behavioral variables: (i) total daily feed intake (kg), (ii) total daily feeding duration (s), (iii) total number of feeding visits per day, (iv) total daily water intake (L), (v) total daily drinking duration (s), and (vi) total number of drinking visits per day.</w:t>
      </w:r>
    </w:p>
    <w:p w14:paraId="79D10DC8" w14:textId="77777777" w:rsidR="00B11E0E" w:rsidRDefault="00000000">
      <w:pPr>
        <w:pStyle w:val="BodyText"/>
      </w:pPr>
      <w:r>
        <w:rPr>
          <w:b/>
          <w:bCs/>
        </w:rPr>
        <w:t>Agonistic Replacement Detection.</w:t>
      </w:r>
      <w:r>
        <w:t xml:space="preserve"> Replacements at the feed bins were identified using a validated algorithm following the method described by Huzzey et al. (</w:t>
      </w:r>
      <w:hyperlink w:anchor="ref-huzzey2014automatic">
        <w:r>
          <w:rPr>
            <w:rStyle w:val="Hyperlink"/>
          </w:rPr>
          <w:t>2014</w:t>
        </w:r>
      </w:hyperlink>
      <w:r>
        <w:t>) and Foris et al. (</w:t>
      </w:r>
      <w:hyperlink w:anchor="ref-foris2019automatic">
        <w:r>
          <w:rPr>
            <w:rStyle w:val="Hyperlink"/>
          </w:rPr>
          <w:t>2019</w:t>
        </w:r>
      </w:hyperlink>
      <w:r>
        <w:t>).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 (</w:t>
      </w:r>
      <w:hyperlink w:anchor="ref-foris2019automatic">
        <w:r>
          <w:rPr>
            <w:rStyle w:val="Hyperlink"/>
          </w:rPr>
          <w:t>Foris et al., 2019</w:t>
        </w:r>
      </w:hyperlink>
      <w:r>
        <w:t>). Daily agonistic behavior was summarized into two variables: (vii) total number of times the focal cow acted as the actor (displacing another cow from a bin) per day, and (viii) total number of times the focal cow acted as the reactor (being displaced from a bin) per day.</w:t>
      </w:r>
    </w:p>
    <w:p w14:paraId="640AA784" w14:textId="77777777" w:rsidR="00B11E0E" w:rsidRDefault="00000000">
      <w:pPr>
        <w:pStyle w:val="BodyText"/>
      </w:pPr>
      <w:r>
        <w:rPr>
          <w:b/>
          <w:bCs/>
        </w:rPr>
        <w:t>Non-nutritive Visit Detection.</w:t>
      </w:r>
      <w:r>
        <w:t xml:space="preserve"> A visit was classified as non-nutritive if the cow’s measured intake did not exceed the calibration error of the Insentec system (0.5 kg), meaning the cow visited a bin that contained feed but did not eat anything. This yielded one daily-level variable: (ix) total number of non-nutritive feed visits per cow per day.</w:t>
      </w:r>
    </w:p>
    <w:p w14:paraId="07C96885" w14:textId="77777777" w:rsidR="00B11E0E" w:rsidRDefault="00000000">
      <w:pPr>
        <w:pStyle w:val="BodyText"/>
      </w:pPr>
      <w:r>
        <w:rPr>
          <w:b/>
          <w:bCs/>
        </w:rPr>
        <w:t>Feed Availability Estimation.</w:t>
      </w:r>
      <w:r>
        <w:t xml:space="preserve"> Feed delivery events were automatically identified when a bin’s start weight increased by at least 5 kg (threshold is customizable) between consecutive visits, with deliveries to multiple bins grouped together if they occurred within one hour. This approach allows users to track both the frequency of feeding events throughout the day and the exact amount of feed added to each individual bin during every delivery. By combining this with visit-level bin weight data, it becomes possible to estimate how much feed remained in each bin at the precise moment a cow arrived, enabling us to identify cows that consistently are disadvantaged and end up accessing bins only after much of the fresh feed has already been consumed. For each </w:t>
      </w:r>
      <w:r>
        <w:lastRenderedPageBreak/>
        <w:t>feeding visit, the proportion of feed remaining in the bin at the time of the cow’s arrival was estimated. This produced one variable: (x) median proportion of feed remaining in the bin at visit start (%), calculated as the daily median across all of a cow’s visits to all the feed bins. The median was used in place of the mean as the measure of central tendency, given that the underlying distributions of these variables are often skewed and do not conform to normality assumptions. This variable indicates whether a cow consistently arrived at bins with ample feed or tended to access nearly depleted bins, helping flag individuals that may be socially disadvantaged and forced to eat leftover feed.</w:t>
      </w:r>
    </w:p>
    <w:p w14:paraId="54BB6991" w14:textId="77777777" w:rsidR="00B11E0E" w:rsidRDefault="00000000">
      <w:pPr>
        <w:pStyle w:val="BodyText"/>
      </w:pPr>
      <w:r>
        <w:rPr>
          <w:b/>
          <w:bCs/>
        </w:rPr>
        <w:t>Meal Clustering and Analysis.</w:t>
      </w:r>
      <w:r>
        <w:t xml:space="preserve"> Individual feed bin visits were grouped into meals using a density-based clustering algorithm: DBSCAN (</w:t>
      </w:r>
      <w:hyperlink w:anchor="ref-khan2014dbscan">
        <w:r>
          <w:rPr>
            <w:rStyle w:val="Hyperlink"/>
          </w:rPr>
          <w:t>Khan et al., 2014</w:t>
        </w:r>
      </w:hyperlink>
      <w:r>
        <w:t>),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an arbitrary fixed interval (e.g., 60 or 90 minutes), which fails to account for differences among farms, data collection methods, and individual animals’ differences.</w:t>
      </w:r>
    </w:p>
    <w:p w14:paraId="34CDC2CF" w14:textId="77777777" w:rsidR="00B11E0E" w:rsidRDefault="00000000">
      <w:pPr>
        <w:pStyle w:val="BodyText"/>
      </w:pPr>
      <w:r>
        <w:t>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 (</w:t>
      </w:r>
      <w:hyperlink w:anchor="ref-tolkamp1998satiety">
        <w:r>
          <w:rPr>
            <w:rStyle w:val="Hyperlink"/>
          </w:rPr>
          <w:t>Tolkamp et al., 1998</w:t>
        </w:r>
      </w:hyperlink>
      <w:r>
        <w:t>). The two components naturally capture two distinct populations of gaps: short within-meal pauses and longer between-meal gaps. The meal criterion was then set to the point where the two fitted distributions intersect. The moo4feed package visualizes the gap distribution and the fitted mixture components so users can confirm the two populations are well separated for their own data. As a simpler alternative, the package also supports a percentile-based approach, where the meal criterion is set to a user-specified percentile of the gap distribution (e.g., the 90th percentile). The meal criterion can be derived at three levels of granularity: a single universal threshold pooled across all animals and days, an animal-specific threshold applied consistently across all days, or a threshold estimated separately for each animal on each day. In this study, we used a single pooled criterion derived from the GMM method. Meals were required to contain a minimum of two visits. The DBSCAN algorithm then assigned each visit to a meal cluster or flagged it as an isolated, unclustered visit. Timeline visualizations of the resulting meal clusters were generated for each animal on each day to allow visual inspection of the clustering results.</w:t>
      </w:r>
    </w:p>
    <w:p w14:paraId="54B73E96" w14:textId="77777777" w:rsidR="00B11E0E" w:rsidRDefault="00000000">
      <w:pPr>
        <w:pStyle w:val="BodyText"/>
      </w:pPr>
      <w:r>
        <w:t>Once visits were grouped into meals, meal-level variables were computed by aggregating visit-level data within each meal and then summarizing across all meals within each cow-day. This step yielded six meal-level variables: (xi) total number of meals per day,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14:paraId="14E8F3F6" w14:textId="77777777" w:rsidR="00B11E0E" w:rsidRDefault="00000000">
      <w:pPr>
        <w:pStyle w:val="BodyText"/>
      </w:pPr>
      <w:r>
        <w:t>In total, 16 behavioral variables were included in the statistical analyses described in Section 3.4: six basic daily feeding and drinking variables (i–vi), two daily agonistic variables (vii–viii), one non-nutritive visit variable (ix), one feed availability variable (x), and six meal-level variables (xi–xvi).</w:t>
      </w:r>
    </w:p>
    <w:p w14:paraId="47E3D452" w14:textId="77777777" w:rsidR="00B11E0E" w:rsidRDefault="00000000">
      <w:pPr>
        <w:pStyle w:val="Heading2"/>
      </w:pPr>
      <w:bookmarkStart w:id="6" w:name="statistical-analysis"/>
      <w:bookmarkEnd w:id="5"/>
      <w:r>
        <w:lastRenderedPageBreak/>
        <w:t>3.4 Statistical Analysis</w:t>
      </w:r>
    </w:p>
    <w:p w14:paraId="0A553139" w14:textId="77777777" w:rsidR="00B11E0E" w:rsidRDefault="00000000">
      <w:pPr>
        <w:pStyle w:val="FirstParagraph"/>
      </w:pPr>
      <w:r>
        <w:t>We used Bayesian mixed-effects models to quantify repeatability and predictability. All models were fitted using the brms R package (</w:t>
      </w:r>
      <w:hyperlink w:anchor="ref-burkner2017brms">
        <w:r>
          <w:rPr>
            <w:rStyle w:val="Hyperlink"/>
          </w:rPr>
          <w:t>Bürkner, 2017</w:t>
        </w:r>
      </w:hyperlink>
      <w:r>
        <w:t>), which implements Bayesian regression models via the Stan programming language.</w:t>
      </w:r>
    </w:p>
    <w:p w14:paraId="014E0C9C" w14:textId="77777777" w:rsidR="00B11E0E" w:rsidRDefault="00000000">
      <w:pPr>
        <w:pStyle w:val="BodyText"/>
      </w:pPr>
      <w:r>
        <w:rPr>
          <w:b/>
          <w:bCs/>
        </w:rPr>
        <w:t>Variable distribution assessment.</w:t>
      </w:r>
      <w:r>
        <w:t xml:space="preserve"> Before fitting any models, we examined the distribution of each behavioral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14:paraId="2A46794A" w14:textId="77777777" w:rsidR="00B11E0E" w:rsidRDefault="00000000">
      <w:pPr>
        <w:pStyle w:val="BodyText"/>
      </w:pPr>
      <w:r>
        <w:rPr>
          <w:b/>
          <w:bCs/>
        </w:rPr>
        <w:t>Repeatability.</w:t>
      </w:r>
      <w:r>
        <w:t xml:space="preserve"> For each of the 16 behavioral variables, a Bayesian mixed model was fitted:</w:t>
      </w:r>
    </w:p>
    <w:p w14:paraId="6CA7E3B3" w14:textId="77777777" w:rsidR="00B11E0E" w:rsidRDefault="00000000">
      <w:pPr>
        <w:pStyle w:val="BodyText"/>
      </w:pPr>
      <m:oMathPara>
        <m:oMathParaPr>
          <m:jc m:val="center"/>
        </m:oMathParaPr>
        <m:oMath>
          <m:r>
            <m:rPr>
              <m:nor/>
            </m:rPr>
            <m:t>response</m:t>
          </m:r>
          <m:r>
            <m:rPr>
              <m:sty m:val="p"/>
            </m:rPr>
            <w:rPr>
              <w:rFonts w:ascii="Cambria Math" w:hAnsi="Cambria Math"/>
            </w:rPr>
            <m:t>∼</m:t>
          </m:r>
          <m:r>
            <m:rPr>
              <m:nor/>
            </m:rPr>
            <m:t>DIM</m:t>
          </m:r>
          <m:r>
            <m:rPr>
              <m:sty m:val="p"/>
            </m:rPr>
            <w:rPr>
              <w:rFonts w:ascii="Cambria Math" w:hAnsi="Cambria Math"/>
            </w:rPr>
            <m:t>+</m:t>
          </m:r>
          <m:r>
            <m:rPr>
              <m:nor/>
            </m:rPr>
            <m:t>parity</m:t>
          </m:r>
          <m:r>
            <m:rPr>
              <m:sty m:val="p"/>
            </m:rPr>
            <w:rPr>
              <w:rFonts w:ascii="Cambria Math" w:hAnsi="Cambria Math"/>
            </w:rPr>
            <m:t>+</m:t>
          </m:r>
          <m:sSub>
            <m:sSubPr>
              <m:ctrlPr>
                <w:rPr>
                  <w:rFonts w:ascii="Cambria Math" w:hAnsi="Cambria Math"/>
                </w:rPr>
              </m:ctrlPr>
            </m:sSubPr>
            <m:e>
              <m:r>
                <m:rPr>
                  <m:nor/>
                </m:rPr>
                <m:t>THI</m:t>
              </m:r>
            </m:e>
            <m:sub>
              <m:r>
                <m:rPr>
                  <m:nor/>
                </m:rPr>
                <m:t>mean</m:t>
              </m:r>
            </m:sub>
          </m:sSub>
          <m:r>
            <m:rPr>
              <m:sty m:val="p"/>
            </m:rPr>
            <w:rPr>
              <w:rFonts w:ascii="Cambria Math" w:hAnsi="Cambria Math"/>
            </w:rPr>
            <m:t>+</m:t>
          </m:r>
          <m:r>
            <m:rPr>
              <m:nor/>
            </m:rPr>
            <m:t>poly</m:t>
          </m:r>
          <m:d>
            <m:dPr>
              <m:ctrlPr>
                <w:rPr>
                  <w:rFonts w:ascii="Cambria Math" w:hAnsi="Cambria Math"/>
                </w:rPr>
              </m:ctrlPr>
            </m:dPr>
            <m:e>
              <m:r>
                <m:rPr>
                  <m:nor/>
                </m:rPr>
                <m:t>month</m:t>
              </m:r>
              <m:r>
                <m:rPr>
                  <m:sty m:val="p"/>
                </m:rPr>
                <w:rPr>
                  <w:rFonts w:ascii="Cambria Math" w:hAnsi="Cambria Math"/>
                </w:rPr>
                <m:t>,</m:t>
              </m:r>
              <m:r>
                <w:rPr>
                  <w:rFonts w:ascii="Cambria Math" w:hAnsi="Cambria Math"/>
                </w:rPr>
                <m:t> 2</m:t>
              </m:r>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m:rPr>
                  <m:nor/>
                </m:rPr>
                <m:t>cow</m:t>
              </m:r>
            </m:e>
          </m:d>
        </m:oMath>
      </m:oMathPara>
    </w:p>
    <w:p w14:paraId="7FD72ADE" w14:textId="77777777" w:rsidR="00B11E0E" w:rsidRDefault="00000000">
      <w:pPr>
        <w:pStyle w:val="FirstParagraph"/>
      </w:pPr>
      <w:r>
        <w:t>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14:paraId="7C949130" w14:textId="77777777" w:rsidR="00B11E0E" w:rsidRDefault="00000000">
      <w:pPr>
        <w:pStyle w:val="BodyText"/>
      </w:pPr>
      <w:r>
        <w:t xml:space="preserve">Among-individual variation was quantified using two metrics derived from posterior draws: repeatability </w:t>
      </w:r>
      <w:r>
        <w:rPr>
          <w:b/>
          <w:bCs/>
        </w:rPr>
        <w:t>(R)</w:t>
      </w:r>
      <w:r>
        <w:t xml:space="preserve"> and the coefficient of individual variation </w:t>
      </w:r>
      <w:r>
        <w:rPr>
          <w:b/>
          <w:bCs/>
        </w:rPr>
        <w:t>(CVi)</w:t>
      </w:r>
      <w:r>
        <w:t xml:space="preserve"> (</w:t>
      </w:r>
      <w:hyperlink w:anchor="ref-hertel2020">
        <w:r>
          <w:rPr>
            <w:rStyle w:val="Hyperlink"/>
          </w:rPr>
          <w:t>Hertel et al., 2020</w:t>
        </w:r>
      </w:hyperlink>
      <w:r>
        <w:t>). R is the proportion of total variance attributable to between-cow differences:</w:t>
      </w:r>
    </w:p>
    <w:p w14:paraId="6A92D918" w14:textId="77777777" w:rsidR="00B11E0E" w:rsidRDefault="00000000">
      <w:pPr>
        <w:pStyle w:val="BodyText"/>
      </w:pPr>
      <m:oMathPara>
        <m:oMathParaPr>
          <m:jc m:val="center"/>
        </m:oMathParaPr>
        <m:oMath>
          <m:r>
            <w:rPr>
              <w:rFonts w:ascii="Cambria Math" w:hAnsi="Cambria Math"/>
            </w:rPr>
            <m:t>R</m:t>
          </m:r>
          <m:r>
            <m:rPr>
              <m:sty m:val="p"/>
            </m:rPr>
            <w:rPr>
              <w:rFonts w:ascii="Cambria Math" w:hAnsi="Cambria Math"/>
            </w:rPr>
            <m:t>=</m:t>
          </m:r>
          <m:f>
            <m:fPr>
              <m:ctrlPr>
                <w:rPr>
                  <w:rFonts w:ascii="Cambria Math" w:hAnsi="Cambria Math"/>
                </w:rPr>
              </m:ctrlPr>
            </m:fPr>
            <m:num>
              <m:r>
                <m:rPr>
                  <m:nor/>
                </m:rPr>
                <m:t>var.cow</m:t>
              </m:r>
            </m:num>
            <m:den>
              <m:r>
                <m:rPr>
                  <m:nor/>
                </m:rPr>
                <m:t>var.cow</m:t>
              </m:r>
              <m:r>
                <m:rPr>
                  <m:sty m:val="p"/>
                </m:rPr>
                <w:rPr>
                  <w:rFonts w:ascii="Cambria Math" w:hAnsi="Cambria Math"/>
                </w:rPr>
                <m:t>+</m:t>
              </m:r>
              <m:r>
                <m:rPr>
                  <m:nor/>
                </m:rPr>
                <m:t>var.res</m:t>
              </m:r>
            </m:den>
          </m:f>
        </m:oMath>
      </m:oMathPara>
    </w:p>
    <w:p w14:paraId="1E9F54E6" w14:textId="77777777" w:rsidR="00B11E0E" w:rsidRDefault="00000000">
      <w:pPr>
        <w:pStyle w:val="FirstParagraph"/>
      </w:pPr>
      <w:r>
        <w:t xml:space="preserve">where </w:t>
      </w:r>
      <m:oMath>
        <m:r>
          <m:rPr>
            <m:nor/>
          </m:rPr>
          <m:t>var.cow</m:t>
        </m:r>
      </m:oMath>
      <w:r>
        <w:t xml:space="preserve"> is the posterior variance of the cow-level random intercept and </w:t>
      </w:r>
      <m:oMath>
        <m:r>
          <m:rPr>
            <m:nor/>
          </m:rPr>
          <m:t>var.res</m:t>
        </m:r>
      </m:oMath>
      <w:r>
        <w:t xml:space="preserve"> 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14:paraId="6188B399" w14:textId="77777777" w:rsidR="00B11E0E" w:rsidRDefault="00000000">
      <w:pPr>
        <w:pStyle w:val="BodyText"/>
      </w:pPr>
      <m:oMathPara>
        <m:oMathParaPr>
          <m:jc m:val="center"/>
        </m:oMathParaPr>
        <m:oMath>
          <m:r>
            <m:rPr>
              <m:nor/>
            </m:rPr>
            <m:t>CVi</m:t>
          </m:r>
          <m:r>
            <m:rPr>
              <m:sty m:val="p"/>
            </m:rPr>
            <w:rPr>
              <w:rFonts w:ascii="Cambria Math" w:hAnsi="Cambria Math"/>
            </w:rPr>
            <m:t>=</m:t>
          </m:r>
          <m:f>
            <m:fPr>
              <m:ctrlPr>
                <w:rPr>
                  <w:rFonts w:ascii="Cambria Math" w:hAnsi="Cambria Math"/>
                </w:rPr>
              </m:ctrlPr>
            </m:fPr>
            <m:num>
              <m:rad>
                <m:radPr>
                  <m:degHide m:val="1"/>
                  <m:ctrlPr>
                    <w:rPr>
                      <w:rFonts w:ascii="Cambria Math" w:hAnsi="Cambria Math"/>
                    </w:rPr>
                  </m:ctrlPr>
                </m:radPr>
                <m:deg/>
                <m:e>
                  <m:r>
                    <m:rPr>
                      <m:nor/>
                    </m:rPr>
                    <m:t>var.cow</m:t>
                  </m:r>
                </m:e>
              </m:rad>
            </m:num>
            <m:den>
              <m:acc>
                <m:accPr>
                  <m:chr m:val="‾"/>
                  <m:ctrlPr>
                    <w:rPr>
                      <w:rFonts w:ascii="Cambria Math" w:hAnsi="Cambria Math"/>
                    </w:rPr>
                  </m:ctrlPr>
                </m:accPr>
                <m:e>
                  <m:r>
                    <w:rPr>
                      <w:rFonts w:ascii="Cambria Math" w:hAnsi="Cambria Math"/>
                    </w:rPr>
                    <m:t>y</m:t>
                  </m:r>
                </m:e>
              </m:acc>
            </m:den>
          </m:f>
        </m:oMath>
      </m:oMathPara>
    </w:p>
    <w:p w14:paraId="545EEFB0" w14:textId="77777777" w:rsidR="00B11E0E" w:rsidRDefault="00000000">
      <w:pPr>
        <w:pStyle w:val="FirstParagraph"/>
      </w:pPr>
      <w:r>
        <w:lastRenderedPageBreak/>
        <w:t xml:space="preserve">where </w:t>
      </w:r>
      <m:oMath>
        <m:acc>
          <m:accPr>
            <m:chr m:val="‾"/>
            <m:ctrlPr>
              <w:rPr>
                <w:rFonts w:ascii="Cambria Math" w:hAnsi="Cambria Math"/>
              </w:rPr>
            </m:ctrlPr>
          </m:accPr>
          <m:e>
            <m:r>
              <w:rPr>
                <w:rFonts w:ascii="Cambria Math" w:hAnsi="Cambria Math"/>
              </w:rPr>
              <m:t>y</m:t>
            </m:r>
          </m:e>
        </m:acc>
      </m:oMath>
      <w:r>
        <w:t xml:space="preserve"> is the mean of the response variable. For lognormal models, CVi was instead computed as </w:t>
      </w:r>
      <m:oMath>
        <m:rad>
          <m:radPr>
            <m:degHide m:val="1"/>
            <m:ctrlPr>
              <w:rPr>
                <w:rFonts w:ascii="Cambria Math" w:hAnsi="Cambria Math"/>
              </w:rPr>
            </m:ctrlPr>
          </m:radPr>
          <m:deg/>
          <m:e>
            <m:r>
              <m:rPr>
                <m:sty m:val="p"/>
              </m:rPr>
              <w:rPr>
                <w:rFonts w:ascii="Cambria Math" w:hAnsi="Cambria Math"/>
              </w:rPr>
              <m:t>exp</m:t>
            </m:r>
            <m:d>
              <m:dPr>
                <m:ctrlPr>
                  <w:rPr>
                    <w:rFonts w:ascii="Cambria Math" w:hAnsi="Cambria Math"/>
                  </w:rPr>
                </m:ctrlPr>
              </m:dPr>
              <m:e>
                <m:r>
                  <m:rPr>
                    <m:nor/>
                  </m:rPr>
                  <m:t>var.cow</m:t>
                </m:r>
              </m:e>
            </m:d>
            <m:r>
              <m:rPr>
                <m:sty m:val="p"/>
              </m:rPr>
              <w:rPr>
                <w:rFonts w:ascii="Cambria Math" w:hAnsi="Cambria Math"/>
              </w:rPr>
              <m:t>-</m:t>
            </m:r>
            <m:r>
              <w:rPr>
                <w:rFonts w:ascii="Cambria Math" w:hAnsi="Cambria Math"/>
              </w:rPr>
              <m:t>1</m:t>
            </m:r>
          </m:e>
        </m:rad>
      </m:oMath>
      <w:r>
        <w:t xml:space="preserve"> to place the estimate on the original data scale. CVi is interpretable across behaviors with different units and facilitates comparison across studies. Model convergence was assessed via R-hat (&lt; 1.01), Bulk- and Tail-Effective Sample Size (ESS), trace plots, and posterior predictive checks. Individual-level posterior distributions were visualized using ridge plots ordered by each cow’s posterior mean.</w:t>
      </w:r>
    </w:p>
    <w:p w14:paraId="591E1D7C" w14:textId="77777777" w:rsidR="00B11E0E" w:rsidRDefault="00000000">
      <w:pPr>
        <w:pStyle w:val="BodyText"/>
      </w:pPr>
      <w:r>
        <w:rPr>
          <w:b/>
          <w:bCs/>
        </w:rPr>
        <w:t>Predictability.</w:t>
      </w:r>
      <w:r>
        <w:t xml:space="preserve"> 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14:paraId="735E031F" w14:textId="77777777" w:rsidR="00B11E0E" w:rsidRDefault="00000000">
      <w:pPr>
        <w:pStyle w:val="BodyText"/>
      </w:pPr>
      <m:oMathPara>
        <m:oMathParaPr>
          <m:jc m:val="center"/>
        </m:oMathParaPr>
        <m:oMath>
          <m:r>
            <m:rPr>
              <m:nor/>
            </m:rPr>
            <m:t>sigma</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m:rPr>
                  <m:nor/>
                </m:rPr>
                <m:t>cow</m:t>
              </m:r>
            </m:e>
          </m:d>
        </m:oMath>
      </m:oMathPara>
    </w:p>
    <w:p w14:paraId="78AABDBC" w14:textId="77777777" w:rsidR="00B11E0E" w:rsidRDefault="00000000">
      <w:pPr>
        <w:pStyle w:val="FirstParagraph"/>
      </w:pPr>
      <w:r>
        <w:t>Population-level predictability was summarized using two metrics derived from the posterior SD of the cow-level random effect in the sigma sub-model (</w:t>
      </w:r>
      <m:oMath>
        <m:r>
          <m:rPr>
            <m:nor/>
          </m:rPr>
          <m:t>sd.sigma.cow</m:t>
        </m:r>
      </m:oMath>
      <w:r>
        <w:t xml:space="preserve">). The residual intra-individual variability </w:t>
      </w:r>
      <w:r>
        <w:rPr>
          <w:b/>
          <w:bCs/>
        </w:rPr>
        <w:t>(rIIV)</w:t>
      </w:r>
      <w:r>
        <w:t xml:space="preserve"> captures how much cows differ from one another in their within-individual consistency (</w:t>
      </w:r>
      <w:hyperlink w:anchor="ref-hertel2020">
        <w:r>
          <w:rPr>
            <w:rStyle w:val="Hyperlink"/>
          </w:rPr>
          <w:t>Hertel et al., 2020</w:t>
        </w:r>
      </w:hyperlink>
      <w:r>
        <w:t>):</w:t>
      </w:r>
    </w:p>
    <w:p w14:paraId="493DD0B4" w14:textId="77777777" w:rsidR="00B11E0E" w:rsidRDefault="00000000">
      <w:pPr>
        <w:pStyle w:val="BodyText"/>
      </w:pPr>
      <m:oMathPara>
        <m:oMathParaPr>
          <m:jc m:val="center"/>
        </m:oMathParaPr>
        <m:oMath>
          <m:r>
            <m:rPr>
              <m:nor/>
            </m:rPr>
            <m:t>rIIV</m:t>
          </m:r>
          <m:r>
            <m:rPr>
              <m:sty m:val="p"/>
            </m:rPr>
            <w:rPr>
              <w:rFonts w:ascii="Cambria Math" w:hAnsi="Cambria Math"/>
            </w:rPr>
            <m:t>=exp</m:t>
          </m:r>
          <m:sSup>
            <m:sSupPr>
              <m:ctrlPr>
                <w:rPr>
                  <w:rFonts w:ascii="Cambria Math" w:hAnsi="Cambria Math"/>
                </w:rPr>
              </m:ctrlPr>
            </m:sSupPr>
            <m:e>
              <m:d>
                <m:dPr>
                  <m:ctrlPr>
                    <w:rPr>
                      <w:rFonts w:ascii="Cambria Math" w:hAnsi="Cambria Math"/>
                    </w:rPr>
                  </m:ctrlPr>
                </m:dPr>
                <m:e>
                  <m:r>
                    <m:rPr>
                      <m:nor/>
                    </m:rPr>
                    <m:t>sd.sigma.cow</m:t>
                  </m:r>
                </m:e>
              </m:d>
            </m:e>
            <m:sup>
              <m:r>
                <w:rPr>
                  <w:rFonts w:ascii="Cambria Math" w:hAnsi="Cambria Math"/>
                </w:rPr>
                <m:t>2</m:t>
              </m:r>
            </m:sup>
          </m:sSup>
        </m:oMath>
      </m:oMathPara>
    </w:p>
    <w:p w14:paraId="637C6986" w14:textId="77777777" w:rsidR="00B11E0E" w:rsidRDefault="00000000">
      <w:pPr>
        <w:pStyle w:val="FirstParagraph"/>
      </w:pPr>
      <w:r>
        <w:t xml:space="preserve">We also computed the coefficient of variation of predictability </w:t>
      </w:r>
      <w:r>
        <w:rPr>
          <w:b/>
          <w:bCs/>
        </w:rPr>
        <w:t>(CVP)</w:t>
      </w:r>
      <w:r>
        <w:t>, which can be used to compare predictability across different behavioural traits and studies, independent of the scale of the trait:</w:t>
      </w:r>
    </w:p>
    <w:p w14:paraId="36E9153E" w14:textId="77777777" w:rsidR="00B11E0E" w:rsidRDefault="00000000">
      <w:pPr>
        <w:pStyle w:val="BodyText"/>
      </w:pPr>
      <m:oMathPara>
        <m:oMathParaPr>
          <m:jc m:val="center"/>
        </m:oMathParaPr>
        <m:oMath>
          <m:r>
            <m:rPr>
              <m:nor/>
            </m:rPr>
            <m:t>CVP</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exp</m:t>
              </m:r>
              <m:d>
                <m:dPr>
                  <m:ctrlPr>
                    <w:rPr>
                      <w:rFonts w:ascii="Cambria Math" w:hAnsi="Cambria Math"/>
                    </w:rPr>
                  </m:ctrlPr>
                </m:dPr>
                <m:e>
                  <m:sSup>
                    <m:sSupPr>
                      <m:ctrlPr>
                        <w:rPr>
                          <w:rFonts w:ascii="Cambria Math" w:hAnsi="Cambria Math"/>
                        </w:rPr>
                      </m:ctrlPr>
                    </m:sSupPr>
                    <m:e>
                      <m:r>
                        <m:rPr>
                          <m:nor/>
                        </m:rPr>
                        <m:t>sd.sigma.cow</m:t>
                      </m:r>
                    </m:e>
                    <m:sup>
                      <m:r>
                        <w:rPr>
                          <w:rFonts w:ascii="Cambria Math" w:hAnsi="Cambria Math"/>
                        </w:rPr>
                        <m:t>2</m:t>
                      </m:r>
                    </m:sup>
                  </m:sSup>
                </m:e>
              </m:d>
              <m:r>
                <m:rPr>
                  <m:sty m:val="p"/>
                </m:rPr>
                <w:rPr>
                  <w:rFonts w:ascii="Cambria Math" w:hAnsi="Cambria Math"/>
                </w:rPr>
                <m:t>-</m:t>
              </m:r>
              <m:r>
                <w:rPr>
                  <w:rFonts w:ascii="Cambria Math" w:hAnsi="Cambria Math"/>
                </w:rPr>
                <m:t>1</m:t>
              </m:r>
            </m:e>
          </m:rad>
        </m:oMath>
      </m:oMathPara>
    </w:p>
    <w:p w14:paraId="26E0C404" w14:textId="77777777" w:rsidR="00B11E0E" w:rsidRDefault="00000000">
      <w:pPr>
        <w:pStyle w:val="FirstParagraph"/>
      </w:pPr>
      <w:r>
        <w:t>Both rIIV and CVP are monotonic transformations of the same parameter (</w:t>
      </w:r>
      <m:oMath>
        <m:r>
          <m:rPr>
            <m:nor/>
          </m:rPr>
          <m:t>sd.sigma.cow</m:t>
        </m:r>
      </m:oMath>
      <w:r>
        <w:t>). We report both because rIIV has a direct biological interpretation as a fold-ratio in residual SD across individuals, whereas CVP provides a standardized, scale-free quantity for comparison across traits and studies.</w:t>
      </w:r>
    </w:p>
    <w:p w14:paraId="17CC94CA" w14:textId="77777777" w:rsidR="00B11E0E" w:rsidRDefault="00000000">
      <w:pPr>
        <w:pStyle w:val="BodyText"/>
      </w:pPr>
      <w:r>
        <w:t>A high CVP value means that cows differ considerably from each other in how consistent their day-to-day behavior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 MCMC sampling settings were identical to those used for the repeatability models.</w:t>
      </w:r>
    </w:p>
    <w:p w14:paraId="1E74B9DD" w14:textId="77777777" w:rsidR="00B11E0E" w:rsidRDefault="00000000">
      <w:pPr>
        <w:pStyle w:val="BodyText"/>
      </w:pPr>
      <w:r>
        <w:t>Behavioral variables that showed both high CVi and low CVP are the best candidates for individual profiling, as these are behaviors that differ meaningfully across individuals and remain stable within individuals over time.</w:t>
      </w:r>
    </w:p>
    <w:p w14:paraId="7F0B1AC3" w14:textId="77777777" w:rsidR="00B11E0E" w:rsidRDefault="00000000">
      <w:pPr>
        <w:pStyle w:val="BodyText"/>
      </w:pPr>
      <w:r>
        <w:rPr>
          <w:b/>
          <w:bCs/>
        </w:rPr>
        <w:t>Behavioral variable clustering.</w:t>
      </w:r>
      <w:r>
        <w:t xml:space="preserve"> To organize the 16 behavioral variables by how informative they are for individual profiling, we applied k-means clustering (k = 3, 50 random starts) to the posterior mean CVi and R values for each variable, after scaling both dimensions. The number of </w:t>
      </w:r>
      <w:r>
        <w:lastRenderedPageBreak/>
        <w:t>clusters (k = 3) was determined by researcher judgment based on visual inspection of the CVi and R distributions. All variables have low predictaibility values, thus measures of predictability were not used in behavioral variable clustering. The three clusters were labeled by descending R and CVi: Cluster 1 (high R, high CVi: traits in which cows differ substantially in their individual average behavioral expression relative to the herd mean, and those individual differences are consistent over time); Cluster 2 (high R, low CVi: traits in which individual differences are consistent over time, but the variation among cows is small relative to the herd mean); and Cluster 3 (low R, low CVi: traits in which cows show little variation relative to the herd mean, and what little variation exists is not consistent over time). We used only the variables in Cluster 1 for the downstream cow clustering, as they are the most informative for individual cow profiling.</w:t>
      </w:r>
    </w:p>
    <w:p w14:paraId="680EB5FB" w14:textId="77777777" w:rsidR="00B11E0E" w:rsidRDefault="00000000">
      <w:pPr>
        <w:pStyle w:val="BodyText"/>
      </w:pPr>
      <w:r>
        <w:rPr>
          <w:b/>
          <w:bCs/>
        </w:rPr>
        <w:t>Individual-level behavioral profiles.</w:t>
      </w:r>
      <w:r>
        <w:t xml:space="preserve"> For each cow and each behavioral variable in Cluster 1, we extracted the individual intercept from the posterior distribution: the population intercept plus each cow’s random effect (back-transformed to the original scale for lognormal models). This represents a cow’s average behavioral type (i.e., a cow’s typical expression of their behavior).</w:t>
      </w:r>
    </w:p>
    <w:p w14:paraId="176843DD" w14:textId="77777777" w:rsidR="00B11E0E" w:rsidRDefault="00000000">
      <w:pPr>
        <w:pStyle w:val="BodyText"/>
      </w:pPr>
      <w:r>
        <w:rPr>
          <w:b/>
          <w:bCs/>
        </w:rPr>
        <w:t>PCA and cow clustering using k-means.</w:t>
      </w:r>
      <w:r>
        <w:t xml:space="preserve"> To synthesize the multi-dimensional behavioral profiles into a small number of interpretable dimensions and identify distinct cow types, we applied principal component analysis (PCA) with varimax rotation (</w:t>
      </w:r>
      <w:hyperlink w:anchor="ref-budaev2010using">
        <w:r>
          <w:rPr>
            <w:rStyle w:val="Hyperlink"/>
          </w:rPr>
          <w:t>Budaev, 2010</w:t>
        </w:r>
      </w:hyperlink>
      <w:r>
        <w:t>) to the matrix of individual intercepts for the Cluster 1 variables (one row per cow, one column per variable). The number of components retained was chosen to explain at least 80% of the cumulative variance.</w:t>
      </w:r>
    </w:p>
    <w:p w14:paraId="16003B6C" w14:textId="77777777" w:rsidR="00B11E0E" w:rsidRDefault="00000000">
      <w:pPr>
        <w:pStyle w:val="BodyText"/>
      </w:pPr>
      <w:r>
        <w:t xml:space="preserve">Following PCA, cows were grouped into behavioral types by applying k-means clustering to the retained rotated component scores. The optimal number of clusters </w:t>
      </w:r>
      <m:oMath>
        <m:r>
          <w:rPr>
            <w:rFonts w:ascii="Cambria Math" w:hAnsi="Cambria Math"/>
          </w:rPr>
          <m:t>k</m:t>
        </m:r>
      </m:oMath>
      <w:r>
        <w:t xml:space="preserve"> was determined using the silhouette method, evaluated across 100 independent runs with different random seeds, each using 100 random centroid initializations for stability. For each run, the value of </w:t>
      </w:r>
      <m:oMath>
        <m:r>
          <w:rPr>
            <w:rFonts w:ascii="Cambria Math" w:hAnsi="Cambria Math"/>
          </w:rPr>
          <m:t>k</m:t>
        </m:r>
      </m:oMath>
      <w:r>
        <w:t xml:space="preserve"> yielding the highest mean silhouette score was selected, and the </w:t>
      </w:r>
      <m:oMath>
        <m:r>
          <w:rPr>
            <w:rFonts w:ascii="Cambria Math" w:hAnsi="Cambria Math"/>
          </w:rPr>
          <m:t>k</m:t>
        </m:r>
      </m:oMath>
      <w:r>
        <w:t xml:space="preserve"> chosen most frequently across all seeds was used for the final clustering.</w:t>
      </w:r>
    </w:p>
    <w:p w14:paraId="21F45250" w14:textId="77777777" w:rsidR="00B11E0E" w:rsidRDefault="00000000">
      <w:pPr>
        <w:pStyle w:val="BodyText"/>
      </w:pPr>
      <w:r>
        <w:t xml:space="preserve">The silhouette score quantifies how well each data point fits its assigned cluster relative to neighboring clusters. For each cow </w:t>
      </w:r>
      <m:oMath>
        <m:r>
          <w:rPr>
            <w:rFonts w:ascii="Cambria Math" w:hAnsi="Cambria Math"/>
          </w:rPr>
          <m:t>i</m:t>
        </m:r>
      </m:oMath>
      <w:r>
        <w:t xml:space="preserve"> belonging to cluster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we first compute </w:t>
      </w:r>
      <m:oMath>
        <m:r>
          <w:rPr>
            <w:rFonts w:ascii="Cambria Math" w:hAnsi="Cambria Math"/>
          </w:rPr>
          <m:t>a</m:t>
        </m:r>
        <m:d>
          <m:dPr>
            <m:ctrlPr>
              <w:rPr>
                <w:rFonts w:ascii="Cambria Math" w:hAnsi="Cambria Math"/>
              </w:rPr>
            </m:ctrlPr>
          </m:dPr>
          <m:e>
            <m:r>
              <w:rPr>
                <w:rFonts w:ascii="Cambria Math" w:hAnsi="Cambria Math"/>
              </w:rPr>
              <m:t>i</m:t>
            </m:r>
          </m:e>
        </m:d>
      </m:oMath>
      <w:r>
        <w:t xml:space="preserve">, the mean distance from cow </w:t>
      </w:r>
      <m:oMath>
        <m:r>
          <w:rPr>
            <w:rFonts w:ascii="Cambria Math" w:hAnsi="Cambria Math"/>
          </w:rPr>
          <m:t>i</m:t>
        </m:r>
      </m:oMath>
      <w:r>
        <w:t xml:space="preserve"> to all other cows within the same cluster:</w:t>
      </w:r>
    </w:p>
    <w:p w14:paraId="350683C1" w14:textId="77777777" w:rsidR="00B11E0E" w:rsidRDefault="00000000">
      <w:pPr>
        <w:pStyle w:val="BodyText"/>
      </w:pPr>
      <m:oMathPara>
        <m:oMathParaPr>
          <m:jc m:val="center"/>
        </m:oMathParaPr>
        <m:oMath>
          <m:r>
            <w:rPr>
              <w:rFonts w:ascii="Cambria Math" w:hAnsi="Cambria Math"/>
            </w:rPr>
            <m:t>a</m:t>
          </m:r>
          <m:d>
            <m:dPr>
              <m:ctrlPr>
                <w:rPr>
                  <w:rFonts w:ascii="Cambria Math" w:hAnsi="Cambria Math"/>
                </w:rPr>
              </m:ctrlPr>
            </m:dPr>
            <m:e>
              <m:r>
                <w:rPr>
                  <w:rFonts w:ascii="Cambria Math" w:hAnsi="Cambria Math"/>
                </w:rPr>
                <m:t>i</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r>
                <w:rPr>
                  <w:rFonts w:ascii="Cambria Math" w:hAnsi="Cambria Math"/>
                </w:rPr>
                <m:t>1</m:t>
              </m:r>
            </m:den>
          </m:f>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j</m:t>
              </m:r>
              <m:r>
                <m:rPr>
                  <m:sty m:val="p"/>
                </m:rPr>
                <w:rPr>
                  <w:rFonts w:ascii="Cambria Math" w:hAnsi="Cambria Math"/>
                </w:rPr>
                <m:t>≠</m:t>
              </m:r>
              <m:r>
                <w:rPr>
                  <w:rFonts w:ascii="Cambria Math" w:hAnsi="Cambria Math"/>
                </w:rPr>
                <m:t>i</m:t>
              </m:r>
            </m:sub>
            <m:sup>
              <m:r>
                <w:rPr>
                  <w:rFonts w:ascii="Cambria Math" w:hAnsi="Cambria Math"/>
                </w:rPr>
                <m:t>​</m:t>
              </m:r>
            </m:sup>
            <m:e>
              <m:r>
                <w:rPr>
                  <w:rFonts w:ascii="Cambria Math" w:hAnsi="Cambria Math"/>
                </w:rPr>
                <m:t>d</m:t>
              </m:r>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m:oMathPara>
    </w:p>
    <w:p w14:paraId="55F961E6" w14:textId="77777777" w:rsidR="00B11E0E" w:rsidRDefault="00000000">
      <w:pPr>
        <w:pStyle w:val="FirstParagraph"/>
      </w:pPr>
      <w:r>
        <w:t xml:space="preserve">where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oMath>
      <w:r>
        <w:t xml:space="preserve"> is the number of cows in cluster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and </w:t>
      </w:r>
      <m:oMath>
        <m:r>
          <w:rPr>
            <w:rFonts w:ascii="Cambria Math" w:hAnsi="Cambria Math"/>
          </w:rPr>
          <m:t>d</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is the Euclidean distance between cows </w:t>
      </w:r>
      <m:oMath>
        <m:r>
          <w:rPr>
            <w:rFonts w:ascii="Cambria Math" w:hAnsi="Cambria Math"/>
          </w:rPr>
          <m:t>i</m:t>
        </m:r>
      </m:oMath>
      <w:r>
        <w:t xml:space="preserve"> and </w:t>
      </w:r>
      <m:oMath>
        <m:r>
          <w:rPr>
            <w:rFonts w:ascii="Cambria Math" w:hAnsi="Cambria Math"/>
          </w:rPr>
          <m:t>j</m:t>
        </m:r>
      </m:oMath>
      <w:r>
        <w:t xml:space="preserve">. A smaller </w:t>
      </w:r>
      <m:oMath>
        <m:r>
          <w:rPr>
            <w:rFonts w:ascii="Cambria Math" w:hAnsi="Cambria Math"/>
          </w:rPr>
          <m:t>a</m:t>
        </m:r>
        <m:d>
          <m:dPr>
            <m:ctrlPr>
              <w:rPr>
                <w:rFonts w:ascii="Cambria Math" w:hAnsi="Cambria Math"/>
              </w:rPr>
            </m:ctrlPr>
          </m:dPr>
          <m:e>
            <m:r>
              <w:rPr>
                <w:rFonts w:ascii="Cambria Math" w:hAnsi="Cambria Math"/>
              </w:rPr>
              <m:t>i</m:t>
            </m:r>
          </m:e>
        </m:d>
      </m:oMath>
      <w:r>
        <w:t xml:space="preserve"> indicates that cow </w:t>
      </w:r>
      <m:oMath>
        <m:r>
          <w:rPr>
            <w:rFonts w:ascii="Cambria Math" w:hAnsi="Cambria Math"/>
          </w:rPr>
          <m:t>i</m:t>
        </m:r>
      </m:oMath>
      <w:r>
        <w:t xml:space="preserve"> is tightly grouped with its cluster members.</w:t>
      </w:r>
    </w:p>
    <w:p w14:paraId="5B2D85C7" w14:textId="77777777" w:rsidR="00B11E0E" w:rsidRDefault="00000000">
      <w:pPr>
        <w:pStyle w:val="BodyText"/>
      </w:pPr>
      <w:r>
        <w:t xml:space="preserve">We then compute </w:t>
      </w:r>
      <m:oMath>
        <m:r>
          <w:rPr>
            <w:rFonts w:ascii="Cambria Math" w:hAnsi="Cambria Math"/>
          </w:rPr>
          <m:t>b</m:t>
        </m:r>
        <m:d>
          <m:dPr>
            <m:ctrlPr>
              <w:rPr>
                <w:rFonts w:ascii="Cambria Math" w:hAnsi="Cambria Math"/>
              </w:rPr>
            </m:ctrlPr>
          </m:dPr>
          <m:e>
            <m:r>
              <w:rPr>
                <w:rFonts w:ascii="Cambria Math" w:hAnsi="Cambria Math"/>
              </w:rPr>
              <m:t>i</m:t>
            </m:r>
          </m:e>
        </m:d>
      </m:oMath>
      <w:r>
        <w:t xml:space="preserve">, the mean distance from cow </w:t>
      </w:r>
      <m:oMath>
        <m:r>
          <w:rPr>
            <w:rFonts w:ascii="Cambria Math" w:hAnsi="Cambria Math"/>
          </w:rPr>
          <m:t>i</m:t>
        </m:r>
      </m:oMath>
      <w:r>
        <w:t xml:space="preserve"> to all cows in the nearest neighboring cluster (i.e., the cluster </w:t>
      </w: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that minimizes the expression below):</w:t>
      </w:r>
    </w:p>
    <w:p w14:paraId="7C71F93B" w14:textId="77777777" w:rsidR="00B11E0E" w:rsidRDefault="00000000">
      <w:pPr>
        <w:pStyle w:val="BodyText"/>
      </w:pPr>
      <m:oMathPara>
        <m:oMathParaPr>
          <m:jc m:val="center"/>
        </m:oMathParaPr>
        <m:oMath>
          <m:r>
            <w:rPr>
              <w:rFonts w:ascii="Cambria Math" w:hAnsi="Cambria Math"/>
            </w:rPr>
            <m:t>b</m:t>
          </m:r>
          <m:d>
            <m:dPr>
              <m:ctrlPr>
                <w:rPr>
                  <w:rFonts w:ascii="Cambria Math" w:hAnsi="Cambria Math"/>
                </w:rPr>
              </m:ctrlPr>
            </m:dPr>
            <m:e>
              <m:r>
                <w:rPr>
                  <w:rFonts w:ascii="Cambria Math" w:hAnsi="Cambria Math"/>
                </w:rPr>
                <m:t>i</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lim>
          </m:limLow>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C</m:t>
                  </m:r>
                </m:e>
              </m:d>
            </m:den>
          </m:f>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r>
                <w:rPr>
                  <w:rFonts w:ascii="Cambria Math" w:hAnsi="Cambria Math"/>
                </w:rPr>
                <m:t>C</m:t>
              </m:r>
            </m:sub>
            <m:sup>
              <m:r>
                <w:rPr>
                  <w:rFonts w:ascii="Cambria Math" w:hAnsi="Cambria Math"/>
                </w:rPr>
                <m:t>​</m:t>
              </m:r>
            </m:sup>
            <m:e>
              <m:r>
                <w:rPr>
                  <w:rFonts w:ascii="Cambria Math" w:hAnsi="Cambria Math"/>
                </w:rPr>
                <m:t>d</m:t>
              </m:r>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h</m:t>
              </m:r>
            </m:e>
          </m:d>
        </m:oMath>
      </m:oMathPara>
    </w:p>
    <w:p w14:paraId="3B7359C0" w14:textId="77777777" w:rsidR="00B11E0E" w:rsidRDefault="00000000">
      <w:pPr>
        <w:pStyle w:val="FirstParagraph"/>
      </w:pPr>
      <w:r>
        <w:lastRenderedPageBreak/>
        <w:t xml:space="preserve">A larger </w:t>
      </w:r>
      <m:oMath>
        <m:r>
          <w:rPr>
            <w:rFonts w:ascii="Cambria Math" w:hAnsi="Cambria Math"/>
          </w:rPr>
          <m:t>b</m:t>
        </m:r>
        <m:d>
          <m:dPr>
            <m:ctrlPr>
              <w:rPr>
                <w:rFonts w:ascii="Cambria Math" w:hAnsi="Cambria Math"/>
              </w:rPr>
            </m:ctrlPr>
          </m:dPr>
          <m:e>
            <m:r>
              <w:rPr>
                <w:rFonts w:ascii="Cambria Math" w:hAnsi="Cambria Math"/>
              </w:rPr>
              <m:t>i</m:t>
            </m:r>
          </m:e>
        </m:d>
      </m:oMath>
      <w:r>
        <w:t xml:space="preserve"> indicates that cow </w:t>
      </w:r>
      <m:oMath>
        <m:r>
          <w:rPr>
            <w:rFonts w:ascii="Cambria Math" w:hAnsi="Cambria Math"/>
          </w:rPr>
          <m:t>i</m:t>
        </m:r>
      </m:oMath>
      <w:r>
        <w:t xml:space="preserve"> is well-separated from neighboring clusters. The silhouette score for cow </w:t>
      </w:r>
      <m:oMath>
        <m:r>
          <w:rPr>
            <w:rFonts w:ascii="Cambria Math" w:hAnsi="Cambria Math"/>
          </w:rPr>
          <m:t>i</m:t>
        </m:r>
      </m:oMath>
      <w:r>
        <w:t xml:space="preserve"> is then defined as:</w:t>
      </w:r>
    </w:p>
    <w:p w14:paraId="5346E441" w14:textId="77777777" w:rsidR="00B11E0E" w:rsidRDefault="00000000">
      <w:pPr>
        <w:pStyle w:val="BodyText"/>
      </w:pPr>
      <m:oMathPara>
        <m:oMathParaPr>
          <m:jc m:val="center"/>
        </m:oMathParaPr>
        <m:oMath>
          <m:r>
            <w:rPr>
              <w:rFonts w:ascii="Cambria Math" w:hAnsi="Cambria Math"/>
            </w:rPr>
            <m:t>s</m:t>
          </m:r>
          <m:d>
            <m:dPr>
              <m:ctrlPr>
                <w:rPr>
                  <w:rFonts w:ascii="Cambria Math" w:hAnsi="Cambria Math"/>
                </w:rPr>
              </m:ctrlPr>
            </m:dPr>
            <m:e>
              <m:r>
                <w:rPr>
                  <w:rFonts w:ascii="Cambria Math" w:hAnsi="Cambria Math"/>
                </w:rPr>
                <m:t>i</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a</m:t>
                        </m:r>
                        <m:d>
                          <m:dPr>
                            <m:ctrlPr>
                              <w:rPr>
                                <w:rFonts w:ascii="Cambria Math" w:hAnsi="Cambria Math"/>
                              </w:rPr>
                            </m:ctrlPr>
                          </m:dPr>
                          <m:e>
                            <m:r>
                              <w:rPr>
                                <w:rFonts w:ascii="Cambria Math" w:hAnsi="Cambria Math"/>
                              </w:rPr>
                              <m:t>i</m:t>
                            </m:r>
                          </m:e>
                        </m:d>
                      </m:num>
                      <m:den>
                        <m:r>
                          <w:rPr>
                            <w:rFonts w:ascii="Cambria Math" w:hAnsi="Cambria Math"/>
                          </w:rPr>
                          <m:t>b</m:t>
                        </m:r>
                        <m:d>
                          <m:dPr>
                            <m:ctrlPr>
                              <w:rPr>
                                <w:rFonts w:ascii="Cambria Math" w:hAnsi="Cambria Math"/>
                              </w:rPr>
                            </m:ctrlPr>
                          </m:dPr>
                          <m:e>
                            <m:r>
                              <w:rPr>
                                <w:rFonts w:ascii="Cambria Math" w:hAnsi="Cambria Math"/>
                              </w:rPr>
                              <m:t>i</m:t>
                            </m:r>
                          </m:e>
                        </m:d>
                      </m:den>
                    </m:f>
                    <m:r>
                      <m:rPr>
                        <m:sty m:val="p"/>
                      </m:rPr>
                      <w:rPr>
                        <w:rFonts w:ascii="Cambria Math" w:hAnsi="Cambria Math"/>
                      </w:rPr>
                      <m:t>,</m:t>
                    </m:r>
                  </m:e>
                  <m:e>
                    <m:r>
                      <m:rPr>
                        <m:nor/>
                      </m:rPr>
                      <m:t xml:space="preserve">if </m:t>
                    </m:r>
                    <m:r>
                      <w:rPr>
                        <w:rFonts w:ascii="Cambria Math" w:hAnsi="Cambria Math"/>
                      </w:rPr>
                      <m:t>a</m:t>
                    </m:r>
                    <m:d>
                      <m:dPr>
                        <m:ctrlPr>
                          <w:rPr>
                            <w:rFonts w:ascii="Cambria Math" w:hAnsi="Cambria Math"/>
                          </w:rPr>
                        </m:ctrlPr>
                      </m:dPr>
                      <m:e>
                        <m:r>
                          <w:rPr>
                            <w:rFonts w:ascii="Cambria Math" w:hAnsi="Cambria Math"/>
                          </w:rPr>
                          <m:t>i</m:t>
                        </m:r>
                      </m:e>
                    </m:d>
                    <m:r>
                      <m:rPr>
                        <m:sty m:val="p"/>
                      </m:rPr>
                      <w:rPr>
                        <w:rFonts w:ascii="Cambria Math" w:hAnsi="Cambria Math"/>
                      </w:rPr>
                      <m:t>&lt;</m:t>
                    </m:r>
                    <m:r>
                      <w:rPr>
                        <w:rFonts w:ascii="Cambria Math" w:hAnsi="Cambria Math"/>
                      </w:rPr>
                      <m:t>b</m:t>
                    </m:r>
                    <m:d>
                      <m:dPr>
                        <m:ctrlPr>
                          <w:rPr>
                            <w:rFonts w:ascii="Cambria Math" w:hAnsi="Cambria Math"/>
                          </w:rPr>
                        </m:ctrlPr>
                      </m:dPr>
                      <m:e>
                        <m:r>
                          <w:rPr>
                            <w:rFonts w:ascii="Cambria Math" w:hAnsi="Cambria Math"/>
                          </w:rPr>
                          <m:t>i</m:t>
                        </m:r>
                      </m:e>
                    </m:d>
                  </m:e>
                </m:mr>
                <m:mr>
                  <m:e>
                    <m:r>
                      <w:rPr>
                        <w:rFonts w:ascii="Cambria Math" w:hAnsi="Cambria Math"/>
                      </w:rPr>
                      <m:t>0</m:t>
                    </m:r>
                    <m:r>
                      <m:rPr>
                        <m:sty m:val="p"/>
                      </m:rPr>
                      <w:rPr>
                        <w:rFonts w:ascii="Cambria Math" w:hAnsi="Cambria Math"/>
                      </w:rPr>
                      <m:t>,</m:t>
                    </m:r>
                  </m:e>
                  <m:e>
                    <m:r>
                      <m:rPr>
                        <m:nor/>
                      </m:rPr>
                      <m:t xml:space="preserve">if </m:t>
                    </m:r>
                    <m:r>
                      <w:rPr>
                        <w:rFonts w:ascii="Cambria Math" w:hAnsi="Cambria Math"/>
                      </w:rPr>
                      <m:t>a</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b</m:t>
                    </m:r>
                    <m:d>
                      <m:dPr>
                        <m:ctrlPr>
                          <w:rPr>
                            <w:rFonts w:ascii="Cambria Math" w:hAnsi="Cambria Math"/>
                          </w:rPr>
                        </m:ctrlPr>
                      </m:dPr>
                      <m:e>
                        <m:r>
                          <w:rPr>
                            <w:rFonts w:ascii="Cambria Math" w:hAnsi="Cambria Math"/>
                          </w:rPr>
                          <m:t>i</m:t>
                        </m:r>
                      </m:e>
                    </m:d>
                  </m:e>
                </m:mr>
                <m:mr>
                  <m:e>
                    <m:f>
                      <m:fPr>
                        <m:ctrlPr>
                          <w:rPr>
                            <w:rFonts w:ascii="Cambria Math" w:hAnsi="Cambria Math"/>
                          </w:rPr>
                        </m:ctrlPr>
                      </m:fPr>
                      <m:num>
                        <m:r>
                          <w:rPr>
                            <w:rFonts w:ascii="Cambria Math" w:hAnsi="Cambria Math"/>
                          </w:rPr>
                          <m:t>b</m:t>
                        </m:r>
                        <m:d>
                          <m:dPr>
                            <m:ctrlPr>
                              <w:rPr>
                                <w:rFonts w:ascii="Cambria Math" w:hAnsi="Cambria Math"/>
                              </w:rPr>
                            </m:ctrlPr>
                          </m:dPr>
                          <m:e>
                            <m:r>
                              <w:rPr>
                                <w:rFonts w:ascii="Cambria Math" w:hAnsi="Cambria Math"/>
                              </w:rPr>
                              <m:t>i</m:t>
                            </m:r>
                          </m:e>
                        </m:d>
                      </m:num>
                      <m:den>
                        <m:r>
                          <w:rPr>
                            <w:rFonts w:ascii="Cambria Math" w:hAnsi="Cambria Math"/>
                          </w:rPr>
                          <m:t>a</m:t>
                        </m:r>
                        <m:d>
                          <m:dPr>
                            <m:ctrlPr>
                              <w:rPr>
                                <w:rFonts w:ascii="Cambria Math" w:hAnsi="Cambria Math"/>
                              </w:rPr>
                            </m:ctrlPr>
                          </m:dPr>
                          <m:e>
                            <m:r>
                              <w:rPr>
                                <w:rFonts w:ascii="Cambria Math" w:hAnsi="Cambria Math"/>
                              </w:rPr>
                              <m:t>i</m:t>
                            </m:r>
                          </m:e>
                        </m:d>
                      </m:den>
                    </m:f>
                    <m:r>
                      <m:rPr>
                        <m:sty m:val="p"/>
                      </m:rPr>
                      <w:rPr>
                        <w:rFonts w:ascii="Cambria Math" w:hAnsi="Cambria Math"/>
                      </w:rPr>
                      <m:t>-</m:t>
                    </m:r>
                    <m:r>
                      <w:rPr>
                        <w:rFonts w:ascii="Cambria Math" w:hAnsi="Cambria Math"/>
                      </w:rPr>
                      <m:t>1</m:t>
                    </m:r>
                    <m:r>
                      <m:rPr>
                        <m:sty m:val="p"/>
                      </m:rPr>
                      <w:rPr>
                        <w:rFonts w:ascii="Cambria Math" w:hAnsi="Cambria Math"/>
                      </w:rPr>
                      <m:t>,</m:t>
                    </m:r>
                  </m:e>
                  <m:e>
                    <m:r>
                      <m:rPr>
                        <m:nor/>
                      </m:rPr>
                      <m:t xml:space="preserve">if </m:t>
                    </m:r>
                    <m:r>
                      <w:rPr>
                        <w:rFonts w:ascii="Cambria Math" w:hAnsi="Cambria Math"/>
                      </w:rPr>
                      <m:t>a</m:t>
                    </m:r>
                    <m:d>
                      <m:dPr>
                        <m:ctrlPr>
                          <w:rPr>
                            <w:rFonts w:ascii="Cambria Math" w:hAnsi="Cambria Math"/>
                          </w:rPr>
                        </m:ctrlPr>
                      </m:dPr>
                      <m:e>
                        <m:r>
                          <w:rPr>
                            <w:rFonts w:ascii="Cambria Math" w:hAnsi="Cambria Math"/>
                          </w:rPr>
                          <m:t>i</m:t>
                        </m:r>
                      </m:e>
                    </m:d>
                    <m:r>
                      <m:rPr>
                        <m:sty m:val="p"/>
                      </m:rPr>
                      <w:rPr>
                        <w:rFonts w:ascii="Cambria Math" w:hAnsi="Cambria Math"/>
                      </w:rPr>
                      <m:t>&gt;</m:t>
                    </m:r>
                    <m:r>
                      <w:rPr>
                        <w:rFonts w:ascii="Cambria Math" w:hAnsi="Cambria Math"/>
                      </w:rPr>
                      <m:t>b</m:t>
                    </m:r>
                    <m:d>
                      <m:dPr>
                        <m:ctrlPr>
                          <w:rPr>
                            <w:rFonts w:ascii="Cambria Math" w:hAnsi="Cambria Math"/>
                          </w:rPr>
                        </m:ctrlPr>
                      </m:dPr>
                      <m:e>
                        <m:r>
                          <w:rPr>
                            <w:rFonts w:ascii="Cambria Math" w:hAnsi="Cambria Math"/>
                          </w:rPr>
                          <m:t>i</m:t>
                        </m:r>
                      </m:e>
                    </m:d>
                  </m:e>
                </m:mr>
              </m:m>
            </m:e>
          </m:d>
        </m:oMath>
      </m:oMathPara>
    </w:p>
    <w:p w14:paraId="61AF72B8" w14:textId="77777777" w:rsidR="00B11E0E" w:rsidRDefault="00000000">
      <w:pPr>
        <w:pStyle w:val="FirstParagraph"/>
      </w:pPr>
      <w:r>
        <w:t xml:space="preserve">Values of </w:t>
      </w:r>
      <m:oMath>
        <m:r>
          <w:rPr>
            <w:rFonts w:ascii="Cambria Math" w:hAnsi="Cambria Math"/>
          </w:rPr>
          <m:t>s</m:t>
        </m:r>
        <m:d>
          <m:dPr>
            <m:ctrlPr>
              <w:rPr>
                <w:rFonts w:ascii="Cambria Math" w:hAnsi="Cambria Math"/>
              </w:rPr>
            </m:ctrlPr>
          </m:dPr>
          <m:e>
            <m:r>
              <w:rPr>
                <w:rFonts w:ascii="Cambria Math" w:hAnsi="Cambria Math"/>
              </w:rPr>
              <m:t>i</m:t>
            </m:r>
          </m:e>
        </m:d>
      </m:oMath>
      <w:r>
        <w:t xml:space="preserve"> range from </w:t>
      </w:r>
      <m:oMath>
        <m:r>
          <m:rPr>
            <m:sty m:val="p"/>
          </m:rPr>
          <w:rPr>
            <w:rFonts w:ascii="Cambria Math" w:hAnsi="Cambria Math"/>
          </w:rPr>
          <m:t>-</m:t>
        </m:r>
        <m:r>
          <w:rPr>
            <w:rFonts w:ascii="Cambria Math" w:hAnsi="Cambria Math"/>
          </w:rPr>
          <m:t>1</m:t>
        </m:r>
      </m:oMath>
      <w:r>
        <w:t xml:space="preserve"> to </w:t>
      </w:r>
      <m:oMath>
        <m:r>
          <w:rPr>
            <w:rFonts w:ascii="Cambria Math" w:hAnsi="Cambria Math"/>
          </w:rPr>
          <m:t>1</m:t>
        </m:r>
      </m:oMath>
      <w:r>
        <w:t xml:space="preserve">, where values close to </w:t>
      </w:r>
      <m:oMath>
        <m:r>
          <w:rPr>
            <w:rFonts w:ascii="Cambria Math" w:hAnsi="Cambria Math"/>
          </w:rPr>
          <m:t>1</m:t>
        </m:r>
      </m:oMath>
      <w:r>
        <w:t xml:space="preserve"> indicate that the cow is well-matched to its own cluster and clearly separated from others, values near </w:t>
      </w:r>
      <m:oMath>
        <m:r>
          <w:rPr>
            <w:rFonts w:ascii="Cambria Math" w:hAnsi="Cambria Math"/>
          </w:rPr>
          <m:t>0</m:t>
        </m:r>
      </m:oMath>
      <w:r>
        <w:t xml:space="preserve"> indicate borderline assignment, and negative values suggest possible misclassification.</w:t>
      </w:r>
    </w:p>
    <w:p w14:paraId="22D0E645" w14:textId="77777777" w:rsidR="00B11E0E" w:rsidRDefault="00000000">
      <w:pPr>
        <w:pStyle w:val="BodyText"/>
      </w:pPr>
      <w:r>
        <w:t xml:space="preserve">The mean silhouette score </w:t>
      </w:r>
      <m:oMath>
        <m:acc>
          <m:accPr>
            <m:chr m:val="‾"/>
            <m:ctrlPr>
              <w:rPr>
                <w:rFonts w:ascii="Cambria Math" w:hAnsi="Cambria Math"/>
              </w:rPr>
            </m:ctrlPr>
          </m:accPr>
          <m:e>
            <m:r>
              <w:rPr>
                <w:rFonts w:ascii="Cambria Math" w:hAnsi="Cambria Math"/>
              </w:rPr>
              <m:t>s</m:t>
            </m:r>
          </m:e>
        </m:acc>
      </m:oMath>
      <w:r>
        <w:t xml:space="preserve"> across all cows serves as an overall measure of cluster quality, reflecting both within-cluster cohesion and between-cluster separation. The resulting clusters were visualized using component score biplots and an interactive 3D scatter plot for exploration of cow clusters across three principal components.</w:t>
      </w:r>
    </w:p>
    <w:p w14:paraId="431EAE59" w14:textId="77777777" w:rsidR="00B11E0E" w:rsidRDefault="00000000">
      <w:pPr>
        <w:pStyle w:val="Heading2"/>
      </w:pPr>
      <w:bookmarkStart w:id="7" w:name="X12f7218f56bb14132dd246c9b94261230bb4ed3"/>
      <w:bookmarkEnd w:id="6"/>
      <w:r>
        <w:t>3.5 Reproducible Data Science Workflow and Software</w:t>
      </w:r>
    </w:p>
    <w:p w14:paraId="0B13588A" w14:textId="77777777" w:rsidR="00B11E0E" w:rsidRDefault="00000000">
      <w:pPr>
        <w:pStyle w:val="FirstParagraph"/>
      </w:pPr>
      <w:r>
        <w:t xml:space="preserve">To support full transparency and reproducibility, all data processing, variable extraction, and analytical steps were implemented in the moo4feed R package </w:t>
      </w:r>
      <w:hyperlink r:id="rId6">
        <w:r>
          <w:rPr>
            <w:rStyle w:val="Hyperlink"/>
          </w:rPr>
          <w:t>https://www.skysheng.io/moo4feed/</w:t>
        </w:r>
      </w:hyperlink>
      <w:r>
        <w:t xml:space="preserve">, which is publicly available with detailed tutorials. The functions implemented in this R package have been thoroughly tested with 96% code coverage (code coverage report: </w:t>
      </w:r>
      <w:hyperlink r:id="rId7">
        <w:r>
          <w:rPr>
            <w:rStyle w:val="Hyperlink"/>
          </w:rPr>
          <w:t>https://app.codecov.io/gh/skysheng7/moo4feed</w:t>
        </w:r>
      </w:hyperlink>
      <w:r>
        <w:t xml:space="preserve">). This R package enables future researchers to replicate our variable extraction pipeline on their own datasets and to extend the approach to additional behavioral measures. The source code and example data included in the R package is hosted on GitHub: </w:t>
      </w:r>
      <w:hyperlink r:id="rId8">
        <w:r>
          <w:rPr>
            <w:rStyle w:val="Hyperlink"/>
          </w:rPr>
          <w:t>https://github.com/skysheng7/moo4feed.git</w:t>
        </w:r>
      </w:hyperlink>
      <w:r>
        <w:t xml:space="preserve">. We used the newly developed R package to extract the behavioral variables described in Section 3.3 and conduct all statistical analyses described in Section 3.4, data and code for all the data analysis are available at: </w:t>
      </w:r>
      <w:hyperlink r:id="rId9">
        <w:r>
          <w:rPr>
            <w:rStyle w:val="Hyperlink"/>
          </w:rPr>
          <w:t>https://github.com/skysheng7/competition_dominance_analysis.git</w:t>
        </w:r>
      </w:hyperlink>
      <w:r>
        <w:t xml:space="preserve">. We have also used Borealis to archive the R package at: </w:t>
      </w:r>
      <w:hyperlink r:id="rId10">
        <w:r>
          <w:rPr>
            <w:rStyle w:val="Hyperlink"/>
          </w:rPr>
          <w:t>https://doi.org/10.5683/SP3/LF4DRO</w:t>
        </w:r>
      </w:hyperlink>
      <w:r>
        <w:t xml:space="preserve"> and data analysis code at: </w:t>
      </w:r>
      <w:hyperlink r:id="rId11">
        <w:r>
          <w:rPr>
            <w:rStyle w:val="Hyperlink"/>
          </w:rPr>
          <w:t>https://doi.org/10.5683/SP3/K6J350</w:t>
        </w:r>
      </w:hyperlink>
      <w:r>
        <w:t>.</w:t>
      </w:r>
    </w:p>
    <w:p w14:paraId="00384F33" w14:textId="77777777" w:rsidR="00B11E0E" w:rsidRDefault="00000000">
      <w:pPr>
        <w:pStyle w:val="Heading1"/>
      </w:pPr>
      <w:bookmarkStart w:id="8" w:name="results"/>
      <w:bookmarkEnd w:id="2"/>
      <w:bookmarkEnd w:id="7"/>
      <w:r>
        <w:t>4. Results</w:t>
      </w:r>
    </w:p>
    <w:p w14:paraId="0B42F953" w14:textId="77777777" w:rsidR="00B11E0E" w:rsidRDefault="00000000">
      <w:pPr>
        <w:pStyle w:val="FirstParagraph"/>
      </w:pPr>
      <w:r>
        <w:t>Throughout this section, all repeatability and predictability measures (R, CVi, CVP, and rIIV) are reported as posterior means followed by their 95% credible intervals (CrIs) in square brackets.</w:t>
      </w:r>
    </w:p>
    <w:p w14:paraId="2363958F" w14:textId="77777777" w:rsidR="00B11E0E" w:rsidRDefault="00000000">
      <w:pPr>
        <w:pStyle w:val="Heading2"/>
      </w:pPr>
      <w:bookmarkStart w:id="9" w:name="X9d6e91404153fc17df43a9ceb93dda92758a06e"/>
      <w:r>
        <w:t>4.1 Among-Individual Variation: Repeatability and CVi</w:t>
      </w:r>
    </w:p>
    <w:p w14:paraId="3E6D5DD7" w14:textId="77777777" w:rsidR="00B11E0E" w:rsidRDefault="00000000">
      <w:pPr>
        <w:pStyle w:val="FirstParagraph"/>
      </w:pPr>
      <w:r>
        <w:t xml:space="preserve">Because R is confounded by within-individual variance (Section 3.4), we use the coefficient of individual variation (CVi) as the primary metric for comparing the magnitude of among-individual differences across the 16 behavioral variables, and we report R alongside CVi as a reference for how reliably those differences persist from day to day (Table 1, </w:t>
      </w:r>
      <w:hyperlink w:anchor="fig-rep-cvp-scatter">
        <w:r>
          <w:rPr>
            <w:rStyle w:val="Hyperlink"/>
          </w:rPr>
          <w:t>Figure 1</w:t>
        </w:r>
      </w:hyperlink>
      <w:r>
        <w:t>).</w:t>
      </w:r>
    </w:p>
    <w:p w14:paraId="04B5D5F7" w14:textId="77777777" w:rsidR="00B11E0E" w:rsidRDefault="00000000">
      <w:pPr>
        <w:pStyle w:val="BodyText"/>
      </w:pPr>
      <w:r>
        <w:lastRenderedPageBreak/>
        <w:t>Among all variables, the total number of non-nutritive visits showed the largest relative among-individual variation (CVi = 0.53 [0.45, 0.61]), meaning that on average, cows differ from one another by more than half the population mean in how often they visit a feed bin without eating. The total number of actor events (CVi = 0.47 [0.40, 0.54]) and the median number of non-nutritive visits per meal (CVi = 0.44 [0.38, 0.51]) were also highly variable across individuals, indicating that agonistic and non-nutritive visiting frequencies are the most individually distinguishing behaviors in this herd among all variables we evalauted. At the other end of the spectrum, the percentage of meal time spent actively feeding (CVi = 0.09 [0.08, 0.10]) and daily feed intake (CVi = 0.10 [0.08, 0.11]) showed the smallest relative variation, meaning cows are nearly indistinguishable from one another on these dimensions.</w:t>
      </w:r>
    </w:p>
    <w:p w14:paraId="4EDE2039" w14:textId="77777777" w:rsidR="00B11E0E" w:rsidRDefault="00000000">
      <w:pPr>
        <w:pStyle w:val="BodyText"/>
      </w:pPr>
      <w:r>
        <w:t>Repeatability (R) provides complementary but not redundant information. Daily water drinking duration had the highest R (0.74 [0.69, 0.79]), followed by daily feeding visits (R = 0.68 [0.62, 0.74]) and the total number of non-nutritive visits (R = 0.64 [0.58, 0.70]). The lowest R values were observed for the median proportion of feed remaining when a cow arrived at a bin (R = 0.21 [0.16, 0.26]), median feed intake per meal (R = 0.29 [0.23, 0.36]), and median meal duration (R = 0.31 [0.25, 0.38]).</w:t>
      </w:r>
    </w:p>
    <w:p w14:paraId="3A870D17" w14:textId="77777777" w:rsidR="00B11E0E" w:rsidRDefault="00000000">
      <w:pPr>
        <w:pStyle w:val="BodyText"/>
      </w:pPr>
      <w:r>
        <w:t>As articulated in Section 3.4,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w:t>
      </w:r>
      <m:oMath>
        <m:r>
          <w:rPr>
            <w:rFonts w:ascii="Cambria Math" w:hAnsi="Cambria Math"/>
          </w:rPr>
          <m:t>R</m:t>
        </m:r>
        <m:r>
          <m:rPr>
            <m:sty m:val="p"/>
          </m:rPr>
          <w:rPr>
            <w:rFonts w:ascii="Cambria Math" w:hAnsi="Cambria Math"/>
          </w:rPr>
          <m:t>=</m:t>
        </m:r>
        <m:f>
          <m:fPr>
            <m:ctrlPr>
              <w:rPr>
                <w:rFonts w:ascii="Cambria Math" w:hAnsi="Cambria Math"/>
              </w:rPr>
            </m:ctrlPr>
          </m:fPr>
          <m:num>
            <m:r>
              <m:rPr>
                <m:nor/>
              </m:rPr>
              <m:t>var.cow</m:t>
            </m:r>
          </m:num>
          <m:den>
            <m:r>
              <m:rPr>
                <m:nor/>
              </m:rPr>
              <m:t>var.cow</m:t>
            </m:r>
            <m:r>
              <m:rPr>
                <m:sty m:val="p"/>
              </m:rPr>
              <w:rPr>
                <w:rFonts w:ascii="Cambria Math" w:hAnsi="Cambria Math"/>
              </w:rPr>
              <m:t>+</m:t>
            </m:r>
            <m:r>
              <m:rPr>
                <m:nor/>
              </m:rPr>
              <m:t>var.res</m:t>
            </m:r>
          </m:den>
        </m:f>
      </m:oMath>
      <w:r>
        <w:t>) is inflated by low residual (within-individual) variance rather than by high among-individual variance. Variables ranked near the top on both R and CVi (e.g., the total number of non-nutritive visits, water drinking duration), represent the most useful candidates for individual profiling, since cows both differ meaningfully from one another and behave consistently enough for those differences to be detectable from repeated observations.</w:t>
      </w:r>
    </w:p>
    <w:p w14:paraId="6A0DF1C9" w14:textId="77777777" w:rsidR="00B11E0E" w:rsidRDefault="00B11E0E">
      <w:pPr>
        <w:sectPr w:rsidR="00B11E0E">
          <w:pgSz w:w="12240" w:h="15840"/>
          <w:pgMar w:top="1440" w:right="1440" w:bottom="1440" w:left="1440" w:header="720" w:footer="720" w:gutter="0"/>
          <w:cols w:space="720"/>
        </w:sectPr>
      </w:pPr>
    </w:p>
    <w:p w14:paraId="3401A255" w14:textId="77777777" w:rsidR="00B11E0E" w:rsidRDefault="00B11E0E">
      <w:pPr>
        <w:pStyle w:val="BodyText"/>
      </w:pPr>
    </w:p>
    <w:p w14:paraId="3DBD6973" w14:textId="77777777" w:rsidR="00B11E0E" w:rsidRDefault="00000000">
      <w:pPr>
        <w:pStyle w:val="BodyText"/>
      </w:pPr>
      <w:r>
        <w:rPr>
          <w:b/>
          <w:bCs/>
        </w:rPr>
        <w:t>Table 1.</w:t>
      </w:r>
      <w:r>
        <w:t xml:space="preserve"> Repeatability (R), coefficient of individual variation (CVi), coefficient of variation of predictability (CVP), and residual intra-individual variability (rIIV) for the 16 behavioral variables. Values are posterior means with 95% credible intervals in brackets. Cell color encodes the posterior mean within each metric (darker = higher). Rows are grouped by behavioral category.</w:t>
      </w:r>
    </w:p>
    <w:tbl>
      <w:tblPr>
        <w:tblW w:w="0" w:type="auto"/>
        <w:jc w:val="center"/>
        <w:tblLayout w:type="fixed"/>
        <w:tblLook w:val="0420" w:firstRow="1" w:lastRow="0" w:firstColumn="0" w:lastColumn="0" w:noHBand="0" w:noVBand="1"/>
      </w:tblPr>
      <w:tblGrid>
        <w:gridCol w:w="2331"/>
        <w:gridCol w:w="2792"/>
        <w:gridCol w:w="1712"/>
        <w:gridCol w:w="1712"/>
        <w:gridCol w:w="1712"/>
        <w:gridCol w:w="1712"/>
      </w:tblGrid>
      <w:tr w:rsidR="00B11E0E" w14:paraId="43558ED4" w14:textId="77777777">
        <w:trPr>
          <w:tblHeader/>
          <w:jc w:val="center"/>
        </w:trPr>
        <w:tc>
          <w:tcPr>
            <w:tcW w:w="2331" w:type="dxa"/>
            <w:tcBorders>
              <w:top w:val="single" w:sz="12" w:space="0" w:color="666666"/>
              <w:left w:val="none" w:sz="0" w:space="0" w:color="000000"/>
              <w:bottom w:val="single" w:sz="12" w:space="0" w:color="666666"/>
              <w:right w:val="none" w:sz="0" w:space="0" w:color="000000"/>
            </w:tcBorders>
            <w:shd w:val="clear" w:color="auto" w:fill="1F3A93"/>
            <w:tcMar>
              <w:top w:w="0" w:type="dxa"/>
              <w:left w:w="0" w:type="dxa"/>
              <w:bottom w:w="0" w:type="dxa"/>
              <w:right w:w="0" w:type="dxa"/>
            </w:tcMar>
            <w:vAlign w:val="center"/>
          </w:tcPr>
          <w:p w14:paraId="26834110"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b/>
                <w:color w:val="FFFFFF"/>
                <w:sz w:val="18"/>
                <w:szCs w:val="18"/>
              </w:rPr>
            </w:pPr>
            <w:r>
              <w:rPr>
                <w:rFonts w:ascii="Helvetica" w:eastAsia="Helvetica" w:hAnsi="Helvetica" w:cs="Helvetica"/>
                <w:b/>
                <w:color w:val="FFFFFF"/>
                <w:sz w:val="18"/>
                <w:szCs w:val="18"/>
              </w:rPr>
              <w:t>Category</w:t>
            </w:r>
          </w:p>
        </w:tc>
        <w:tc>
          <w:tcPr>
            <w:tcW w:w="2792" w:type="dxa"/>
            <w:tcBorders>
              <w:top w:val="single" w:sz="12" w:space="0" w:color="666666"/>
              <w:left w:val="none" w:sz="0" w:space="0" w:color="000000"/>
              <w:bottom w:val="single" w:sz="12" w:space="0" w:color="666666"/>
              <w:right w:val="none" w:sz="0" w:space="0" w:color="000000"/>
            </w:tcBorders>
            <w:shd w:val="clear" w:color="auto" w:fill="1F3A93"/>
            <w:tcMar>
              <w:top w:w="0" w:type="dxa"/>
              <w:left w:w="0" w:type="dxa"/>
              <w:bottom w:w="0" w:type="dxa"/>
              <w:right w:w="0" w:type="dxa"/>
            </w:tcMar>
            <w:vAlign w:val="center"/>
          </w:tcPr>
          <w:p w14:paraId="1463C5F4"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b/>
                <w:color w:val="FFFFFF"/>
                <w:sz w:val="18"/>
                <w:szCs w:val="18"/>
              </w:rPr>
            </w:pPr>
            <w:r>
              <w:rPr>
                <w:rFonts w:ascii="Helvetica" w:eastAsia="Helvetica" w:hAnsi="Helvetica" w:cs="Helvetica"/>
                <w:b/>
                <w:color w:val="FFFFFF"/>
                <w:sz w:val="18"/>
                <w:szCs w:val="18"/>
              </w:rPr>
              <w:t>Variable</w:t>
            </w:r>
          </w:p>
        </w:tc>
        <w:tc>
          <w:tcPr>
            <w:tcW w:w="1712" w:type="dxa"/>
            <w:tcBorders>
              <w:top w:val="single" w:sz="12" w:space="0" w:color="666666"/>
              <w:left w:val="none" w:sz="0" w:space="0" w:color="000000"/>
              <w:bottom w:val="single" w:sz="12" w:space="0" w:color="666666"/>
              <w:right w:val="none" w:sz="0" w:space="0" w:color="000000"/>
            </w:tcBorders>
            <w:shd w:val="clear" w:color="auto" w:fill="1F3A93"/>
            <w:tcMar>
              <w:top w:w="0" w:type="dxa"/>
              <w:left w:w="0" w:type="dxa"/>
              <w:bottom w:w="0" w:type="dxa"/>
              <w:right w:w="0" w:type="dxa"/>
            </w:tcMar>
            <w:vAlign w:val="center"/>
          </w:tcPr>
          <w:p w14:paraId="52ADCB86"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b/>
                <w:color w:val="FFFFFF"/>
                <w:sz w:val="18"/>
                <w:szCs w:val="18"/>
              </w:rPr>
            </w:pPr>
            <w:r>
              <w:rPr>
                <w:rFonts w:ascii="Helvetica" w:eastAsia="Helvetica" w:hAnsi="Helvetica" w:cs="Helvetica"/>
                <w:b/>
                <w:color w:val="FFFFFF"/>
                <w:sz w:val="18"/>
                <w:szCs w:val="18"/>
              </w:rPr>
              <w:t>R [95% CI]</w:t>
            </w:r>
          </w:p>
        </w:tc>
        <w:tc>
          <w:tcPr>
            <w:tcW w:w="1712" w:type="dxa"/>
            <w:tcBorders>
              <w:top w:val="single" w:sz="12" w:space="0" w:color="666666"/>
              <w:left w:val="none" w:sz="0" w:space="0" w:color="000000"/>
              <w:bottom w:val="single" w:sz="12" w:space="0" w:color="666666"/>
              <w:right w:val="none" w:sz="0" w:space="0" w:color="000000"/>
            </w:tcBorders>
            <w:shd w:val="clear" w:color="auto" w:fill="1F3A93"/>
            <w:tcMar>
              <w:top w:w="0" w:type="dxa"/>
              <w:left w:w="0" w:type="dxa"/>
              <w:bottom w:w="0" w:type="dxa"/>
              <w:right w:w="0" w:type="dxa"/>
            </w:tcMar>
            <w:vAlign w:val="center"/>
          </w:tcPr>
          <w:p w14:paraId="7065C21F"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b/>
                <w:color w:val="FFFFFF"/>
                <w:sz w:val="18"/>
                <w:szCs w:val="18"/>
              </w:rPr>
            </w:pPr>
            <w:r>
              <w:rPr>
                <w:rFonts w:ascii="Helvetica" w:eastAsia="Helvetica" w:hAnsi="Helvetica" w:cs="Helvetica"/>
                <w:b/>
                <w:color w:val="FFFFFF"/>
                <w:sz w:val="18"/>
                <w:szCs w:val="18"/>
              </w:rPr>
              <w:t>CVi [95% CI]</w:t>
            </w:r>
          </w:p>
        </w:tc>
        <w:tc>
          <w:tcPr>
            <w:tcW w:w="1712" w:type="dxa"/>
            <w:tcBorders>
              <w:top w:val="single" w:sz="12" w:space="0" w:color="666666"/>
              <w:left w:val="none" w:sz="0" w:space="0" w:color="000000"/>
              <w:bottom w:val="single" w:sz="12" w:space="0" w:color="666666"/>
              <w:right w:val="none" w:sz="0" w:space="0" w:color="000000"/>
            </w:tcBorders>
            <w:shd w:val="clear" w:color="auto" w:fill="1F3A93"/>
            <w:tcMar>
              <w:top w:w="0" w:type="dxa"/>
              <w:left w:w="0" w:type="dxa"/>
              <w:bottom w:w="0" w:type="dxa"/>
              <w:right w:w="0" w:type="dxa"/>
            </w:tcMar>
            <w:vAlign w:val="center"/>
          </w:tcPr>
          <w:p w14:paraId="0AD5156D"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b/>
                <w:color w:val="FFFFFF"/>
                <w:sz w:val="18"/>
                <w:szCs w:val="18"/>
              </w:rPr>
            </w:pPr>
            <w:r>
              <w:rPr>
                <w:rFonts w:ascii="Helvetica" w:eastAsia="Helvetica" w:hAnsi="Helvetica" w:cs="Helvetica"/>
                <w:b/>
                <w:color w:val="FFFFFF"/>
                <w:sz w:val="18"/>
                <w:szCs w:val="18"/>
              </w:rPr>
              <w:t>CVP [95% CI]</w:t>
            </w:r>
          </w:p>
        </w:tc>
        <w:tc>
          <w:tcPr>
            <w:tcW w:w="1712" w:type="dxa"/>
            <w:tcBorders>
              <w:top w:val="single" w:sz="12" w:space="0" w:color="666666"/>
              <w:left w:val="none" w:sz="0" w:space="0" w:color="000000"/>
              <w:bottom w:val="single" w:sz="12" w:space="0" w:color="666666"/>
              <w:right w:val="none" w:sz="0" w:space="0" w:color="000000"/>
            </w:tcBorders>
            <w:shd w:val="clear" w:color="auto" w:fill="1F3A93"/>
            <w:tcMar>
              <w:top w:w="0" w:type="dxa"/>
              <w:left w:w="0" w:type="dxa"/>
              <w:bottom w:w="0" w:type="dxa"/>
              <w:right w:w="0" w:type="dxa"/>
            </w:tcMar>
            <w:vAlign w:val="center"/>
          </w:tcPr>
          <w:p w14:paraId="2BA3BB4F"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b/>
                <w:color w:val="FFFFFF"/>
                <w:sz w:val="18"/>
                <w:szCs w:val="18"/>
              </w:rPr>
            </w:pPr>
            <w:r>
              <w:rPr>
                <w:rFonts w:ascii="Helvetica" w:eastAsia="Helvetica" w:hAnsi="Helvetica" w:cs="Helvetica"/>
                <w:b/>
                <w:color w:val="FFFFFF"/>
                <w:sz w:val="18"/>
                <w:szCs w:val="18"/>
              </w:rPr>
              <w:t>rIIV [95% CI]</w:t>
            </w:r>
          </w:p>
        </w:tc>
      </w:tr>
      <w:tr w:rsidR="00B11E0E" w14:paraId="488D17D2" w14:textId="77777777">
        <w:trPr>
          <w:jc w:val="center"/>
        </w:trPr>
        <w:tc>
          <w:tcPr>
            <w:tcW w:w="2331" w:type="dxa"/>
            <w:vMerge w:val="restar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553FA5"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18"/>
                <w:szCs w:val="18"/>
              </w:rPr>
            </w:pPr>
            <w:r>
              <w:rPr>
                <w:rFonts w:ascii="Helvetica" w:eastAsia="Helvetica" w:hAnsi="Helvetica" w:cs="Helvetica"/>
                <w:b/>
                <w:color w:val="000000"/>
                <w:sz w:val="18"/>
                <w:szCs w:val="18"/>
              </w:rPr>
              <w:t>Feeding</w:t>
            </w:r>
          </w:p>
        </w:tc>
        <w:tc>
          <w:tcPr>
            <w:tcW w:w="27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7749C"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18"/>
                <w:szCs w:val="18"/>
              </w:rPr>
            </w:pPr>
            <w:r>
              <w:rPr>
                <w:rFonts w:ascii="Helvetica" w:eastAsia="Helvetica" w:hAnsi="Helvetica" w:cs="Helvetica"/>
                <w:color w:val="000000"/>
                <w:sz w:val="18"/>
                <w:szCs w:val="18"/>
              </w:rPr>
              <w:t>Daily feed intake</w:t>
            </w:r>
          </w:p>
        </w:tc>
        <w:tc>
          <w:tcPr>
            <w:tcW w:w="1712" w:type="dxa"/>
            <w:tcBorders>
              <w:top w:val="single" w:sz="12" w:space="0" w:color="666666"/>
              <w:left w:val="none" w:sz="0" w:space="0" w:color="000000"/>
              <w:bottom w:val="none" w:sz="0" w:space="0" w:color="000000"/>
              <w:right w:val="none" w:sz="0" w:space="0" w:color="000000"/>
            </w:tcBorders>
            <w:shd w:val="clear" w:color="auto" w:fill="A3C0A1"/>
            <w:tcMar>
              <w:top w:w="0" w:type="dxa"/>
              <w:left w:w="0" w:type="dxa"/>
              <w:bottom w:w="0" w:type="dxa"/>
              <w:right w:w="0" w:type="dxa"/>
            </w:tcMar>
            <w:vAlign w:val="center"/>
          </w:tcPr>
          <w:p w14:paraId="22C14C15"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0.39 [0.32, 0.46]</w:t>
            </w:r>
          </w:p>
        </w:tc>
        <w:tc>
          <w:tcPr>
            <w:tcW w:w="1712" w:type="dxa"/>
            <w:tcBorders>
              <w:top w:val="single" w:sz="12" w:space="0" w:color="666666"/>
              <w:left w:val="none" w:sz="0" w:space="0" w:color="000000"/>
              <w:bottom w:val="none" w:sz="0" w:space="0" w:color="000000"/>
              <w:right w:val="none" w:sz="0" w:space="0" w:color="000000"/>
            </w:tcBorders>
            <w:shd w:val="clear" w:color="auto" w:fill="E0E5F3"/>
            <w:tcMar>
              <w:top w:w="0" w:type="dxa"/>
              <w:left w:w="0" w:type="dxa"/>
              <w:bottom w:w="0" w:type="dxa"/>
              <w:right w:w="0" w:type="dxa"/>
            </w:tcMar>
            <w:vAlign w:val="center"/>
          </w:tcPr>
          <w:p w14:paraId="6C907913"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0.10 [0.08, 0.11]</w:t>
            </w:r>
          </w:p>
        </w:tc>
        <w:tc>
          <w:tcPr>
            <w:tcW w:w="1712" w:type="dxa"/>
            <w:tcBorders>
              <w:top w:val="single" w:sz="12" w:space="0" w:color="666666"/>
              <w:left w:val="none" w:sz="0" w:space="0" w:color="000000"/>
              <w:bottom w:val="none" w:sz="0" w:space="0" w:color="000000"/>
              <w:right w:val="none" w:sz="0" w:space="0" w:color="000000"/>
            </w:tcBorders>
            <w:shd w:val="clear" w:color="auto" w:fill="BF360C"/>
            <w:tcMar>
              <w:top w:w="0" w:type="dxa"/>
              <w:left w:w="0" w:type="dxa"/>
              <w:bottom w:w="0" w:type="dxa"/>
              <w:right w:w="0" w:type="dxa"/>
            </w:tcMar>
            <w:vAlign w:val="center"/>
          </w:tcPr>
          <w:p w14:paraId="7D81B79F"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0.22 [0.18, 0.26]</w:t>
            </w:r>
          </w:p>
        </w:tc>
        <w:tc>
          <w:tcPr>
            <w:tcW w:w="1712" w:type="dxa"/>
            <w:tcBorders>
              <w:top w:val="single" w:sz="12" w:space="0" w:color="666666"/>
              <w:left w:val="none" w:sz="0" w:space="0" w:color="000000"/>
              <w:bottom w:val="none" w:sz="0" w:space="0" w:color="000000"/>
              <w:right w:val="none" w:sz="0" w:space="0" w:color="000000"/>
            </w:tcBorders>
            <w:shd w:val="clear" w:color="auto" w:fill="4A148C"/>
            <w:tcMar>
              <w:top w:w="0" w:type="dxa"/>
              <w:left w:w="0" w:type="dxa"/>
              <w:bottom w:w="0" w:type="dxa"/>
              <w:right w:w="0" w:type="dxa"/>
            </w:tcMar>
            <w:vAlign w:val="center"/>
          </w:tcPr>
          <w:p w14:paraId="746E5A5A"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1.55 [1.44, 1.68]</w:t>
            </w:r>
          </w:p>
        </w:tc>
      </w:tr>
      <w:tr w:rsidR="00B11E0E" w14:paraId="5436B41C" w14:textId="77777777">
        <w:trPr>
          <w:jc w:val="center"/>
        </w:trPr>
        <w:tc>
          <w:tcPr>
            <w:tcW w:w="2331"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D7A722" w14:textId="77777777" w:rsidR="00B11E0E" w:rsidRDefault="00B11E0E">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18"/>
                <w:szCs w:val="18"/>
              </w:rPr>
            </w:pPr>
          </w:p>
        </w:tc>
        <w:tc>
          <w:tcPr>
            <w:tcW w:w="2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3A701"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18"/>
                <w:szCs w:val="18"/>
              </w:rPr>
            </w:pPr>
            <w:r>
              <w:rPr>
                <w:rFonts w:ascii="Helvetica" w:eastAsia="Helvetica" w:hAnsi="Helvetica" w:cs="Helvetica"/>
                <w:color w:val="000000"/>
                <w:sz w:val="18"/>
                <w:szCs w:val="18"/>
              </w:rPr>
              <w:t>Daily feeding duration</w:t>
            </w:r>
          </w:p>
        </w:tc>
        <w:tc>
          <w:tcPr>
            <w:tcW w:w="1712" w:type="dxa"/>
            <w:tcBorders>
              <w:top w:val="none" w:sz="0" w:space="0" w:color="000000"/>
              <w:left w:val="none" w:sz="0" w:space="0" w:color="000000"/>
              <w:bottom w:val="none" w:sz="0" w:space="0" w:color="000000"/>
              <w:right w:val="none" w:sz="0" w:space="0" w:color="000000"/>
            </w:tcBorders>
            <w:shd w:val="clear" w:color="auto" w:fill="628F60"/>
            <w:tcMar>
              <w:top w:w="0" w:type="dxa"/>
              <w:left w:w="0" w:type="dxa"/>
              <w:bottom w:w="0" w:type="dxa"/>
              <w:right w:w="0" w:type="dxa"/>
            </w:tcMar>
            <w:vAlign w:val="center"/>
          </w:tcPr>
          <w:p w14:paraId="739AC187"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0.56 [0.49, 0.63]</w:t>
            </w:r>
          </w:p>
        </w:tc>
        <w:tc>
          <w:tcPr>
            <w:tcW w:w="1712" w:type="dxa"/>
            <w:tcBorders>
              <w:top w:val="none" w:sz="0" w:space="0" w:color="000000"/>
              <w:left w:val="none" w:sz="0" w:space="0" w:color="000000"/>
              <w:bottom w:val="none" w:sz="0" w:space="0" w:color="000000"/>
              <w:right w:val="none" w:sz="0" w:space="0" w:color="000000"/>
            </w:tcBorders>
            <w:shd w:val="clear" w:color="auto" w:fill="CFD1E8"/>
            <w:tcMar>
              <w:top w:w="0" w:type="dxa"/>
              <w:left w:w="0" w:type="dxa"/>
              <w:bottom w:w="0" w:type="dxa"/>
              <w:right w:w="0" w:type="dxa"/>
            </w:tcMar>
            <w:vAlign w:val="center"/>
          </w:tcPr>
          <w:p w14:paraId="12FF5507"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0.14 [0.12, 0.15]</w:t>
            </w:r>
          </w:p>
        </w:tc>
        <w:tc>
          <w:tcPr>
            <w:tcW w:w="1712" w:type="dxa"/>
            <w:tcBorders>
              <w:top w:val="none" w:sz="0" w:space="0" w:color="000000"/>
              <w:left w:val="none" w:sz="0" w:space="0" w:color="000000"/>
              <w:bottom w:val="none" w:sz="0" w:space="0" w:color="000000"/>
              <w:right w:val="none" w:sz="0" w:space="0" w:color="000000"/>
            </w:tcBorders>
            <w:shd w:val="clear" w:color="auto" w:fill="DF7D57"/>
            <w:tcMar>
              <w:top w:w="0" w:type="dxa"/>
              <w:left w:w="0" w:type="dxa"/>
              <w:bottom w:w="0" w:type="dxa"/>
              <w:right w:w="0" w:type="dxa"/>
            </w:tcMar>
            <w:vAlign w:val="center"/>
          </w:tcPr>
          <w:p w14:paraId="686DA01E"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0.17 [0.14, 0.21]</w:t>
            </w:r>
          </w:p>
        </w:tc>
        <w:tc>
          <w:tcPr>
            <w:tcW w:w="1712" w:type="dxa"/>
            <w:tcBorders>
              <w:top w:val="none" w:sz="0" w:space="0" w:color="000000"/>
              <w:left w:val="none" w:sz="0" w:space="0" w:color="000000"/>
              <w:bottom w:val="none" w:sz="0" w:space="0" w:color="000000"/>
              <w:right w:val="none" w:sz="0" w:space="0" w:color="000000"/>
            </w:tcBorders>
            <w:shd w:val="clear" w:color="auto" w:fill="8F65B5"/>
            <w:tcMar>
              <w:top w:w="0" w:type="dxa"/>
              <w:left w:w="0" w:type="dxa"/>
              <w:bottom w:w="0" w:type="dxa"/>
              <w:right w:w="0" w:type="dxa"/>
            </w:tcMar>
            <w:vAlign w:val="center"/>
          </w:tcPr>
          <w:p w14:paraId="50A4900A"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1.41 [1.32, 1.50]</w:t>
            </w:r>
          </w:p>
        </w:tc>
      </w:tr>
      <w:tr w:rsidR="00B11E0E" w14:paraId="60EA5669" w14:textId="77777777">
        <w:trPr>
          <w:jc w:val="center"/>
        </w:trPr>
        <w:tc>
          <w:tcPr>
            <w:tcW w:w="2331"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A88644" w14:textId="77777777" w:rsidR="00B11E0E" w:rsidRDefault="00B11E0E">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18"/>
                <w:szCs w:val="18"/>
              </w:rPr>
            </w:pPr>
          </w:p>
        </w:tc>
        <w:tc>
          <w:tcPr>
            <w:tcW w:w="2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33AE5A"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18"/>
                <w:szCs w:val="18"/>
              </w:rPr>
            </w:pPr>
            <w:r>
              <w:rPr>
                <w:rFonts w:ascii="Helvetica" w:eastAsia="Helvetica" w:hAnsi="Helvetica" w:cs="Helvetica"/>
                <w:color w:val="000000"/>
                <w:sz w:val="18"/>
                <w:szCs w:val="18"/>
              </w:rPr>
              <w:t>Daily feeding visits</w:t>
            </w:r>
          </w:p>
        </w:tc>
        <w:tc>
          <w:tcPr>
            <w:tcW w:w="1712" w:type="dxa"/>
            <w:tcBorders>
              <w:top w:val="none" w:sz="0" w:space="0" w:color="000000"/>
              <w:left w:val="none" w:sz="0" w:space="0" w:color="000000"/>
              <w:bottom w:val="none" w:sz="0" w:space="0" w:color="000000"/>
              <w:right w:val="none" w:sz="0" w:space="0" w:color="000000"/>
            </w:tcBorders>
            <w:shd w:val="clear" w:color="auto" w:fill="376F37"/>
            <w:tcMar>
              <w:top w:w="0" w:type="dxa"/>
              <w:left w:w="0" w:type="dxa"/>
              <w:bottom w:w="0" w:type="dxa"/>
              <w:right w:w="0" w:type="dxa"/>
            </w:tcMar>
            <w:vAlign w:val="center"/>
          </w:tcPr>
          <w:p w14:paraId="5EB48FC1"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0.68 [0.62, 0.74]</w:t>
            </w:r>
          </w:p>
        </w:tc>
        <w:tc>
          <w:tcPr>
            <w:tcW w:w="1712" w:type="dxa"/>
            <w:tcBorders>
              <w:top w:val="none" w:sz="0" w:space="0" w:color="000000"/>
              <w:left w:val="none" w:sz="0" w:space="0" w:color="000000"/>
              <w:bottom w:val="none" w:sz="0" w:space="0" w:color="000000"/>
              <w:right w:val="none" w:sz="0" w:space="0" w:color="000000"/>
            </w:tcBorders>
            <w:shd w:val="clear" w:color="auto" w:fill="8D86BD"/>
            <w:tcMar>
              <w:top w:w="0" w:type="dxa"/>
              <w:left w:w="0" w:type="dxa"/>
              <w:bottom w:w="0" w:type="dxa"/>
              <w:right w:w="0" w:type="dxa"/>
            </w:tcMar>
            <w:vAlign w:val="center"/>
          </w:tcPr>
          <w:p w14:paraId="4FFBCFE1"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0.29 [0.25, 0.34]</w:t>
            </w:r>
          </w:p>
        </w:tc>
        <w:tc>
          <w:tcPr>
            <w:tcW w:w="1712" w:type="dxa"/>
            <w:tcBorders>
              <w:top w:val="none" w:sz="0" w:space="0" w:color="000000"/>
              <w:left w:val="none" w:sz="0" w:space="0" w:color="000000"/>
              <w:bottom w:val="none" w:sz="0" w:space="0" w:color="000000"/>
              <w:right w:val="none" w:sz="0" w:space="0" w:color="000000"/>
            </w:tcBorders>
            <w:shd w:val="clear" w:color="auto" w:fill="DF7E57"/>
            <w:tcMar>
              <w:top w:w="0" w:type="dxa"/>
              <w:left w:w="0" w:type="dxa"/>
              <w:bottom w:w="0" w:type="dxa"/>
              <w:right w:w="0" w:type="dxa"/>
            </w:tcMar>
            <w:vAlign w:val="center"/>
          </w:tcPr>
          <w:p w14:paraId="0A62D2BE"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0.17 [0.14, 0.20]</w:t>
            </w:r>
          </w:p>
        </w:tc>
        <w:tc>
          <w:tcPr>
            <w:tcW w:w="1712" w:type="dxa"/>
            <w:tcBorders>
              <w:top w:val="none" w:sz="0" w:space="0" w:color="000000"/>
              <w:left w:val="none" w:sz="0" w:space="0" w:color="000000"/>
              <w:bottom w:val="none" w:sz="0" w:space="0" w:color="000000"/>
              <w:right w:val="none" w:sz="0" w:space="0" w:color="000000"/>
            </w:tcBorders>
            <w:shd w:val="clear" w:color="auto" w:fill="8F65B5"/>
            <w:tcMar>
              <w:top w:w="0" w:type="dxa"/>
              <w:left w:w="0" w:type="dxa"/>
              <w:bottom w:w="0" w:type="dxa"/>
              <w:right w:w="0" w:type="dxa"/>
            </w:tcMar>
            <w:vAlign w:val="center"/>
          </w:tcPr>
          <w:p w14:paraId="0C3B7B00"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1.41 [1.32, 1.50]</w:t>
            </w:r>
          </w:p>
        </w:tc>
      </w:tr>
      <w:tr w:rsidR="00B11E0E" w14:paraId="36FE76FF" w14:textId="77777777">
        <w:trPr>
          <w:jc w:val="center"/>
        </w:trPr>
        <w:tc>
          <w:tcPr>
            <w:tcW w:w="2331"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01E8D1" w14:textId="77777777" w:rsidR="00B11E0E" w:rsidRDefault="00B11E0E">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18"/>
                <w:szCs w:val="18"/>
              </w:rPr>
            </w:pPr>
          </w:p>
        </w:tc>
        <w:tc>
          <w:tcPr>
            <w:tcW w:w="2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D5843"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18"/>
                <w:szCs w:val="18"/>
              </w:rPr>
            </w:pPr>
            <w:r>
              <w:rPr>
                <w:rFonts w:ascii="Helvetica" w:eastAsia="Helvetica" w:hAnsi="Helvetica" w:cs="Helvetica"/>
                <w:color w:val="000000"/>
                <w:sz w:val="18"/>
                <w:szCs w:val="18"/>
              </w:rPr>
              <w:t>Median % feed remaining</w:t>
            </w:r>
          </w:p>
        </w:tc>
        <w:tc>
          <w:tcPr>
            <w:tcW w:w="1712" w:type="dxa"/>
            <w:tcBorders>
              <w:top w:val="none" w:sz="0" w:space="0" w:color="000000"/>
              <w:left w:val="none" w:sz="0" w:space="0" w:color="000000"/>
              <w:bottom w:val="none" w:sz="0" w:space="0" w:color="000000"/>
              <w:right w:val="none" w:sz="0" w:space="0" w:color="000000"/>
            </w:tcBorders>
            <w:shd w:val="clear" w:color="auto" w:fill="E8F5E9"/>
            <w:tcMar>
              <w:top w:w="0" w:type="dxa"/>
              <w:left w:w="0" w:type="dxa"/>
              <w:bottom w:w="0" w:type="dxa"/>
              <w:right w:w="0" w:type="dxa"/>
            </w:tcMar>
            <w:vAlign w:val="center"/>
          </w:tcPr>
          <w:p w14:paraId="27400757"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0.21 [0.16, 0.26]</w:t>
            </w:r>
          </w:p>
        </w:tc>
        <w:tc>
          <w:tcPr>
            <w:tcW w:w="1712" w:type="dxa"/>
            <w:tcBorders>
              <w:top w:val="none" w:sz="0" w:space="0" w:color="000000"/>
              <w:left w:val="none" w:sz="0" w:space="0" w:color="000000"/>
              <w:bottom w:val="none" w:sz="0" w:space="0" w:color="000000"/>
              <w:right w:val="none" w:sz="0" w:space="0" w:color="000000"/>
            </w:tcBorders>
            <w:shd w:val="clear" w:color="auto" w:fill="D3D6EB"/>
            <w:tcMar>
              <w:top w:w="0" w:type="dxa"/>
              <w:left w:w="0" w:type="dxa"/>
              <w:bottom w:w="0" w:type="dxa"/>
              <w:right w:w="0" w:type="dxa"/>
            </w:tcMar>
            <w:vAlign w:val="center"/>
          </w:tcPr>
          <w:p w14:paraId="5E6657F7"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0.13 [0.11, 0.15]</w:t>
            </w:r>
          </w:p>
        </w:tc>
        <w:tc>
          <w:tcPr>
            <w:tcW w:w="1712" w:type="dxa"/>
            <w:tcBorders>
              <w:top w:val="none" w:sz="0" w:space="0" w:color="000000"/>
              <w:left w:val="none" w:sz="0" w:space="0" w:color="000000"/>
              <w:bottom w:val="none" w:sz="0" w:space="0" w:color="000000"/>
              <w:right w:val="none" w:sz="0" w:space="0" w:color="000000"/>
            </w:tcBorders>
            <w:shd w:val="clear" w:color="auto" w:fill="E07F59"/>
            <w:tcMar>
              <w:top w:w="0" w:type="dxa"/>
              <w:left w:w="0" w:type="dxa"/>
              <w:bottom w:w="0" w:type="dxa"/>
              <w:right w:w="0" w:type="dxa"/>
            </w:tcMar>
            <w:vAlign w:val="center"/>
          </w:tcPr>
          <w:p w14:paraId="174983E3"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0.17 [0.14, 0.20]</w:t>
            </w:r>
          </w:p>
        </w:tc>
        <w:tc>
          <w:tcPr>
            <w:tcW w:w="1712" w:type="dxa"/>
            <w:tcBorders>
              <w:top w:val="none" w:sz="0" w:space="0" w:color="000000"/>
              <w:left w:val="none" w:sz="0" w:space="0" w:color="000000"/>
              <w:bottom w:val="none" w:sz="0" w:space="0" w:color="000000"/>
              <w:right w:val="none" w:sz="0" w:space="0" w:color="000000"/>
            </w:tcBorders>
            <w:shd w:val="clear" w:color="auto" w:fill="9067B6"/>
            <w:tcMar>
              <w:top w:w="0" w:type="dxa"/>
              <w:left w:w="0" w:type="dxa"/>
              <w:bottom w:w="0" w:type="dxa"/>
              <w:right w:w="0" w:type="dxa"/>
            </w:tcMar>
            <w:vAlign w:val="center"/>
          </w:tcPr>
          <w:p w14:paraId="7A55572E"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1.40 [1.31, 1.50]</w:t>
            </w:r>
          </w:p>
        </w:tc>
      </w:tr>
      <w:tr w:rsidR="00B11E0E" w14:paraId="71007FC0" w14:textId="77777777">
        <w:trPr>
          <w:jc w:val="center"/>
        </w:trPr>
        <w:tc>
          <w:tcPr>
            <w:tcW w:w="2331"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27F511"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18"/>
                <w:szCs w:val="18"/>
              </w:rPr>
            </w:pPr>
            <w:r>
              <w:rPr>
                <w:rFonts w:ascii="Helvetica" w:eastAsia="Helvetica" w:hAnsi="Helvetica" w:cs="Helvetica"/>
                <w:b/>
                <w:color w:val="000000"/>
                <w:sz w:val="18"/>
                <w:szCs w:val="18"/>
              </w:rPr>
              <w:t>Drinking</w:t>
            </w:r>
          </w:p>
        </w:tc>
        <w:tc>
          <w:tcPr>
            <w:tcW w:w="2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F1849D"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18"/>
                <w:szCs w:val="18"/>
              </w:rPr>
            </w:pPr>
            <w:r>
              <w:rPr>
                <w:rFonts w:ascii="Helvetica" w:eastAsia="Helvetica" w:hAnsi="Helvetica" w:cs="Helvetica"/>
                <w:color w:val="000000"/>
                <w:sz w:val="18"/>
                <w:szCs w:val="18"/>
              </w:rPr>
              <w:t>Daily water intake</w:t>
            </w:r>
          </w:p>
        </w:tc>
        <w:tc>
          <w:tcPr>
            <w:tcW w:w="1712" w:type="dxa"/>
            <w:tcBorders>
              <w:top w:val="none" w:sz="0" w:space="0" w:color="000000"/>
              <w:left w:val="none" w:sz="0" w:space="0" w:color="000000"/>
              <w:bottom w:val="none" w:sz="0" w:space="0" w:color="000000"/>
              <w:right w:val="none" w:sz="0" w:space="0" w:color="000000"/>
            </w:tcBorders>
            <w:shd w:val="clear" w:color="auto" w:fill="669263"/>
            <w:tcMar>
              <w:top w:w="0" w:type="dxa"/>
              <w:left w:w="0" w:type="dxa"/>
              <w:bottom w:w="0" w:type="dxa"/>
              <w:right w:w="0" w:type="dxa"/>
            </w:tcMar>
            <w:vAlign w:val="center"/>
          </w:tcPr>
          <w:p w14:paraId="1A79430B"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0.55 [0.48, 0.62]</w:t>
            </w:r>
          </w:p>
        </w:tc>
        <w:tc>
          <w:tcPr>
            <w:tcW w:w="1712" w:type="dxa"/>
            <w:tcBorders>
              <w:top w:val="none" w:sz="0" w:space="0" w:color="000000"/>
              <w:left w:val="none" w:sz="0" w:space="0" w:color="000000"/>
              <w:bottom w:val="none" w:sz="0" w:space="0" w:color="000000"/>
              <w:right w:val="none" w:sz="0" w:space="0" w:color="000000"/>
            </w:tcBorders>
            <w:shd w:val="clear" w:color="auto" w:fill="CFD1E8"/>
            <w:tcMar>
              <w:top w:w="0" w:type="dxa"/>
              <w:left w:w="0" w:type="dxa"/>
              <w:bottom w:w="0" w:type="dxa"/>
              <w:right w:w="0" w:type="dxa"/>
            </w:tcMar>
            <w:vAlign w:val="center"/>
          </w:tcPr>
          <w:p w14:paraId="390DC5D4"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0.14 [0.12, 0.15]</w:t>
            </w:r>
          </w:p>
        </w:tc>
        <w:tc>
          <w:tcPr>
            <w:tcW w:w="1712" w:type="dxa"/>
            <w:tcBorders>
              <w:top w:val="none" w:sz="0" w:space="0" w:color="000000"/>
              <w:left w:val="none" w:sz="0" w:space="0" w:color="000000"/>
              <w:bottom w:val="none" w:sz="0" w:space="0" w:color="000000"/>
              <w:right w:val="none" w:sz="0" w:space="0" w:color="000000"/>
            </w:tcBorders>
            <w:shd w:val="clear" w:color="auto" w:fill="DD7851"/>
            <w:tcMar>
              <w:top w:w="0" w:type="dxa"/>
              <w:left w:w="0" w:type="dxa"/>
              <w:bottom w:w="0" w:type="dxa"/>
              <w:right w:w="0" w:type="dxa"/>
            </w:tcMar>
            <w:vAlign w:val="center"/>
          </w:tcPr>
          <w:p w14:paraId="606B1EC5"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0.18 [0.14, 0.21]</w:t>
            </w:r>
          </w:p>
        </w:tc>
        <w:tc>
          <w:tcPr>
            <w:tcW w:w="1712" w:type="dxa"/>
            <w:tcBorders>
              <w:top w:val="none" w:sz="0" w:space="0" w:color="000000"/>
              <w:left w:val="none" w:sz="0" w:space="0" w:color="000000"/>
              <w:bottom w:val="none" w:sz="0" w:space="0" w:color="000000"/>
              <w:right w:val="none" w:sz="0" w:space="0" w:color="000000"/>
            </w:tcBorders>
            <w:shd w:val="clear" w:color="auto" w:fill="8A5FB2"/>
            <w:tcMar>
              <w:top w:w="0" w:type="dxa"/>
              <w:left w:w="0" w:type="dxa"/>
              <w:bottom w:w="0" w:type="dxa"/>
              <w:right w:w="0" w:type="dxa"/>
            </w:tcMar>
            <w:vAlign w:val="center"/>
          </w:tcPr>
          <w:p w14:paraId="088853B8"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1.42 [1.33, 1.51]</w:t>
            </w:r>
          </w:p>
        </w:tc>
      </w:tr>
      <w:tr w:rsidR="00B11E0E" w14:paraId="6B397A98" w14:textId="77777777">
        <w:trPr>
          <w:jc w:val="center"/>
        </w:trPr>
        <w:tc>
          <w:tcPr>
            <w:tcW w:w="2331"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31D4A6" w14:textId="77777777" w:rsidR="00B11E0E" w:rsidRDefault="00B11E0E">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18"/>
                <w:szCs w:val="18"/>
              </w:rPr>
            </w:pPr>
          </w:p>
        </w:tc>
        <w:tc>
          <w:tcPr>
            <w:tcW w:w="2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B7AD5D"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18"/>
                <w:szCs w:val="18"/>
              </w:rPr>
            </w:pPr>
            <w:r>
              <w:rPr>
                <w:rFonts w:ascii="Helvetica" w:eastAsia="Helvetica" w:hAnsi="Helvetica" w:cs="Helvetica"/>
                <w:color w:val="000000"/>
                <w:sz w:val="18"/>
                <w:szCs w:val="18"/>
              </w:rPr>
              <w:t>Daily drinking duration</w:t>
            </w:r>
          </w:p>
        </w:tc>
        <w:tc>
          <w:tcPr>
            <w:tcW w:w="1712" w:type="dxa"/>
            <w:tcBorders>
              <w:top w:val="none" w:sz="0" w:space="0" w:color="000000"/>
              <w:left w:val="none" w:sz="0" w:space="0" w:color="000000"/>
              <w:bottom w:val="none" w:sz="0" w:space="0" w:color="000000"/>
              <w:right w:val="none" w:sz="0" w:space="0" w:color="000000"/>
            </w:tcBorders>
            <w:shd w:val="clear" w:color="auto" w:fill="1B5E20"/>
            <w:tcMar>
              <w:top w:w="0" w:type="dxa"/>
              <w:left w:w="0" w:type="dxa"/>
              <w:bottom w:w="0" w:type="dxa"/>
              <w:right w:w="0" w:type="dxa"/>
            </w:tcMar>
            <w:vAlign w:val="center"/>
          </w:tcPr>
          <w:p w14:paraId="7E828014"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0.74 [0.69, 0.79]</w:t>
            </w:r>
          </w:p>
        </w:tc>
        <w:tc>
          <w:tcPr>
            <w:tcW w:w="1712" w:type="dxa"/>
            <w:tcBorders>
              <w:top w:val="none" w:sz="0" w:space="0" w:color="000000"/>
              <w:left w:val="none" w:sz="0" w:space="0" w:color="000000"/>
              <w:bottom w:val="none" w:sz="0" w:space="0" w:color="000000"/>
              <w:right w:val="none" w:sz="0" w:space="0" w:color="000000"/>
            </w:tcBorders>
            <w:shd w:val="clear" w:color="auto" w:fill="6159A2"/>
            <w:tcMar>
              <w:top w:w="0" w:type="dxa"/>
              <w:left w:w="0" w:type="dxa"/>
              <w:bottom w:w="0" w:type="dxa"/>
              <w:right w:w="0" w:type="dxa"/>
            </w:tcMar>
            <w:vAlign w:val="center"/>
          </w:tcPr>
          <w:p w14:paraId="6F78816A"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0.39 [0.34, 0.45]</w:t>
            </w:r>
          </w:p>
        </w:tc>
        <w:tc>
          <w:tcPr>
            <w:tcW w:w="1712" w:type="dxa"/>
            <w:tcBorders>
              <w:top w:val="none" w:sz="0" w:space="0" w:color="000000"/>
              <w:left w:val="none" w:sz="0" w:space="0" w:color="000000"/>
              <w:bottom w:val="none" w:sz="0" w:space="0" w:color="000000"/>
              <w:right w:val="none" w:sz="0" w:space="0" w:color="000000"/>
            </w:tcBorders>
            <w:shd w:val="clear" w:color="auto" w:fill="D15D34"/>
            <w:tcMar>
              <w:top w:w="0" w:type="dxa"/>
              <w:left w:w="0" w:type="dxa"/>
              <w:bottom w:w="0" w:type="dxa"/>
              <w:right w:w="0" w:type="dxa"/>
            </w:tcMar>
            <w:vAlign w:val="center"/>
          </w:tcPr>
          <w:p w14:paraId="7D09C3E7"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0.20 [0.16, 0.23]</w:t>
            </w:r>
          </w:p>
        </w:tc>
        <w:tc>
          <w:tcPr>
            <w:tcW w:w="1712" w:type="dxa"/>
            <w:tcBorders>
              <w:top w:val="none" w:sz="0" w:space="0" w:color="000000"/>
              <w:left w:val="none" w:sz="0" w:space="0" w:color="000000"/>
              <w:bottom w:val="none" w:sz="0" w:space="0" w:color="000000"/>
              <w:right w:val="none" w:sz="0" w:space="0" w:color="000000"/>
            </w:tcBorders>
            <w:shd w:val="clear" w:color="auto" w:fill="7041A2"/>
            <w:tcMar>
              <w:top w:w="0" w:type="dxa"/>
              <w:left w:w="0" w:type="dxa"/>
              <w:bottom w:w="0" w:type="dxa"/>
              <w:right w:w="0" w:type="dxa"/>
            </w:tcMar>
            <w:vAlign w:val="center"/>
          </w:tcPr>
          <w:p w14:paraId="7AAD739E"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1.48 [1.38, 1.58]</w:t>
            </w:r>
          </w:p>
        </w:tc>
      </w:tr>
      <w:tr w:rsidR="00B11E0E" w14:paraId="100350F3" w14:textId="77777777">
        <w:trPr>
          <w:jc w:val="center"/>
        </w:trPr>
        <w:tc>
          <w:tcPr>
            <w:tcW w:w="2331"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20FF59" w14:textId="77777777" w:rsidR="00B11E0E" w:rsidRDefault="00B11E0E">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18"/>
                <w:szCs w:val="18"/>
              </w:rPr>
            </w:pPr>
          </w:p>
        </w:tc>
        <w:tc>
          <w:tcPr>
            <w:tcW w:w="2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0C2FC"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18"/>
                <w:szCs w:val="18"/>
              </w:rPr>
            </w:pPr>
            <w:r>
              <w:rPr>
                <w:rFonts w:ascii="Helvetica" w:eastAsia="Helvetica" w:hAnsi="Helvetica" w:cs="Helvetica"/>
                <w:color w:val="000000"/>
                <w:sz w:val="18"/>
                <w:szCs w:val="18"/>
              </w:rPr>
              <w:t>Daily drinking visits</w:t>
            </w:r>
          </w:p>
        </w:tc>
        <w:tc>
          <w:tcPr>
            <w:tcW w:w="1712" w:type="dxa"/>
            <w:tcBorders>
              <w:top w:val="none" w:sz="0" w:space="0" w:color="000000"/>
              <w:left w:val="none" w:sz="0" w:space="0" w:color="000000"/>
              <w:bottom w:val="none" w:sz="0" w:space="0" w:color="000000"/>
              <w:right w:val="none" w:sz="0" w:space="0" w:color="000000"/>
            </w:tcBorders>
            <w:shd w:val="clear" w:color="auto" w:fill="669263"/>
            <w:tcMar>
              <w:top w:w="0" w:type="dxa"/>
              <w:left w:w="0" w:type="dxa"/>
              <w:bottom w:w="0" w:type="dxa"/>
              <w:right w:w="0" w:type="dxa"/>
            </w:tcMar>
            <w:vAlign w:val="center"/>
          </w:tcPr>
          <w:p w14:paraId="1A752C98"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0.55 [0.48, 0.62]</w:t>
            </w:r>
          </w:p>
        </w:tc>
        <w:tc>
          <w:tcPr>
            <w:tcW w:w="1712" w:type="dxa"/>
            <w:tcBorders>
              <w:top w:val="none" w:sz="0" w:space="0" w:color="000000"/>
              <w:left w:val="none" w:sz="0" w:space="0" w:color="000000"/>
              <w:bottom w:val="none" w:sz="0" w:space="0" w:color="000000"/>
              <w:right w:val="none" w:sz="0" w:space="0" w:color="000000"/>
            </w:tcBorders>
            <w:shd w:val="clear" w:color="auto" w:fill="918AC0"/>
            <w:tcMar>
              <w:top w:w="0" w:type="dxa"/>
              <w:left w:w="0" w:type="dxa"/>
              <w:bottom w:w="0" w:type="dxa"/>
              <w:right w:w="0" w:type="dxa"/>
            </w:tcMar>
            <w:vAlign w:val="center"/>
          </w:tcPr>
          <w:p w14:paraId="1C3C7E0A"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0.28 [0.24, 0.32]</w:t>
            </w:r>
          </w:p>
        </w:tc>
        <w:tc>
          <w:tcPr>
            <w:tcW w:w="1712" w:type="dxa"/>
            <w:tcBorders>
              <w:top w:val="none" w:sz="0" w:space="0" w:color="000000"/>
              <w:left w:val="none" w:sz="0" w:space="0" w:color="000000"/>
              <w:bottom w:val="none" w:sz="0" w:space="0" w:color="000000"/>
              <w:right w:val="none" w:sz="0" w:space="0" w:color="000000"/>
            </w:tcBorders>
            <w:shd w:val="clear" w:color="auto" w:fill="E1825C"/>
            <w:tcMar>
              <w:top w:w="0" w:type="dxa"/>
              <w:left w:w="0" w:type="dxa"/>
              <w:bottom w:w="0" w:type="dxa"/>
              <w:right w:w="0" w:type="dxa"/>
            </w:tcMar>
            <w:vAlign w:val="center"/>
          </w:tcPr>
          <w:p w14:paraId="57BC0FA9"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0.17 [0.14, 0.20]</w:t>
            </w:r>
          </w:p>
        </w:tc>
        <w:tc>
          <w:tcPr>
            <w:tcW w:w="1712" w:type="dxa"/>
            <w:tcBorders>
              <w:top w:val="none" w:sz="0" w:space="0" w:color="000000"/>
              <w:left w:val="none" w:sz="0" w:space="0" w:color="000000"/>
              <w:bottom w:val="none" w:sz="0" w:space="0" w:color="000000"/>
              <w:right w:val="none" w:sz="0" w:space="0" w:color="000000"/>
            </w:tcBorders>
            <w:shd w:val="clear" w:color="auto" w:fill="936AB7"/>
            <w:tcMar>
              <w:top w:w="0" w:type="dxa"/>
              <w:left w:w="0" w:type="dxa"/>
              <w:bottom w:w="0" w:type="dxa"/>
              <w:right w:w="0" w:type="dxa"/>
            </w:tcMar>
            <w:vAlign w:val="center"/>
          </w:tcPr>
          <w:p w14:paraId="64B1B1EA"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1.40 [1.31, 1.49]</w:t>
            </w:r>
          </w:p>
        </w:tc>
      </w:tr>
      <w:tr w:rsidR="00B11E0E" w14:paraId="12BF52A7" w14:textId="77777777">
        <w:trPr>
          <w:jc w:val="center"/>
        </w:trPr>
        <w:tc>
          <w:tcPr>
            <w:tcW w:w="2331"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45462D"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18"/>
                <w:szCs w:val="18"/>
              </w:rPr>
            </w:pPr>
            <w:r>
              <w:rPr>
                <w:rFonts w:ascii="Helvetica" w:eastAsia="Helvetica" w:hAnsi="Helvetica" w:cs="Helvetica"/>
                <w:b/>
                <w:color w:val="000000"/>
                <w:sz w:val="18"/>
                <w:szCs w:val="18"/>
              </w:rPr>
              <w:t>Meal patterns</w:t>
            </w:r>
          </w:p>
        </w:tc>
        <w:tc>
          <w:tcPr>
            <w:tcW w:w="2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A22C9F"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18"/>
                <w:szCs w:val="18"/>
              </w:rPr>
            </w:pPr>
            <w:r>
              <w:rPr>
                <w:rFonts w:ascii="Helvetica" w:eastAsia="Helvetica" w:hAnsi="Helvetica" w:cs="Helvetica"/>
                <w:color w:val="000000"/>
                <w:sz w:val="18"/>
                <w:szCs w:val="18"/>
              </w:rPr>
              <w:t>Total meals</w:t>
            </w:r>
          </w:p>
        </w:tc>
        <w:tc>
          <w:tcPr>
            <w:tcW w:w="1712" w:type="dxa"/>
            <w:tcBorders>
              <w:top w:val="none" w:sz="0" w:space="0" w:color="000000"/>
              <w:left w:val="none" w:sz="0" w:space="0" w:color="000000"/>
              <w:bottom w:val="none" w:sz="0" w:space="0" w:color="000000"/>
              <w:right w:val="none" w:sz="0" w:space="0" w:color="000000"/>
            </w:tcBorders>
            <w:shd w:val="clear" w:color="auto" w:fill="A4C1A2"/>
            <w:tcMar>
              <w:top w:w="0" w:type="dxa"/>
              <w:left w:w="0" w:type="dxa"/>
              <w:bottom w:w="0" w:type="dxa"/>
              <w:right w:w="0" w:type="dxa"/>
            </w:tcMar>
            <w:vAlign w:val="center"/>
          </w:tcPr>
          <w:p w14:paraId="2E96CEC4"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0.38 [0.32, 0.45]</w:t>
            </w:r>
          </w:p>
        </w:tc>
        <w:tc>
          <w:tcPr>
            <w:tcW w:w="1712" w:type="dxa"/>
            <w:tcBorders>
              <w:top w:val="none" w:sz="0" w:space="0" w:color="000000"/>
              <w:left w:val="none" w:sz="0" w:space="0" w:color="000000"/>
              <w:bottom w:val="none" w:sz="0" w:space="0" w:color="000000"/>
              <w:right w:val="none" w:sz="0" w:space="0" w:color="000000"/>
            </w:tcBorders>
            <w:shd w:val="clear" w:color="auto" w:fill="C8C9E4"/>
            <w:tcMar>
              <w:top w:w="0" w:type="dxa"/>
              <w:left w:w="0" w:type="dxa"/>
              <w:bottom w:w="0" w:type="dxa"/>
              <w:right w:w="0" w:type="dxa"/>
            </w:tcMar>
            <w:vAlign w:val="center"/>
          </w:tcPr>
          <w:p w14:paraId="6A870A8B"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0.15 [0.13, 0.17]</w:t>
            </w:r>
          </w:p>
        </w:tc>
        <w:tc>
          <w:tcPr>
            <w:tcW w:w="1712" w:type="dxa"/>
            <w:tcBorders>
              <w:top w:val="none" w:sz="0" w:space="0" w:color="000000"/>
              <w:left w:val="none" w:sz="0" w:space="0" w:color="000000"/>
              <w:bottom w:val="none" w:sz="0" w:space="0" w:color="000000"/>
              <w:right w:val="none" w:sz="0" w:space="0" w:color="000000"/>
            </w:tcBorders>
            <w:shd w:val="clear" w:color="auto" w:fill="F0AD8C"/>
            <w:tcMar>
              <w:top w:w="0" w:type="dxa"/>
              <w:left w:w="0" w:type="dxa"/>
              <w:bottom w:w="0" w:type="dxa"/>
              <w:right w:w="0" w:type="dxa"/>
            </w:tcMar>
            <w:vAlign w:val="center"/>
          </w:tcPr>
          <w:p w14:paraId="59AC726D"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0.14 [0.10, 0.17]</w:t>
            </w:r>
          </w:p>
        </w:tc>
        <w:tc>
          <w:tcPr>
            <w:tcW w:w="1712" w:type="dxa"/>
            <w:tcBorders>
              <w:top w:val="none" w:sz="0" w:space="0" w:color="000000"/>
              <w:left w:val="none" w:sz="0" w:space="0" w:color="000000"/>
              <w:bottom w:val="none" w:sz="0" w:space="0" w:color="000000"/>
              <w:right w:val="none" w:sz="0" w:space="0" w:color="000000"/>
            </w:tcBorders>
            <w:shd w:val="clear" w:color="auto" w:fill="BA99D0"/>
            <w:tcMar>
              <w:top w:w="0" w:type="dxa"/>
              <w:left w:w="0" w:type="dxa"/>
              <w:bottom w:w="0" w:type="dxa"/>
              <w:right w:w="0" w:type="dxa"/>
            </w:tcMar>
            <w:vAlign w:val="center"/>
          </w:tcPr>
          <w:p w14:paraId="47AEAA12"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1.31 [1.23, 1.40]</w:t>
            </w:r>
          </w:p>
        </w:tc>
      </w:tr>
      <w:tr w:rsidR="00B11E0E" w14:paraId="5CD1EAD9" w14:textId="77777777">
        <w:trPr>
          <w:jc w:val="center"/>
        </w:trPr>
        <w:tc>
          <w:tcPr>
            <w:tcW w:w="2331"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D2898A" w14:textId="77777777" w:rsidR="00B11E0E" w:rsidRDefault="00B11E0E">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18"/>
                <w:szCs w:val="18"/>
              </w:rPr>
            </w:pPr>
          </w:p>
        </w:tc>
        <w:tc>
          <w:tcPr>
            <w:tcW w:w="2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347CD"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18"/>
                <w:szCs w:val="18"/>
              </w:rPr>
            </w:pPr>
            <w:r>
              <w:rPr>
                <w:rFonts w:ascii="Helvetica" w:eastAsia="Helvetica" w:hAnsi="Helvetica" w:cs="Helvetica"/>
                <w:color w:val="000000"/>
                <w:sz w:val="18"/>
                <w:szCs w:val="18"/>
              </w:rPr>
              <w:t>Median meal duration</w:t>
            </w:r>
          </w:p>
        </w:tc>
        <w:tc>
          <w:tcPr>
            <w:tcW w:w="1712" w:type="dxa"/>
            <w:tcBorders>
              <w:top w:val="none" w:sz="0" w:space="0" w:color="000000"/>
              <w:left w:val="none" w:sz="0" w:space="0" w:color="000000"/>
              <w:bottom w:val="none" w:sz="0" w:space="0" w:color="000000"/>
              <w:right w:val="none" w:sz="0" w:space="0" w:color="000000"/>
            </w:tcBorders>
            <w:shd w:val="clear" w:color="auto" w:fill="BED5BD"/>
            <w:tcMar>
              <w:top w:w="0" w:type="dxa"/>
              <w:left w:w="0" w:type="dxa"/>
              <w:bottom w:w="0" w:type="dxa"/>
              <w:right w:w="0" w:type="dxa"/>
            </w:tcMar>
            <w:vAlign w:val="center"/>
          </w:tcPr>
          <w:p w14:paraId="0B16670E"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0.31 [0.25, 0.38]</w:t>
            </w:r>
          </w:p>
        </w:tc>
        <w:tc>
          <w:tcPr>
            <w:tcW w:w="1712" w:type="dxa"/>
            <w:tcBorders>
              <w:top w:val="none" w:sz="0" w:space="0" w:color="000000"/>
              <w:left w:val="none" w:sz="0" w:space="0" w:color="000000"/>
              <w:bottom w:val="none" w:sz="0" w:space="0" w:color="000000"/>
              <w:right w:val="none" w:sz="0" w:space="0" w:color="000000"/>
            </w:tcBorders>
            <w:shd w:val="clear" w:color="auto" w:fill="BBB9DB"/>
            <w:tcMar>
              <w:top w:w="0" w:type="dxa"/>
              <w:left w:w="0" w:type="dxa"/>
              <w:bottom w:w="0" w:type="dxa"/>
              <w:right w:w="0" w:type="dxa"/>
            </w:tcMar>
            <w:vAlign w:val="center"/>
          </w:tcPr>
          <w:p w14:paraId="757C46EB"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0.18 [0.16, 0.21]</w:t>
            </w:r>
          </w:p>
        </w:tc>
        <w:tc>
          <w:tcPr>
            <w:tcW w:w="1712" w:type="dxa"/>
            <w:tcBorders>
              <w:top w:val="none" w:sz="0" w:space="0" w:color="000000"/>
              <w:left w:val="none" w:sz="0" w:space="0" w:color="000000"/>
              <w:bottom w:val="none" w:sz="0" w:space="0" w:color="000000"/>
              <w:right w:val="none" w:sz="0" w:space="0" w:color="000000"/>
            </w:tcBorders>
            <w:shd w:val="clear" w:color="auto" w:fill="FAD2B9"/>
            <w:tcMar>
              <w:top w:w="0" w:type="dxa"/>
              <w:left w:w="0" w:type="dxa"/>
              <w:bottom w:w="0" w:type="dxa"/>
              <w:right w:w="0" w:type="dxa"/>
            </w:tcMar>
            <w:vAlign w:val="center"/>
          </w:tcPr>
          <w:p w14:paraId="3BB9A679"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0.11 [0.07, 0.14]</w:t>
            </w:r>
          </w:p>
        </w:tc>
        <w:tc>
          <w:tcPr>
            <w:tcW w:w="1712" w:type="dxa"/>
            <w:tcBorders>
              <w:top w:val="none" w:sz="0" w:space="0" w:color="000000"/>
              <w:left w:val="none" w:sz="0" w:space="0" w:color="000000"/>
              <w:bottom w:val="none" w:sz="0" w:space="0" w:color="000000"/>
              <w:right w:val="none" w:sz="0" w:space="0" w:color="000000"/>
            </w:tcBorders>
            <w:shd w:val="clear" w:color="auto" w:fill="D9C3E4"/>
            <w:tcMar>
              <w:top w:w="0" w:type="dxa"/>
              <w:left w:w="0" w:type="dxa"/>
              <w:bottom w:w="0" w:type="dxa"/>
              <w:right w:w="0" w:type="dxa"/>
            </w:tcMar>
            <w:vAlign w:val="center"/>
          </w:tcPr>
          <w:p w14:paraId="5C344899"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1.23 [1.16, 1.31]</w:t>
            </w:r>
          </w:p>
        </w:tc>
      </w:tr>
      <w:tr w:rsidR="00B11E0E" w14:paraId="5F4EF0F4" w14:textId="77777777">
        <w:trPr>
          <w:jc w:val="center"/>
        </w:trPr>
        <w:tc>
          <w:tcPr>
            <w:tcW w:w="2331"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2B7BCB" w14:textId="77777777" w:rsidR="00B11E0E" w:rsidRDefault="00B11E0E">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18"/>
                <w:szCs w:val="18"/>
              </w:rPr>
            </w:pPr>
          </w:p>
        </w:tc>
        <w:tc>
          <w:tcPr>
            <w:tcW w:w="2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390958"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18"/>
                <w:szCs w:val="18"/>
              </w:rPr>
            </w:pPr>
            <w:r>
              <w:rPr>
                <w:rFonts w:ascii="Helvetica" w:eastAsia="Helvetica" w:hAnsi="Helvetica" w:cs="Helvetica"/>
                <w:color w:val="000000"/>
                <w:sz w:val="18"/>
                <w:szCs w:val="18"/>
              </w:rPr>
              <w:t>Median visits per meal</w:t>
            </w:r>
          </w:p>
        </w:tc>
        <w:tc>
          <w:tcPr>
            <w:tcW w:w="1712" w:type="dxa"/>
            <w:tcBorders>
              <w:top w:val="none" w:sz="0" w:space="0" w:color="000000"/>
              <w:left w:val="none" w:sz="0" w:space="0" w:color="000000"/>
              <w:bottom w:val="none" w:sz="0" w:space="0" w:color="000000"/>
              <w:right w:val="none" w:sz="0" w:space="0" w:color="000000"/>
            </w:tcBorders>
            <w:shd w:val="clear" w:color="auto" w:fill="729B6F"/>
            <w:tcMar>
              <w:top w:w="0" w:type="dxa"/>
              <w:left w:w="0" w:type="dxa"/>
              <w:bottom w:w="0" w:type="dxa"/>
              <w:right w:w="0" w:type="dxa"/>
            </w:tcMar>
            <w:vAlign w:val="center"/>
          </w:tcPr>
          <w:p w14:paraId="46282C57"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0.52 [0.45, 0.59]</w:t>
            </w:r>
          </w:p>
        </w:tc>
        <w:tc>
          <w:tcPr>
            <w:tcW w:w="1712" w:type="dxa"/>
            <w:tcBorders>
              <w:top w:val="none" w:sz="0" w:space="0" w:color="000000"/>
              <w:left w:val="none" w:sz="0" w:space="0" w:color="000000"/>
              <w:bottom w:val="none" w:sz="0" w:space="0" w:color="000000"/>
              <w:right w:val="none" w:sz="0" w:space="0" w:color="000000"/>
            </w:tcBorders>
            <w:shd w:val="clear" w:color="auto" w:fill="7D75B3"/>
            <w:tcMar>
              <w:top w:w="0" w:type="dxa"/>
              <w:left w:w="0" w:type="dxa"/>
              <w:bottom w:w="0" w:type="dxa"/>
              <w:right w:w="0" w:type="dxa"/>
            </w:tcMar>
            <w:vAlign w:val="center"/>
          </w:tcPr>
          <w:p w14:paraId="0E39E85D"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0.33 [0.28, 0.38]</w:t>
            </w:r>
          </w:p>
        </w:tc>
        <w:tc>
          <w:tcPr>
            <w:tcW w:w="1712" w:type="dxa"/>
            <w:tcBorders>
              <w:top w:val="none" w:sz="0" w:space="0" w:color="000000"/>
              <w:left w:val="none" w:sz="0" w:space="0" w:color="000000"/>
              <w:bottom w:val="none" w:sz="0" w:space="0" w:color="000000"/>
              <w:right w:val="none" w:sz="0" w:space="0" w:color="000000"/>
            </w:tcBorders>
            <w:shd w:val="clear" w:color="auto" w:fill="FCDDC5"/>
            <w:tcMar>
              <w:top w:w="0" w:type="dxa"/>
              <w:left w:w="0" w:type="dxa"/>
              <w:bottom w:w="0" w:type="dxa"/>
              <w:right w:w="0" w:type="dxa"/>
            </w:tcMar>
            <w:vAlign w:val="center"/>
          </w:tcPr>
          <w:p w14:paraId="5E93FAB2"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0.10 [0.07, 0.12]</w:t>
            </w:r>
          </w:p>
        </w:tc>
        <w:tc>
          <w:tcPr>
            <w:tcW w:w="1712" w:type="dxa"/>
            <w:tcBorders>
              <w:top w:val="none" w:sz="0" w:space="0" w:color="000000"/>
              <w:left w:val="none" w:sz="0" w:space="0" w:color="000000"/>
              <w:bottom w:val="none" w:sz="0" w:space="0" w:color="000000"/>
              <w:right w:val="none" w:sz="0" w:space="0" w:color="000000"/>
            </w:tcBorders>
            <w:shd w:val="clear" w:color="auto" w:fill="E2CEEA"/>
            <w:tcMar>
              <w:top w:w="0" w:type="dxa"/>
              <w:left w:w="0" w:type="dxa"/>
              <w:bottom w:w="0" w:type="dxa"/>
              <w:right w:w="0" w:type="dxa"/>
            </w:tcMar>
            <w:vAlign w:val="center"/>
          </w:tcPr>
          <w:p w14:paraId="6E05605E"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1.21 [1.15, 1.28]</w:t>
            </w:r>
          </w:p>
        </w:tc>
      </w:tr>
      <w:tr w:rsidR="00B11E0E" w14:paraId="3D8D42EA" w14:textId="77777777">
        <w:trPr>
          <w:jc w:val="center"/>
        </w:trPr>
        <w:tc>
          <w:tcPr>
            <w:tcW w:w="2331"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7EB5C0" w14:textId="77777777" w:rsidR="00B11E0E" w:rsidRDefault="00B11E0E">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18"/>
                <w:szCs w:val="18"/>
              </w:rPr>
            </w:pPr>
          </w:p>
        </w:tc>
        <w:tc>
          <w:tcPr>
            <w:tcW w:w="2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0F8349"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18"/>
                <w:szCs w:val="18"/>
              </w:rPr>
            </w:pPr>
            <w:r>
              <w:rPr>
                <w:rFonts w:ascii="Helvetica" w:eastAsia="Helvetica" w:hAnsi="Helvetica" w:cs="Helvetica"/>
                <w:color w:val="000000"/>
                <w:sz w:val="18"/>
                <w:szCs w:val="18"/>
              </w:rPr>
              <w:t>Median intake per meal</w:t>
            </w:r>
          </w:p>
        </w:tc>
        <w:tc>
          <w:tcPr>
            <w:tcW w:w="1712" w:type="dxa"/>
            <w:tcBorders>
              <w:top w:val="none" w:sz="0" w:space="0" w:color="000000"/>
              <w:left w:val="none" w:sz="0" w:space="0" w:color="000000"/>
              <w:bottom w:val="none" w:sz="0" w:space="0" w:color="000000"/>
              <w:right w:val="none" w:sz="0" w:space="0" w:color="000000"/>
            </w:tcBorders>
            <w:shd w:val="clear" w:color="auto" w:fill="C7DCC6"/>
            <w:tcMar>
              <w:top w:w="0" w:type="dxa"/>
              <w:left w:w="0" w:type="dxa"/>
              <w:bottom w:w="0" w:type="dxa"/>
              <w:right w:w="0" w:type="dxa"/>
            </w:tcMar>
            <w:vAlign w:val="center"/>
          </w:tcPr>
          <w:p w14:paraId="282C36A7"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0.29 [0.23, 0.36]</w:t>
            </w:r>
          </w:p>
        </w:tc>
        <w:tc>
          <w:tcPr>
            <w:tcW w:w="1712" w:type="dxa"/>
            <w:tcBorders>
              <w:top w:val="none" w:sz="0" w:space="0" w:color="000000"/>
              <w:left w:val="none" w:sz="0" w:space="0" w:color="000000"/>
              <w:bottom w:val="none" w:sz="0" w:space="0" w:color="000000"/>
              <w:right w:val="none" w:sz="0" w:space="0" w:color="000000"/>
            </w:tcBorders>
            <w:shd w:val="clear" w:color="auto" w:fill="BDBCDC"/>
            <w:tcMar>
              <w:top w:w="0" w:type="dxa"/>
              <w:left w:w="0" w:type="dxa"/>
              <w:bottom w:w="0" w:type="dxa"/>
              <w:right w:w="0" w:type="dxa"/>
            </w:tcMar>
            <w:vAlign w:val="center"/>
          </w:tcPr>
          <w:p w14:paraId="433961D0"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0.18 [0.15, 0.21]</w:t>
            </w:r>
          </w:p>
        </w:tc>
        <w:tc>
          <w:tcPr>
            <w:tcW w:w="1712" w:type="dxa"/>
            <w:tcBorders>
              <w:top w:val="none" w:sz="0" w:space="0" w:color="000000"/>
              <w:left w:val="none" w:sz="0" w:space="0" w:color="000000"/>
              <w:bottom w:val="none" w:sz="0" w:space="0" w:color="000000"/>
              <w:right w:val="none" w:sz="0" w:space="0" w:color="000000"/>
            </w:tcBorders>
            <w:shd w:val="clear" w:color="auto" w:fill="C84B22"/>
            <w:tcMar>
              <w:top w:w="0" w:type="dxa"/>
              <w:left w:w="0" w:type="dxa"/>
              <w:bottom w:w="0" w:type="dxa"/>
              <w:right w:w="0" w:type="dxa"/>
            </w:tcMar>
            <w:vAlign w:val="center"/>
          </w:tcPr>
          <w:p w14:paraId="0B6A3B70"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0.21 [0.17, 0.25]</w:t>
            </w:r>
          </w:p>
        </w:tc>
        <w:tc>
          <w:tcPr>
            <w:tcW w:w="1712" w:type="dxa"/>
            <w:tcBorders>
              <w:top w:val="none" w:sz="0" w:space="0" w:color="000000"/>
              <w:left w:val="none" w:sz="0" w:space="0" w:color="000000"/>
              <w:bottom w:val="none" w:sz="0" w:space="0" w:color="000000"/>
              <w:right w:val="none" w:sz="0" w:space="0" w:color="000000"/>
            </w:tcBorders>
            <w:shd w:val="clear" w:color="auto" w:fill="5E2C97"/>
            <w:tcMar>
              <w:top w:w="0" w:type="dxa"/>
              <w:left w:w="0" w:type="dxa"/>
              <w:bottom w:w="0" w:type="dxa"/>
              <w:right w:w="0" w:type="dxa"/>
            </w:tcMar>
            <w:vAlign w:val="center"/>
          </w:tcPr>
          <w:p w14:paraId="0576E71F"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1.51 [1.40, 1.63]</w:t>
            </w:r>
          </w:p>
        </w:tc>
      </w:tr>
      <w:tr w:rsidR="00B11E0E" w14:paraId="59D73AB9" w14:textId="77777777">
        <w:trPr>
          <w:jc w:val="center"/>
        </w:trPr>
        <w:tc>
          <w:tcPr>
            <w:tcW w:w="2331"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4CDCC1" w14:textId="77777777" w:rsidR="00B11E0E" w:rsidRDefault="00B11E0E">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18"/>
                <w:szCs w:val="18"/>
              </w:rPr>
            </w:pPr>
          </w:p>
        </w:tc>
        <w:tc>
          <w:tcPr>
            <w:tcW w:w="2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BDB878"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18"/>
                <w:szCs w:val="18"/>
              </w:rPr>
            </w:pPr>
            <w:r>
              <w:rPr>
                <w:rFonts w:ascii="Helvetica" w:eastAsia="Helvetica" w:hAnsi="Helvetica" w:cs="Helvetica"/>
                <w:color w:val="000000"/>
                <w:sz w:val="18"/>
                <w:szCs w:val="18"/>
              </w:rPr>
              <w:t>Median feeding % per meal</w:t>
            </w:r>
          </w:p>
        </w:tc>
        <w:tc>
          <w:tcPr>
            <w:tcW w:w="1712" w:type="dxa"/>
            <w:tcBorders>
              <w:top w:val="none" w:sz="0" w:space="0" w:color="000000"/>
              <w:left w:val="none" w:sz="0" w:space="0" w:color="000000"/>
              <w:bottom w:val="none" w:sz="0" w:space="0" w:color="000000"/>
              <w:right w:val="none" w:sz="0" w:space="0" w:color="000000"/>
            </w:tcBorders>
            <w:shd w:val="clear" w:color="auto" w:fill="568654"/>
            <w:tcMar>
              <w:top w:w="0" w:type="dxa"/>
              <w:left w:w="0" w:type="dxa"/>
              <w:bottom w:w="0" w:type="dxa"/>
              <w:right w:w="0" w:type="dxa"/>
            </w:tcMar>
            <w:vAlign w:val="center"/>
          </w:tcPr>
          <w:p w14:paraId="735AC40F"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0.59 [0.53, 0.66]</w:t>
            </w:r>
          </w:p>
        </w:tc>
        <w:tc>
          <w:tcPr>
            <w:tcW w:w="1712" w:type="dxa"/>
            <w:tcBorders>
              <w:top w:val="none" w:sz="0" w:space="0" w:color="000000"/>
              <w:left w:val="none" w:sz="0" w:space="0" w:color="000000"/>
              <w:bottom w:val="none" w:sz="0" w:space="0" w:color="000000"/>
              <w:right w:val="none" w:sz="0" w:space="0" w:color="000000"/>
            </w:tcBorders>
            <w:shd w:val="clear" w:color="auto" w:fill="E3E8F5"/>
            <w:tcMar>
              <w:top w:w="0" w:type="dxa"/>
              <w:left w:w="0" w:type="dxa"/>
              <w:bottom w:w="0" w:type="dxa"/>
              <w:right w:w="0" w:type="dxa"/>
            </w:tcMar>
            <w:vAlign w:val="center"/>
          </w:tcPr>
          <w:p w14:paraId="7C206603"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0.09 [0.08, 0.10]</w:t>
            </w:r>
          </w:p>
        </w:tc>
        <w:tc>
          <w:tcPr>
            <w:tcW w:w="1712" w:type="dxa"/>
            <w:tcBorders>
              <w:top w:val="none" w:sz="0" w:space="0" w:color="000000"/>
              <w:left w:val="none" w:sz="0" w:space="0" w:color="000000"/>
              <w:bottom w:val="none" w:sz="0" w:space="0" w:color="000000"/>
              <w:right w:val="none" w:sz="0" w:space="0" w:color="000000"/>
            </w:tcBorders>
            <w:shd w:val="clear" w:color="auto" w:fill="C84921"/>
            <w:tcMar>
              <w:top w:w="0" w:type="dxa"/>
              <w:left w:w="0" w:type="dxa"/>
              <w:bottom w:w="0" w:type="dxa"/>
              <w:right w:w="0" w:type="dxa"/>
            </w:tcMar>
            <w:vAlign w:val="center"/>
          </w:tcPr>
          <w:p w14:paraId="01F676F5"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0.21 [0.17, 0.25]</w:t>
            </w:r>
          </w:p>
        </w:tc>
        <w:tc>
          <w:tcPr>
            <w:tcW w:w="1712" w:type="dxa"/>
            <w:tcBorders>
              <w:top w:val="none" w:sz="0" w:space="0" w:color="000000"/>
              <w:left w:val="none" w:sz="0" w:space="0" w:color="000000"/>
              <w:bottom w:val="none" w:sz="0" w:space="0" w:color="000000"/>
              <w:right w:val="none" w:sz="0" w:space="0" w:color="000000"/>
            </w:tcBorders>
            <w:shd w:val="clear" w:color="auto" w:fill="5D2A96"/>
            <w:tcMar>
              <w:top w:w="0" w:type="dxa"/>
              <w:left w:w="0" w:type="dxa"/>
              <w:bottom w:w="0" w:type="dxa"/>
              <w:right w:w="0" w:type="dxa"/>
            </w:tcMar>
            <w:vAlign w:val="center"/>
          </w:tcPr>
          <w:p w14:paraId="673E3DD6"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1.52 [1.40, 1.63]</w:t>
            </w:r>
          </w:p>
        </w:tc>
      </w:tr>
      <w:tr w:rsidR="00B11E0E" w14:paraId="177C19E9" w14:textId="77777777">
        <w:trPr>
          <w:jc w:val="center"/>
        </w:trPr>
        <w:tc>
          <w:tcPr>
            <w:tcW w:w="2331"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F49EFA"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18"/>
                <w:szCs w:val="18"/>
              </w:rPr>
            </w:pPr>
            <w:r>
              <w:rPr>
                <w:rFonts w:ascii="Helvetica" w:eastAsia="Helvetica" w:hAnsi="Helvetica" w:cs="Helvetica"/>
                <w:b/>
                <w:color w:val="000000"/>
                <w:sz w:val="18"/>
                <w:szCs w:val="18"/>
              </w:rPr>
              <w:t>Non-nutritive behavior</w:t>
            </w:r>
          </w:p>
        </w:tc>
        <w:tc>
          <w:tcPr>
            <w:tcW w:w="2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83B982"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18"/>
                <w:szCs w:val="18"/>
              </w:rPr>
            </w:pPr>
            <w:r>
              <w:rPr>
                <w:rFonts w:ascii="Helvetica" w:eastAsia="Helvetica" w:hAnsi="Helvetica" w:cs="Helvetica"/>
                <w:color w:val="000000"/>
                <w:sz w:val="18"/>
                <w:szCs w:val="18"/>
              </w:rPr>
              <w:t>Non-nutritive visits</w:t>
            </w:r>
          </w:p>
        </w:tc>
        <w:tc>
          <w:tcPr>
            <w:tcW w:w="1712" w:type="dxa"/>
            <w:tcBorders>
              <w:top w:val="none" w:sz="0" w:space="0" w:color="000000"/>
              <w:left w:val="none" w:sz="0" w:space="0" w:color="000000"/>
              <w:bottom w:val="none" w:sz="0" w:space="0" w:color="000000"/>
              <w:right w:val="none" w:sz="0" w:space="0" w:color="000000"/>
            </w:tcBorders>
            <w:shd w:val="clear" w:color="auto" w:fill="447943"/>
            <w:tcMar>
              <w:top w:w="0" w:type="dxa"/>
              <w:left w:w="0" w:type="dxa"/>
              <w:bottom w:w="0" w:type="dxa"/>
              <w:right w:w="0" w:type="dxa"/>
            </w:tcMar>
            <w:vAlign w:val="center"/>
          </w:tcPr>
          <w:p w14:paraId="5F707E27"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0.64 [0.58, 0.70]</w:t>
            </w:r>
          </w:p>
        </w:tc>
        <w:tc>
          <w:tcPr>
            <w:tcW w:w="1712" w:type="dxa"/>
            <w:tcBorders>
              <w:top w:val="none" w:sz="0" w:space="0" w:color="000000"/>
              <w:left w:val="none" w:sz="0" w:space="0" w:color="000000"/>
              <w:bottom w:val="none" w:sz="0" w:space="0" w:color="000000"/>
              <w:right w:val="none" w:sz="0" w:space="0" w:color="000000"/>
            </w:tcBorders>
            <w:shd w:val="clear" w:color="auto" w:fill="1A237E"/>
            <w:tcMar>
              <w:top w:w="0" w:type="dxa"/>
              <w:left w:w="0" w:type="dxa"/>
              <w:bottom w:w="0" w:type="dxa"/>
              <w:right w:w="0" w:type="dxa"/>
            </w:tcMar>
            <w:vAlign w:val="center"/>
          </w:tcPr>
          <w:p w14:paraId="79A47468"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0.53 [0.45, 0.61]</w:t>
            </w:r>
          </w:p>
        </w:tc>
        <w:tc>
          <w:tcPr>
            <w:tcW w:w="1712" w:type="dxa"/>
            <w:tcBorders>
              <w:top w:val="none" w:sz="0" w:space="0" w:color="000000"/>
              <w:left w:val="none" w:sz="0" w:space="0" w:color="000000"/>
              <w:bottom w:val="none" w:sz="0" w:space="0" w:color="000000"/>
              <w:right w:val="none" w:sz="0" w:space="0" w:color="000000"/>
            </w:tcBorders>
            <w:shd w:val="clear" w:color="auto" w:fill="CA4F26"/>
            <w:tcMar>
              <w:top w:w="0" w:type="dxa"/>
              <w:left w:w="0" w:type="dxa"/>
              <w:bottom w:w="0" w:type="dxa"/>
              <w:right w:w="0" w:type="dxa"/>
            </w:tcMar>
            <w:vAlign w:val="center"/>
          </w:tcPr>
          <w:p w14:paraId="3512BC9B"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0.21 [0.17, 0.24]</w:t>
            </w:r>
          </w:p>
        </w:tc>
        <w:tc>
          <w:tcPr>
            <w:tcW w:w="1712" w:type="dxa"/>
            <w:tcBorders>
              <w:top w:val="none" w:sz="0" w:space="0" w:color="000000"/>
              <w:left w:val="none" w:sz="0" w:space="0" w:color="000000"/>
              <w:bottom w:val="none" w:sz="0" w:space="0" w:color="000000"/>
              <w:right w:val="none" w:sz="0" w:space="0" w:color="000000"/>
            </w:tcBorders>
            <w:shd w:val="clear" w:color="auto" w:fill="62319A"/>
            <w:tcMar>
              <w:top w:w="0" w:type="dxa"/>
              <w:left w:w="0" w:type="dxa"/>
              <w:bottom w:w="0" w:type="dxa"/>
              <w:right w:w="0" w:type="dxa"/>
            </w:tcMar>
            <w:vAlign w:val="center"/>
          </w:tcPr>
          <w:p w14:paraId="2ADA65B2"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1.51 [1.40, 1.62]</w:t>
            </w:r>
          </w:p>
        </w:tc>
      </w:tr>
      <w:tr w:rsidR="00B11E0E" w14:paraId="3491B95D" w14:textId="77777777">
        <w:trPr>
          <w:jc w:val="center"/>
        </w:trPr>
        <w:tc>
          <w:tcPr>
            <w:tcW w:w="2331"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FAB49F" w14:textId="77777777" w:rsidR="00B11E0E" w:rsidRDefault="00B11E0E">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18"/>
                <w:szCs w:val="18"/>
              </w:rPr>
            </w:pPr>
          </w:p>
        </w:tc>
        <w:tc>
          <w:tcPr>
            <w:tcW w:w="2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EFFB59"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18"/>
                <w:szCs w:val="18"/>
              </w:rPr>
            </w:pPr>
            <w:r>
              <w:rPr>
                <w:rFonts w:ascii="Helvetica" w:eastAsia="Helvetica" w:hAnsi="Helvetica" w:cs="Helvetica"/>
                <w:color w:val="000000"/>
                <w:sz w:val="18"/>
                <w:szCs w:val="18"/>
              </w:rPr>
              <w:t>Median non-nutritive per meal</w:t>
            </w:r>
          </w:p>
        </w:tc>
        <w:tc>
          <w:tcPr>
            <w:tcW w:w="1712" w:type="dxa"/>
            <w:tcBorders>
              <w:top w:val="none" w:sz="0" w:space="0" w:color="000000"/>
              <w:left w:val="none" w:sz="0" w:space="0" w:color="000000"/>
              <w:bottom w:val="none" w:sz="0" w:space="0" w:color="000000"/>
              <w:right w:val="none" w:sz="0" w:space="0" w:color="000000"/>
            </w:tcBorders>
            <w:shd w:val="clear" w:color="auto" w:fill="649161"/>
            <w:tcMar>
              <w:top w:w="0" w:type="dxa"/>
              <w:left w:w="0" w:type="dxa"/>
              <w:bottom w:w="0" w:type="dxa"/>
              <w:right w:w="0" w:type="dxa"/>
            </w:tcMar>
            <w:vAlign w:val="center"/>
          </w:tcPr>
          <w:p w14:paraId="0B8A5908"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0.56 [0.49, 0.62]</w:t>
            </w:r>
          </w:p>
        </w:tc>
        <w:tc>
          <w:tcPr>
            <w:tcW w:w="1712" w:type="dxa"/>
            <w:tcBorders>
              <w:top w:val="none" w:sz="0" w:space="0" w:color="000000"/>
              <w:left w:val="none" w:sz="0" w:space="0" w:color="000000"/>
              <w:bottom w:val="none" w:sz="0" w:space="0" w:color="000000"/>
              <w:right w:val="none" w:sz="0" w:space="0" w:color="000000"/>
            </w:tcBorders>
            <w:shd w:val="clear" w:color="auto" w:fill="4A4495"/>
            <w:tcMar>
              <w:top w:w="0" w:type="dxa"/>
              <w:left w:w="0" w:type="dxa"/>
              <w:bottom w:w="0" w:type="dxa"/>
              <w:right w:w="0" w:type="dxa"/>
            </w:tcMar>
            <w:vAlign w:val="center"/>
          </w:tcPr>
          <w:p w14:paraId="55863743"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0.44 [0.38, 0.51]</w:t>
            </w:r>
          </w:p>
        </w:tc>
        <w:tc>
          <w:tcPr>
            <w:tcW w:w="1712" w:type="dxa"/>
            <w:tcBorders>
              <w:top w:val="none" w:sz="0" w:space="0" w:color="000000"/>
              <w:left w:val="none" w:sz="0" w:space="0" w:color="000000"/>
              <w:bottom w:val="none" w:sz="0" w:space="0" w:color="000000"/>
              <w:right w:val="none" w:sz="0" w:space="0" w:color="000000"/>
            </w:tcBorders>
            <w:shd w:val="clear" w:color="auto" w:fill="FFF3E0"/>
            <w:tcMar>
              <w:top w:w="0" w:type="dxa"/>
              <w:left w:w="0" w:type="dxa"/>
              <w:bottom w:w="0" w:type="dxa"/>
              <w:right w:w="0" w:type="dxa"/>
            </w:tcMar>
            <w:vAlign w:val="center"/>
          </w:tcPr>
          <w:p w14:paraId="1902D764"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0.08 [0.05, 0.11]</w:t>
            </w:r>
          </w:p>
        </w:tc>
        <w:tc>
          <w:tcPr>
            <w:tcW w:w="1712" w:type="dxa"/>
            <w:tcBorders>
              <w:top w:val="none" w:sz="0" w:space="0" w:color="000000"/>
              <w:left w:val="none" w:sz="0" w:space="0" w:color="000000"/>
              <w:bottom w:val="none" w:sz="0" w:space="0" w:color="000000"/>
              <w:right w:val="none" w:sz="0" w:space="0" w:color="000000"/>
            </w:tcBorders>
            <w:shd w:val="clear" w:color="auto" w:fill="F3E5F5"/>
            <w:tcMar>
              <w:top w:w="0" w:type="dxa"/>
              <w:left w:w="0" w:type="dxa"/>
              <w:bottom w:w="0" w:type="dxa"/>
              <w:right w:w="0" w:type="dxa"/>
            </w:tcMar>
            <w:vAlign w:val="center"/>
          </w:tcPr>
          <w:p w14:paraId="1D0DC6D6"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1.17 [1.11, 1.24]</w:t>
            </w:r>
          </w:p>
        </w:tc>
      </w:tr>
      <w:tr w:rsidR="00B11E0E" w14:paraId="3F378CB2" w14:textId="77777777">
        <w:trPr>
          <w:jc w:val="center"/>
        </w:trPr>
        <w:tc>
          <w:tcPr>
            <w:tcW w:w="2331" w:type="dxa"/>
            <w:vMerge w:val="restar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580F269"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18"/>
                <w:szCs w:val="18"/>
              </w:rPr>
            </w:pPr>
            <w:r>
              <w:rPr>
                <w:rFonts w:ascii="Helvetica" w:eastAsia="Helvetica" w:hAnsi="Helvetica" w:cs="Helvetica"/>
                <w:b/>
                <w:color w:val="000000"/>
                <w:sz w:val="18"/>
                <w:szCs w:val="18"/>
              </w:rPr>
              <w:t>Social dominance</w:t>
            </w:r>
          </w:p>
        </w:tc>
        <w:tc>
          <w:tcPr>
            <w:tcW w:w="2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086E0"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18"/>
                <w:szCs w:val="18"/>
              </w:rPr>
            </w:pPr>
            <w:r>
              <w:rPr>
                <w:rFonts w:ascii="Helvetica" w:eastAsia="Helvetica" w:hAnsi="Helvetica" w:cs="Helvetica"/>
                <w:color w:val="000000"/>
                <w:sz w:val="18"/>
                <w:szCs w:val="18"/>
              </w:rPr>
              <w:t>Total actor events</w:t>
            </w:r>
          </w:p>
        </w:tc>
        <w:tc>
          <w:tcPr>
            <w:tcW w:w="1712" w:type="dxa"/>
            <w:tcBorders>
              <w:top w:val="none" w:sz="0" w:space="0" w:color="000000"/>
              <w:left w:val="none" w:sz="0" w:space="0" w:color="000000"/>
              <w:bottom w:val="none" w:sz="0" w:space="0" w:color="000000"/>
              <w:right w:val="none" w:sz="0" w:space="0" w:color="000000"/>
            </w:tcBorders>
            <w:shd w:val="clear" w:color="auto" w:fill="79A076"/>
            <w:tcMar>
              <w:top w:w="0" w:type="dxa"/>
              <w:left w:w="0" w:type="dxa"/>
              <w:bottom w:w="0" w:type="dxa"/>
              <w:right w:w="0" w:type="dxa"/>
            </w:tcMar>
            <w:vAlign w:val="center"/>
          </w:tcPr>
          <w:p w14:paraId="16A32C53"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0.50 [0.43, 0.57]</w:t>
            </w:r>
          </w:p>
        </w:tc>
        <w:tc>
          <w:tcPr>
            <w:tcW w:w="1712" w:type="dxa"/>
            <w:tcBorders>
              <w:top w:val="none" w:sz="0" w:space="0" w:color="000000"/>
              <w:left w:val="none" w:sz="0" w:space="0" w:color="000000"/>
              <w:bottom w:val="none" w:sz="0" w:space="0" w:color="000000"/>
              <w:right w:val="none" w:sz="0" w:space="0" w:color="000000"/>
            </w:tcBorders>
            <w:shd w:val="clear" w:color="auto" w:fill="3F3B8E"/>
            <w:tcMar>
              <w:top w:w="0" w:type="dxa"/>
              <w:left w:w="0" w:type="dxa"/>
              <w:bottom w:w="0" w:type="dxa"/>
              <w:right w:w="0" w:type="dxa"/>
            </w:tcMar>
            <w:vAlign w:val="center"/>
          </w:tcPr>
          <w:p w14:paraId="0CE823AD"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0.47 [0.40, 0.54]</w:t>
            </w:r>
          </w:p>
        </w:tc>
        <w:tc>
          <w:tcPr>
            <w:tcW w:w="1712" w:type="dxa"/>
            <w:tcBorders>
              <w:top w:val="none" w:sz="0" w:space="0" w:color="000000"/>
              <w:left w:val="none" w:sz="0" w:space="0" w:color="000000"/>
              <w:bottom w:val="none" w:sz="0" w:space="0" w:color="000000"/>
              <w:right w:val="none" w:sz="0" w:space="0" w:color="000000"/>
            </w:tcBorders>
            <w:shd w:val="clear" w:color="auto" w:fill="C44219"/>
            <w:tcMar>
              <w:top w:w="0" w:type="dxa"/>
              <w:left w:w="0" w:type="dxa"/>
              <w:bottom w:w="0" w:type="dxa"/>
              <w:right w:w="0" w:type="dxa"/>
            </w:tcMar>
            <w:vAlign w:val="center"/>
          </w:tcPr>
          <w:p w14:paraId="40AD6E2D"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0.22 [0.18, 0.25]</w:t>
            </w:r>
          </w:p>
        </w:tc>
        <w:tc>
          <w:tcPr>
            <w:tcW w:w="1712" w:type="dxa"/>
            <w:tcBorders>
              <w:top w:val="none" w:sz="0" w:space="0" w:color="000000"/>
              <w:left w:val="none" w:sz="0" w:space="0" w:color="000000"/>
              <w:bottom w:val="none" w:sz="0" w:space="0" w:color="000000"/>
              <w:right w:val="none" w:sz="0" w:space="0" w:color="000000"/>
            </w:tcBorders>
            <w:shd w:val="clear" w:color="auto" w:fill="562292"/>
            <w:tcMar>
              <w:top w:w="0" w:type="dxa"/>
              <w:left w:w="0" w:type="dxa"/>
              <w:bottom w:w="0" w:type="dxa"/>
              <w:right w:w="0" w:type="dxa"/>
            </w:tcMar>
            <w:vAlign w:val="center"/>
          </w:tcPr>
          <w:p w14:paraId="58689561"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1.53 [1.42, 1.65]</w:t>
            </w:r>
          </w:p>
        </w:tc>
      </w:tr>
      <w:tr w:rsidR="00B11E0E" w14:paraId="24972D68" w14:textId="77777777">
        <w:trPr>
          <w:jc w:val="center"/>
        </w:trPr>
        <w:tc>
          <w:tcPr>
            <w:tcW w:w="2331"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11D5610" w14:textId="77777777" w:rsidR="00B11E0E" w:rsidRDefault="00B11E0E">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18"/>
                <w:szCs w:val="18"/>
              </w:rPr>
            </w:pPr>
          </w:p>
        </w:tc>
        <w:tc>
          <w:tcPr>
            <w:tcW w:w="279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7B9600"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18"/>
                <w:szCs w:val="18"/>
              </w:rPr>
            </w:pPr>
            <w:r>
              <w:rPr>
                <w:rFonts w:ascii="Helvetica" w:eastAsia="Helvetica" w:hAnsi="Helvetica" w:cs="Helvetica"/>
                <w:color w:val="000000"/>
                <w:sz w:val="18"/>
                <w:szCs w:val="18"/>
              </w:rPr>
              <w:t>Total reactor events</w:t>
            </w:r>
          </w:p>
        </w:tc>
        <w:tc>
          <w:tcPr>
            <w:tcW w:w="1712" w:type="dxa"/>
            <w:tcBorders>
              <w:top w:val="none" w:sz="0" w:space="0" w:color="000000"/>
              <w:left w:val="none" w:sz="0" w:space="0" w:color="000000"/>
              <w:bottom w:val="single" w:sz="12" w:space="0" w:color="666666"/>
              <w:right w:val="none" w:sz="0" w:space="0" w:color="000000"/>
            </w:tcBorders>
            <w:shd w:val="clear" w:color="auto" w:fill="90B28D"/>
            <w:tcMar>
              <w:top w:w="0" w:type="dxa"/>
              <w:left w:w="0" w:type="dxa"/>
              <w:bottom w:w="0" w:type="dxa"/>
              <w:right w:w="0" w:type="dxa"/>
            </w:tcMar>
            <w:vAlign w:val="center"/>
          </w:tcPr>
          <w:p w14:paraId="3936774F"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0.44 [0.37, 0.51]</w:t>
            </w:r>
          </w:p>
        </w:tc>
        <w:tc>
          <w:tcPr>
            <w:tcW w:w="1712" w:type="dxa"/>
            <w:tcBorders>
              <w:top w:val="none" w:sz="0" w:space="0" w:color="000000"/>
              <w:left w:val="none" w:sz="0" w:space="0" w:color="000000"/>
              <w:bottom w:val="single" w:sz="12" w:space="0" w:color="666666"/>
              <w:right w:val="none" w:sz="0" w:space="0" w:color="000000"/>
            </w:tcBorders>
            <w:shd w:val="clear" w:color="auto" w:fill="6961A7"/>
            <w:tcMar>
              <w:top w:w="0" w:type="dxa"/>
              <w:left w:w="0" w:type="dxa"/>
              <w:bottom w:w="0" w:type="dxa"/>
              <w:right w:w="0" w:type="dxa"/>
            </w:tcMar>
            <w:vAlign w:val="center"/>
          </w:tcPr>
          <w:p w14:paraId="798BEE88"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0.38 [0.32, 0.43]</w:t>
            </w:r>
          </w:p>
        </w:tc>
        <w:tc>
          <w:tcPr>
            <w:tcW w:w="1712" w:type="dxa"/>
            <w:tcBorders>
              <w:top w:val="none" w:sz="0" w:space="0" w:color="000000"/>
              <w:left w:val="none" w:sz="0" w:space="0" w:color="000000"/>
              <w:bottom w:val="single" w:sz="12" w:space="0" w:color="666666"/>
              <w:right w:val="none" w:sz="0" w:space="0" w:color="000000"/>
            </w:tcBorders>
            <w:shd w:val="clear" w:color="auto" w:fill="E99673"/>
            <w:tcMar>
              <w:top w:w="0" w:type="dxa"/>
              <w:left w:w="0" w:type="dxa"/>
              <w:bottom w:w="0" w:type="dxa"/>
              <w:right w:w="0" w:type="dxa"/>
            </w:tcMar>
            <w:vAlign w:val="center"/>
          </w:tcPr>
          <w:p w14:paraId="084AD9A3"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000000"/>
                <w:sz w:val="18"/>
                <w:szCs w:val="18"/>
              </w:rPr>
            </w:pPr>
            <w:r>
              <w:rPr>
                <w:rFonts w:ascii="Helvetica" w:eastAsia="Helvetica" w:hAnsi="Helvetica" w:cs="Helvetica"/>
                <w:color w:val="000000"/>
                <w:sz w:val="18"/>
                <w:szCs w:val="18"/>
              </w:rPr>
              <w:t>0.15 [0.12, 0.19]</w:t>
            </w:r>
          </w:p>
        </w:tc>
        <w:tc>
          <w:tcPr>
            <w:tcW w:w="1712" w:type="dxa"/>
            <w:tcBorders>
              <w:top w:val="none" w:sz="0" w:space="0" w:color="000000"/>
              <w:left w:val="none" w:sz="0" w:space="0" w:color="000000"/>
              <w:bottom w:val="single" w:sz="12" w:space="0" w:color="666666"/>
              <w:right w:val="none" w:sz="0" w:space="0" w:color="000000"/>
            </w:tcBorders>
            <w:shd w:val="clear" w:color="auto" w:fill="A681C3"/>
            <w:tcMar>
              <w:top w:w="0" w:type="dxa"/>
              <w:left w:w="0" w:type="dxa"/>
              <w:bottom w:w="0" w:type="dxa"/>
              <w:right w:w="0" w:type="dxa"/>
            </w:tcMar>
            <w:vAlign w:val="center"/>
          </w:tcPr>
          <w:p w14:paraId="3A8BE9DA"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color w:val="FFFFFF"/>
                <w:sz w:val="18"/>
                <w:szCs w:val="18"/>
              </w:rPr>
            </w:pPr>
            <w:r>
              <w:rPr>
                <w:rFonts w:ascii="Helvetica" w:eastAsia="Helvetica" w:hAnsi="Helvetica" w:cs="Helvetica"/>
                <w:color w:val="FFFFFF"/>
                <w:sz w:val="18"/>
                <w:szCs w:val="18"/>
              </w:rPr>
              <w:t>1.35 [1.27, 1.44]</w:t>
            </w:r>
          </w:p>
        </w:tc>
      </w:tr>
    </w:tbl>
    <w:p w14:paraId="56B5C71F" w14:textId="77777777" w:rsidR="00B11E0E" w:rsidRDefault="00B11E0E">
      <w:pPr>
        <w:sectPr w:rsidR="00B11E0E">
          <w:pgSz w:w="15840" w:h="12240" w:orient="landscape"/>
          <w:pgMar w:top="1440" w:right="1440" w:bottom="1440" w:left="1440" w:header="720" w:footer="720" w:gutter="0"/>
          <w:cols w:space="720"/>
        </w:sectPr>
      </w:pPr>
    </w:p>
    <w:p w14:paraId="16A4D006" w14:textId="77777777" w:rsidR="00B11E0E" w:rsidRDefault="00B11E0E">
      <w:pPr>
        <w:pStyle w:val="BodyText"/>
      </w:pPr>
    </w:p>
    <w:p w14:paraId="4BCD2EE6" w14:textId="77777777" w:rsidR="00B11E0E" w:rsidRDefault="00B11E0E">
      <w:pPr>
        <w:pStyle w:val="BodyText"/>
      </w:pPr>
    </w:p>
    <w:tbl>
      <w:tblPr>
        <w:tblStyle w:val="Table"/>
        <w:tblW w:w="5000" w:type="pct"/>
        <w:tblLayout w:type="fixed"/>
        <w:tblLook w:val="0000" w:firstRow="0" w:lastRow="0" w:firstColumn="0" w:lastColumn="0" w:noHBand="0" w:noVBand="0"/>
      </w:tblPr>
      <w:tblGrid>
        <w:gridCol w:w="9576"/>
      </w:tblGrid>
      <w:tr w:rsidR="00B11E0E" w14:paraId="36103A13" w14:textId="77777777">
        <w:tc>
          <w:tcPr>
            <w:tcW w:w="7920" w:type="dxa"/>
          </w:tcPr>
          <w:p w14:paraId="198D1AA7" w14:textId="77777777" w:rsidR="00B11E0E" w:rsidRDefault="00000000">
            <w:pPr>
              <w:pStyle w:val="Compact"/>
              <w:jc w:val="center"/>
            </w:pPr>
            <w:bookmarkStart w:id="10" w:name="fig-rep-cvp-scatter"/>
            <w:bookmarkStart w:id="11" w:name="cell-fig-rep-cvp-scatter"/>
            <w:r>
              <w:rPr>
                <w:noProof/>
              </w:rPr>
              <w:drawing>
                <wp:inline distT="0" distB="0" distL="0" distR="0" wp14:anchorId="2F7FBE97" wp14:editId="52BF8185">
                  <wp:extent cx="5943600" cy="2701636"/>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results/14_individual_traits/ellipse_scatter_grid_AB.png"/>
                          <pic:cNvPicPr>
                            <a:picLocks noChangeAspect="1" noChangeArrowheads="1"/>
                          </pic:cNvPicPr>
                        </pic:nvPicPr>
                        <pic:blipFill>
                          <a:blip r:embed="rId12"/>
                          <a:stretch>
                            <a:fillRect/>
                          </a:stretch>
                        </pic:blipFill>
                        <pic:spPr bwMode="auto">
                          <a:xfrm>
                            <a:off x="0" y="0"/>
                            <a:ext cx="5943600" cy="2701636"/>
                          </a:xfrm>
                          <a:prstGeom prst="rect">
                            <a:avLst/>
                          </a:prstGeom>
                          <a:noFill/>
                          <a:ln w="9525">
                            <a:noFill/>
                            <a:headEnd/>
                            <a:tailEnd/>
                          </a:ln>
                        </pic:spPr>
                      </pic:pic>
                    </a:graphicData>
                  </a:graphic>
                </wp:inline>
              </w:drawing>
            </w:r>
          </w:p>
          <w:p w14:paraId="55443E20" w14:textId="77777777" w:rsidR="00B11E0E" w:rsidRDefault="00000000">
            <w:pPr>
              <w:pStyle w:val="ImageCaption"/>
              <w:spacing w:before="200"/>
            </w:pPr>
            <w:r>
              <w:t>Figure 1: Between- and within-individual variation in the 16 behavioral variables. (A) Repeatability (R) vs coefficient of individual variation (CVi). (B) Coefficient of variation of predictability (CVP) vs CVi. Each point is a behavioral variable; ellipses show 95% credible intervals on both axes. Points are coloured by the 3-cluster k-means solution of Section 4.3 (Cluster 1 = high R, high CVi; Cluster 2 = high R, low CVi; Cluster 3 = low R, low CVi). Point shape distinguishes the likelihood family used for the mixed model.</w:t>
            </w:r>
          </w:p>
        </w:tc>
        <w:bookmarkEnd w:id="10"/>
      </w:tr>
      <w:bookmarkEnd w:id="11"/>
    </w:tbl>
    <w:p w14:paraId="2790CCB0" w14:textId="77777777" w:rsidR="00B11E0E" w:rsidRDefault="00B11E0E">
      <w:pPr>
        <w:pStyle w:val="BodyText"/>
      </w:pPr>
    </w:p>
    <w:p w14:paraId="790930FC" w14:textId="77777777" w:rsidR="00B11E0E" w:rsidRDefault="00000000">
      <w:pPr>
        <w:pStyle w:val="Heading2"/>
      </w:pPr>
      <w:bookmarkStart w:id="12" w:name="X857bc80184dc77d076ea7728b0a447ef6e74b84"/>
      <w:bookmarkEnd w:id="9"/>
      <w:r>
        <w:t>4.2 Within-Individual Variation: Predictability</w:t>
      </w:r>
    </w:p>
    <w:p w14:paraId="70A92476" w14:textId="77777777" w:rsidR="00B11E0E" w:rsidRDefault="00000000">
      <w:pPr>
        <w:pStyle w:val="FirstParagraph"/>
      </w:pPr>
      <w:r>
        <w:t>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14:paraId="23E8B8E2" w14:textId="77777777" w:rsidR="00B11E0E" w:rsidRDefault="00000000">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behaviors at a similar level of behvioral consistency within themselves aross different days, and cows differed little from one another in how predictable they were. The corresponding rIIV values indicate that the least-predictable cows showed only about 1.2 times more variable than most-predictable cows for these behaviors.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 consistency: some cows were more </w:t>
      </w:r>
      <w:r>
        <w:lastRenderedPageBreak/>
        <w:t xml:space="preserve">consistent than others in these behaviors, with the least-predictable cows being roughly 1.5 times as more variable than the most-predictable cows. Nevertheless, all 16 variables displayed relatively low CVP and rIIV values overall. As shown in </w:t>
      </w:r>
      <w:hyperlink w:anchor="fig-rep-cvp-scatter">
        <w:r>
          <w:rPr>
            <w:rStyle w:val="Hyperlink"/>
          </w:rPr>
          <w:t>Figure 1</w:t>
        </w:r>
      </w:hyperlink>
      <w:r>
        <w:t xml:space="preserve"> B, distinguishing among the 16 variables based on CVP alone is difficult, as they cluster within a narrow range of CVP ≤ 0.22.</w:t>
      </w:r>
    </w:p>
    <w:p w14:paraId="32096CE0" w14:textId="77777777" w:rsidR="00B11E0E" w:rsidRDefault="00000000">
      <w:pPr>
        <w:pStyle w:val="Heading2"/>
      </w:pPr>
      <w:bookmarkStart w:id="13" w:name="classifying-behavioral-variables"/>
      <w:bookmarkEnd w:id="12"/>
      <w:r>
        <w:t>4.3 Classifying Behavioral Variables</w:t>
      </w:r>
    </w:p>
    <w:p w14:paraId="2EA29EC0" w14:textId="77777777" w:rsidR="00B11E0E" w:rsidRDefault="00000000">
      <w:pPr>
        <w:pStyle w:val="FirstParagraph"/>
      </w:pPr>
      <w:r>
        <w:t>We grouped the 16 variables into 3 clusters based on their R and CVi values using K-means (</w:t>
      </w:r>
      <w:hyperlink w:anchor="fig-rep-cvp-scatter">
        <w:r>
          <w:rPr>
            <w:rStyle w:val="Hyperlink"/>
          </w:rPr>
          <w:t>Figure 1</w:t>
        </w:r>
      </w:hyperlink>
      <w:r>
        <w:t xml:space="preserve"> A).</w:t>
      </w:r>
    </w:p>
    <w:p w14:paraId="2FB0E944" w14:textId="77777777" w:rsidR="00B11E0E" w:rsidRDefault="00000000">
      <w:pPr>
        <w:pStyle w:val="BodyText"/>
      </w:pPr>
      <w:r>
        <w:rPr>
          <w:b/>
          <w:bCs/>
        </w:rPr>
        <w:t>Behavior Cluster 1 — high R, high CVi</w:t>
      </w:r>
      <w:r>
        <w:t xml:space="preserve"> contained 8 variables: number of non nutritive visits, total actor, median non nutritive per meal, water duration, total reactor, median visit per meal, feed visits, water visits. Cows in this cluster differed widely from one another in their average behavioral expression, and these differences remained stable over time. In other words, each cow had a distinctive and repeatable behavioural signature. These variables are the most useful for characterising individual behavioural profiles.</w:t>
      </w:r>
    </w:p>
    <w:p w14:paraId="30F1B46A" w14:textId="77777777" w:rsidR="00B11E0E" w:rsidRDefault="00000000">
      <w:pPr>
        <w:pStyle w:val="BodyText"/>
      </w:pPr>
      <w:r>
        <w:rPr>
          <w:b/>
          <w:bCs/>
        </w:rPr>
        <w:t>Behavior Cluster 2 — high R, low CVi</w:t>
      </w:r>
      <w:r>
        <w:t xml:space="preserve"> contained 3 variables: feed duration, water intake, median feeding pct per meal. Individual differences were again consistent over time, but the spread of individual differences across the herd was narrow relative to the herd mean.</w:t>
      </w:r>
    </w:p>
    <w:p w14:paraId="43A310C3" w14:textId="77777777" w:rsidR="00B11E0E" w:rsidRDefault="00000000">
      <w:pPr>
        <w:pStyle w:val="BodyText"/>
      </w:pPr>
      <w:r>
        <w:rPr>
          <w:b/>
          <w:bCs/>
        </w:rPr>
        <w:t>Behavior Cluster 3 — low R, low CVi</w:t>
      </w:r>
      <w:r>
        <w:t xml:space="preserve"> contained 5 variables: median meal duration, median intake per meal, total meals, median pct feed remaining,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tendencies.</w:t>
      </w:r>
    </w:p>
    <w:p w14:paraId="61C6E2E7" w14:textId="77777777" w:rsidR="00B11E0E" w:rsidRDefault="00000000">
      <w:pPr>
        <w:pStyle w:val="Heading2"/>
      </w:pPr>
      <w:bookmarkStart w:id="14" w:name="identifying-cow-types-via-pca"/>
      <w:bookmarkEnd w:id="13"/>
      <w:r>
        <w:t>4.4 Identifying Cow Types via PCA</w:t>
      </w:r>
    </w:p>
    <w:p w14:paraId="25FB9E7F" w14:textId="77777777" w:rsidR="00B11E0E" w:rsidRDefault="00000000">
      <w:pPr>
        <w:pStyle w:val="FirstParagraph"/>
      </w:pPr>
      <w:r>
        <w:t xml:space="preserve">We applied PCA with varimax rotation to the intercepts (average individual cow’s behaviour expression) of the 8 Behavior Cluster 1 variables. 3 components were retained to meet the ≥80% cumulative-variance criterion, together explaining 86.1% of the total variance (Table 2, </w:t>
      </w:r>
      <w:hyperlink w:anchor="fig-pca-biplots">
        <w:r>
          <w:rPr>
            <w:rStyle w:val="Hyperlink"/>
          </w:rPr>
          <w:t>Figure 2</w:t>
        </w:r>
      </w:hyperlink>
      <w:r>
        <w:t>). Rotated Component (RC) 1 explained the largest share of variance (51.6%), driven primarily by non-nutritive behavior and feeding patterns. RC2 explained 21.3% of variance and was most strongly associated with drinking patterns. RC3 captured the remaining variance, primarily related to agonistic behavior (actor and reactor events).</w:t>
      </w:r>
    </w:p>
    <w:p w14:paraId="40FC3B2A" w14:textId="77777777" w:rsidR="00B11E0E" w:rsidRDefault="00B11E0E">
      <w:pPr>
        <w:pStyle w:val="BodyText"/>
      </w:pPr>
    </w:p>
    <w:p w14:paraId="2776899C" w14:textId="77777777" w:rsidR="00B11E0E" w:rsidRDefault="00000000">
      <w:pPr>
        <w:pStyle w:val="BodyText"/>
      </w:pPr>
      <w:r>
        <w:rPr>
          <w:b/>
          <w:bCs/>
        </w:rPr>
        <w:t>Table 2.</w:t>
      </w:r>
      <w:r>
        <w:t xml:space="preserve"> Varimax-rotated PCA loadings for the 8 Behavior Cluster-1 intercept variables.</w:t>
      </w:r>
    </w:p>
    <w:tbl>
      <w:tblPr>
        <w:tblW w:w="0" w:type="auto"/>
        <w:jc w:val="center"/>
        <w:tblLayout w:type="fixed"/>
        <w:tblLook w:val="0420" w:firstRow="1" w:lastRow="0" w:firstColumn="0" w:lastColumn="0" w:noHBand="0" w:noVBand="1"/>
      </w:tblPr>
      <w:tblGrid>
        <w:gridCol w:w="3045"/>
        <w:gridCol w:w="867"/>
        <w:gridCol w:w="867"/>
        <w:gridCol w:w="867"/>
      </w:tblGrid>
      <w:tr w:rsidR="00B11E0E" w14:paraId="64F6D53F" w14:textId="77777777">
        <w:trPr>
          <w:tblHeader/>
          <w:jc w:val="center"/>
        </w:trPr>
        <w:tc>
          <w:tcPr>
            <w:tcW w:w="3045" w:type="dxa"/>
            <w:tcBorders>
              <w:top w:val="single" w:sz="12" w:space="0" w:color="666666"/>
              <w:left w:val="none" w:sz="0" w:space="0" w:color="000000"/>
              <w:bottom w:val="single" w:sz="12" w:space="0" w:color="666666"/>
              <w:right w:val="none" w:sz="0" w:space="0" w:color="000000"/>
            </w:tcBorders>
            <w:shd w:val="clear" w:color="auto" w:fill="1F3A93"/>
            <w:tcMar>
              <w:top w:w="0" w:type="dxa"/>
              <w:left w:w="0" w:type="dxa"/>
              <w:bottom w:w="0" w:type="dxa"/>
              <w:right w:w="0" w:type="dxa"/>
            </w:tcMar>
            <w:vAlign w:val="center"/>
          </w:tcPr>
          <w:p w14:paraId="0989E6DD"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b/>
                <w:color w:val="FFFFFF"/>
                <w:sz w:val="20"/>
                <w:szCs w:val="20"/>
              </w:rPr>
            </w:pPr>
            <w:r>
              <w:rPr>
                <w:rFonts w:ascii="Helvetica" w:eastAsia="Helvetica" w:hAnsi="Helvetica" w:cs="Helvetica"/>
                <w:b/>
                <w:color w:val="FFFFFF"/>
                <w:sz w:val="20"/>
                <w:szCs w:val="20"/>
              </w:rPr>
              <w:t>Variable</w:t>
            </w:r>
          </w:p>
        </w:tc>
        <w:tc>
          <w:tcPr>
            <w:tcW w:w="867" w:type="dxa"/>
            <w:tcBorders>
              <w:top w:val="single" w:sz="12" w:space="0" w:color="666666"/>
              <w:left w:val="none" w:sz="0" w:space="0" w:color="000000"/>
              <w:bottom w:val="single" w:sz="12" w:space="0" w:color="666666"/>
              <w:right w:val="none" w:sz="0" w:space="0" w:color="000000"/>
            </w:tcBorders>
            <w:shd w:val="clear" w:color="auto" w:fill="1F3A93"/>
            <w:tcMar>
              <w:top w:w="0" w:type="dxa"/>
              <w:left w:w="0" w:type="dxa"/>
              <w:bottom w:w="0" w:type="dxa"/>
              <w:right w:w="0" w:type="dxa"/>
            </w:tcMar>
            <w:vAlign w:val="center"/>
          </w:tcPr>
          <w:p w14:paraId="0A6A60D0"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b/>
                <w:color w:val="FFFFFF"/>
                <w:sz w:val="20"/>
                <w:szCs w:val="20"/>
              </w:rPr>
            </w:pPr>
            <w:r>
              <w:rPr>
                <w:rFonts w:ascii="Helvetica" w:eastAsia="Helvetica" w:hAnsi="Helvetica" w:cs="Helvetica"/>
                <w:b/>
                <w:color w:val="FFFFFF"/>
                <w:sz w:val="20"/>
                <w:szCs w:val="20"/>
              </w:rPr>
              <w:t>RC1</w:t>
            </w:r>
          </w:p>
        </w:tc>
        <w:tc>
          <w:tcPr>
            <w:tcW w:w="867" w:type="dxa"/>
            <w:tcBorders>
              <w:top w:val="single" w:sz="12" w:space="0" w:color="666666"/>
              <w:left w:val="none" w:sz="0" w:space="0" w:color="000000"/>
              <w:bottom w:val="single" w:sz="12" w:space="0" w:color="666666"/>
              <w:right w:val="none" w:sz="0" w:space="0" w:color="000000"/>
            </w:tcBorders>
            <w:shd w:val="clear" w:color="auto" w:fill="1F3A93"/>
            <w:tcMar>
              <w:top w:w="0" w:type="dxa"/>
              <w:left w:w="0" w:type="dxa"/>
              <w:bottom w:w="0" w:type="dxa"/>
              <w:right w:w="0" w:type="dxa"/>
            </w:tcMar>
            <w:vAlign w:val="center"/>
          </w:tcPr>
          <w:p w14:paraId="2E10CBB4"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b/>
                <w:color w:val="FFFFFF"/>
                <w:sz w:val="20"/>
                <w:szCs w:val="20"/>
              </w:rPr>
            </w:pPr>
            <w:r>
              <w:rPr>
                <w:rFonts w:ascii="Helvetica" w:eastAsia="Helvetica" w:hAnsi="Helvetica" w:cs="Helvetica"/>
                <w:b/>
                <w:color w:val="FFFFFF"/>
                <w:sz w:val="20"/>
                <w:szCs w:val="20"/>
              </w:rPr>
              <w:t>RC2</w:t>
            </w:r>
          </w:p>
        </w:tc>
        <w:tc>
          <w:tcPr>
            <w:tcW w:w="867" w:type="dxa"/>
            <w:tcBorders>
              <w:top w:val="single" w:sz="12" w:space="0" w:color="666666"/>
              <w:left w:val="none" w:sz="0" w:space="0" w:color="000000"/>
              <w:bottom w:val="single" w:sz="12" w:space="0" w:color="666666"/>
              <w:right w:val="none" w:sz="0" w:space="0" w:color="000000"/>
            </w:tcBorders>
            <w:shd w:val="clear" w:color="auto" w:fill="1F3A93"/>
            <w:tcMar>
              <w:top w:w="0" w:type="dxa"/>
              <w:left w:w="0" w:type="dxa"/>
              <w:bottom w:w="0" w:type="dxa"/>
              <w:right w:w="0" w:type="dxa"/>
            </w:tcMar>
            <w:vAlign w:val="center"/>
          </w:tcPr>
          <w:p w14:paraId="55637E73"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Helvetica" w:eastAsia="Helvetica" w:hAnsi="Helvetica" w:cs="Helvetica"/>
                <w:b/>
                <w:color w:val="FFFFFF"/>
                <w:sz w:val="20"/>
                <w:szCs w:val="20"/>
              </w:rPr>
            </w:pPr>
            <w:r>
              <w:rPr>
                <w:rFonts w:ascii="Helvetica" w:eastAsia="Helvetica" w:hAnsi="Helvetica" w:cs="Helvetica"/>
                <w:b/>
                <w:color w:val="FFFFFF"/>
                <w:sz w:val="20"/>
                <w:szCs w:val="20"/>
              </w:rPr>
              <w:t>RC3</w:t>
            </w:r>
          </w:p>
        </w:tc>
      </w:tr>
      <w:tr w:rsidR="00B11E0E" w14:paraId="789D173A" w14:textId="77777777">
        <w:trPr>
          <w:jc w:val="center"/>
        </w:trPr>
        <w:tc>
          <w:tcPr>
            <w:tcW w:w="304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FB910"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number of non nutritive visits</w:t>
            </w:r>
          </w:p>
        </w:tc>
        <w:tc>
          <w:tcPr>
            <w:tcW w:w="8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B7939"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8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65473"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8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92AA53"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0.06</w:t>
            </w:r>
          </w:p>
        </w:tc>
      </w:tr>
      <w:tr w:rsidR="00B11E0E" w14:paraId="6C1DD69E" w14:textId="77777777">
        <w:trPr>
          <w:jc w:val="center"/>
        </w:trPr>
        <w:tc>
          <w:tcPr>
            <w:tcW w:w="30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10D8C"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total actor</w:t>
            </w:r>
          </w:p>
        </w:tc>
        <w:tc>
          <w:tcPr>
            <w:tcW w:w="8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188E8"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0.51</w:t>
            </w:r>
          </w:p>
        </w:tc>
        <w:tc>
          <w:tcPr>
            <w:tcW w:w="8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DE5FB"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0.30</w:t>
            </w:r>
          </w:p>
        </w:tc>
        <w:tc>
          <w:tcPr>
            <w:tcW w:w="8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5C7C6A"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-0.57</w:t>
            </w:r>
          </w:p>
        </w:tc>
      </w:tr>
      <w:tr w:rsidR="00B11E0E" w14:paraId="0043510B" w14:textId="77777777">
        <w:trPr>
          <w:jc w:val="center"/>
        </w:trPr>
        <w:tc>
          <w:tcPr>
            <w:tcW w:w="30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F6767"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median non nutritive per meal</w:t>
            </w:r>
          </w:p>
        </w:tc>
        <w:tc>
          <w:tcPr>
            <w:tcW w:w="8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EECBEE"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0.97</w:t>
            </w:r>
          </w:p>
        </w:tc>
        <w:tc>
          <w:tcPr>
            <w:tcW w:w="8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270C7"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8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D8426"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0.07</w:t>
            </w:r>
          </w:p>
        </w:tc>
      </w:tr>
      <w:tr w:rsidR="00B11E0E" w14:paraId="211527F7" w14:textId="77777777">
        <w:trPr>
          <w:jc w:val="center"/>
        </w:trPr>
        <w:tc>
          <w:tcPr>
            <w:tcW w:w="30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88BF0E"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water duration</w:t>
            </w:r>
          </w:p>
        </w:tc>
        <w:tc>
          <w:tcPr>
            <w:tcW w:w="8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164E6E"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-0.08</w:t>
            </w:r>
          </w:p>
        </w:tc>
        <w:tc>
          <w:tcPr>
            <w:tcW w:w="8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BD218"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0.89</w:t>
            </w:r>
          </w:p>
        </w:tc>
        <w:tc>
          <w:tcPr>
            <w:tcW w:w="8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78710"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-0.17</w:t>
            </w:r>
          </w:p>
        </w:tc>
      </w:tr>
      <w:tr w:rsidR="00B11E0E" w14:paraId="05080C05" w14:textId="77777777">
        <w:trPr>
          <w:jc w:val="center"/>
        </w:trPr>
        <w:tc>
          <w:tcPr>
            <w:tcW w:w="30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AAE1B8"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total reactor</w:t>
            </w:r>
          </w:p>
        </w:tc>
        <w:tc>
          <w:tcPr>
            <w:tcW w:w="8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22DC5"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0.36</w:t>
            </w:r>
          </w:p>
        </w:tc>
        <w:tc>
          <w:tcPr>
            <w:tcW w:w="8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2993D"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0.16</w:t>
            </w:r>
          </w:p>
        </w:tc>
        <w:tc>
          <w:tcPr>
            <w:tcW w:w="8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7D7541"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r>
      <w:tr w:rsidR="00B11E0E" w14:paraId="185865EE" w14:textId="77777777">
        <w:trPr>
          <w:jc w:val="center"/>
        </w:trPr>
        <w:tc>
          <w:tcPr>
            <w:tcW w:w="30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1C148"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median visit per meal</w:t>
            </w:r>
          </w:p>
        </w:tc>
        <w:tc>
          <w:tcPr>
            <w:tcW w:w="8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0BA1A"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0.94</w:t>
            </w:r>
          </w:p>
        </w:tc>
        <w:tc>
          <w:tcPr>
            <w:tcW w:w="8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05435"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-0.04</w:t>
            </w:r>
          </w:p>
        </w:tc>
        <w:tc>
          <w:tcPr>
            <w:tcW w:w="8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FB4A25"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0.08</w:t>
            </w:r>
          </w:p>
        </w:tc>
      </w:tr>
      <w:tr w:rsidR="00B11E0E" w14:paraId="21BFB766" w14:textId="77777777">
        <w:trPr>
          <w:jc w:val="center"/>
        </w:trPr>
        <w:tc>
          <w:tcPr>
            <w:tcW w:w="30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B11F0"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feed visits</w:t>
            </w:r>
          </w:p>
        </w:tc>
        <w:tc>
          <w:tcPr>
            <w:tcW w:w="8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BD9AF"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8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B02F0"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8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0C8E65"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0.07</w:t>
            </w:r>
          </w:p>
        </w:tc>
      </w:tr>
      <w:tr w:rsidR="00B11E0E" w14:paraId="104B12E2" w14:textId="77777777">
        <w:trPr>
          <w:jc w:val="center"/>
        </w:trPr>
        <w:tc>
          <w:tcPr>
            <w:tcW w:w="304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EB7D73"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water visits</w:t>
            </w:r>
          </w:p>
        </w:tc>
        <w:tc>
          <w:tcPr>
            <w:tcW w:w="8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3883DD"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0.08</w:t>
            </w:r>
          </w:p>
        </w:tc>
        <w:tc>
          <w:tcPr>
            <w:tcW w:w="8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277C05"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0.91</w:t>
            </w:r>
          </w:p>
        </w:tc>
        <w:tc>
          <w:tcPr>
            <w:tcW w:w="8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CD9146" w14:textId="77777777" w:rsidR="00B11E0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0.21</w:t>
            </w:r>
          </w:p>
        </w:tc>
      </w:tr>
    </w:tbl>
    <w:p w14:paraId="2B202385" w14:textId="77777777" w:rsidR="00B11E0E" w:rsidRDefault="00B11E0E">
      <w:pPr>
        <w:pStyle w:val="BodyText"/>
      </w:pPr>
    </w:p>
    <w:p w14:paraId="0AFF80BC" w14:textId="77777777" w:rsidR="00B11E0E" w:rsidRDefault="00B11E0E">
      <w:pPr>
        <w:pStyle w:val="BodyText"/>
      </w:pPr>
    </w:p>
    <w:tbl>
      <w:tblPr>
        <w:tblStyle w:val="Table"/>
        <w:tblW w:w="4900" w:type="pct"/>
        <w:tblLayout w:type="fixed"/>
        <w:tblLook w:val="0000" w:firstRow="0" w:lastRow="0" w:firstColumn="0" w:lastColumn="0" w:noHBand="0" w:noVBand="0"/>
      </w:tblPr>
      <w:tblGrid>
        <w:gridCol w:w="4692"/>
        <w:gridCol w:w="4692"/>
      </w:tblGrid>
      <w:tr w:rsidR="00B11E0E" w14:paraId="6E1EF130" w14:textId="77777777">
        <w:tc>
          <w:tcPr>
            <w:tcW w:w="3880" w:type="dxa"/>
          </w:tcPr>
          <w:tbl>
            <w:tblPr>
              <w:tblStyle w:val="Table"/>
              <w:tblW w:w="4900" w:type="pct"/>
              <w:tblLayout w:type="fixed"/>
              <w:tblLook w:val="0000" w:firstRow="0" w:lastRow="0" w:firstColumn="0" w:lastColumn="0" w:noHBand="0" w:noVBand="0"/>
            </w:tblPr>
            <w:tblGrid>
              <w:gridCol w:w="4386"/>
            </w:tblGrid>
            <w:tr w:rsidR="00B11E0E" w14:paraId="1BBC8BA4" w14:textId="77777777">
              <w:tc>
                <w:tcPr>
                  <w:tcW w:w="7761" w:type="dxa"/>
                </w:tcPr>
                <w:p w14:paraId="06FA507E" w14:textId="77777777" w:rsidR="00B11E0E" w:rsidRDefault="00000000">
                  <w:pPr>
                    <w:pStyle w:val="Compact"/>
                  </w:pPr>
                  <w:bookmarkStart w:id="15" w:name="fig-pca-biplots-1"/>
                  <w:bookmarkStart w:id="16" w:name="fig-pca-biplots"/>
                  <w:r>
                    <w:rPr>
                      <w:noProof/>
                    </w:rPr>
                    <w:drawing>
                      <wp:inline distT="0" distB="0" distL="0" distR="0" wp14:anchorId="17D89CEB" wp14:editId="6C088F6D">
                        <wp:extent cx="2971800" cy="267462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results/15_pca_clustering/pca_M3_c1_int_biplot_clusters_rc1_rc2.png"/>
                                <pic:cNvPicPr>
                                  <a:picLocks noChangeAspect="1" noChangeArrowheads="1"/>
                                </pic:cNvPicPr>
                              </pic:nvPicPr>
                              <pic:blipFill>
                                <a:blip r:embed="rId13"/>
                                <a:stretch>
                                  <a:fillRect/>
                                </a:stretch>
                              </pic:blipFill>
                              <pic:spPr bwMode="auto">
                                <a:xfrm>
                                  <a:off x="0" y="0"/>
                                  <a:ext cx="2971800" cy="2674620"/>
                                </a:xfrm>
                                <a:prstGeom prst="rect">
                                  <a:avLst/>
                                </a:prstGeom>
                                <a:noFill/>
                                <a:ln w="9525">
                                  <a:noFill/>
                                  <a:headEnd/>
                                  <a:tailEnd/>
                                </a:ln>
                              </pic:spPr>
                            </pic:pic>
                          </a:graphicData>
                        </a:graphic>
                      </wp:inline>
                    </w:drawing>
                  </w:r>
                </w:p>
                <w:p w14:paraId="4BEE9AFC" w14:textId="77777777" w:rsidR="00B11E0E" w:rsidRDefault="00000000">
                  <w:pPr>
                    <w:pStyle w:val="ImageCaption"/>
                    <w:spacing w:before="200"/>
                  </w:pPr>
                  <w:r>
                    <w:t>(a) RC1 vs RC2</w:t>
                  </w:r>
                </w:p>
              </w:tc>
              <w:bookmarkEnd w:id="15"/>
            </w:tr>
          </w:tbl>
          <w:p w14:paraId="2B45E11B" w14:textId="77777777" w:rsidR="00B11E0E" w:rsidRDefault="00B11E0E"/>
        </w:tc>
        <w:tc>
          <w:tcPr>
            <w:tcW w:w="3880" w:type="dxa"/>
          </w:tcPr>
          <w:tbl>
            <w:tblPr>
              <w:tblStyle w:val="Table"/>
              <w:tblW w:w="4900" w:type="pct"/>
              <w:tblLayout w:type="fixed"/>
              <w:tblLook w:val="0000" w:firstRow="0" w:lastRow="0" w:firstColumn="0" w:lastColumn="0" w:noHBand="0" w:noVBand="0"/>
            </w:tblPr>
            <w:tblGrid>
              <w:gridCol w:w="4386"/>
            </w:tblGrid>
            <w:tr w:rsidR="00B11E0E" w14:paraId="3D6C2313" w14:textId="77777777">
              <w:tc>
                <w:tcPr>
                  <w:tcW w:w="7761" w:type="dxa"/>
                </w:tcPr>
                <w:p w14:paraId="32D98A13" w14:textId="77777777" w:rsidR="00B11E0E" w:rsidRDefault="00000000">
                  <w:pPr>
                    <w:pStyle w:val="Compact"/>
                  </w:pPr>
                  <w:bookmarkStart w:id="17" w:name="fig-pca-biplots-2"/>
                  <w:r>
                    <w:rPr>
                      <w:noProof/>
                    </w:rPr>
                    <w:drawing>
                      <wp:inline distT="0" distB="0" distL="0" distR="0" wp14:anchorId="1F73414F" wp14:editId="239D3F27">
                        <wp:extent cx="2971800" cy="267462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results/15_pca_clustering/pca_M3_c1_int_biplot_clusters_rc1_rc3.png"/>
                                <pic:cNvPicPr>
                                  <a:picLocks noChangeAspect="1" noChangeArrowheads="1"/>
                                </pic:cNvPicPr>
                              </pic:nvPicPr>
                              <pic:blipFill>
                                <a:blip r:embed="rId14"/>
                                <a:stretch>
                                  <a:fillRect/>
                                </a:stretch>
                              </pic:blipFill>
                              <pic:spPr bwMode="auto">
                                <a:xfrm>
                                  <a:off x="0" y="0"/>
                                  <a:ext cx="2971800" cy="2674620"/>
                                </a:xfrm>
                                <a:prstGeom prst="rect">
                                  <a:avLst/>
                                </a:prstGeom>
                                <a:noFill/>
                                <a:ln w="9525">
                                  <a:noFill/>
                                  <a:headEnd/>
                                  <a:tailEnd/>
                                </a:ln>
                              </pic:spPr>
                            </pic:pic>
                          </a:graphicData>
                        </a:graphic>
                      </wp:inline>
                    </w:drawing>
                  </w:r>
                </w:p>
                <w:p w14:paraId="5E92B665" w14:textId="77777777" w:rsidR="00B11E0E" w:rsidRDefault="00000000">
                  <w:pPr>
                    <w:pStyle w:val="ImageCaption"/>
                    <w:spacing w:before="200"/>
                  </w:pPr>
                  <w:r>
                    <w:t>(b) RC1 vs RC3</w:t>
                  </w:r>
                </w:p>
              </w:tc>
              <w:bookmarkEnd w:id="17"/>
            </w:tr>
          </w:tbl>
          <w:p w14:paraId="788A5655" w14:textId="77777777" w:rsidR="00B11E0E" w:rsidRDefault="00B11E0E"/>
        </w:tc>
      </w:tr>
    </w:tbl>
    <w:p w14:paraId="3417B773" w14:textId="77777777" w:rsidR="00B11E0E" w:rsidRDefault="00000000">
      <w:pPr>
        <w:pStyle w:val="ImageCaption"/>
        <w:spacing w:before="200"/>
      </w:pPr>
      <w:r>
        <w:t>Figure 2: PCA biplots using the intercepts of Cluster-1 variables. Left: Rotated Component (RC)1 vs RC2. Right: RC1 vs RC3. Each point is a cow, coloured by k-means cluster assignment; arrows represent variable loadings scaled to the score space. Ellipses show 95% confidence regions around each cluster centroid.</w:t>
      </w:r>
    </w:p>
    <w:bookmarkEnd w:id="16"/>
    <w:p w14:paraId="0CE577BE" w14:textId="77777777" w:rsidR="00B11E0E" w:rsidRDefault="00B11E0E">
      <w:pPr>
        <w:pStyle w:val="BodyText"/>
      </w:pPr>
    </w:p>
    <w:p w14:paraId="5A2F7A01" w14:textId="77777777" w:rsidR="00B11E0E" w:rsidRDefault="00000000">
      <w:pPr>
        <w:pStyle w:val="BodyText"/>
      </w:pPr>
      <w:r>
        <w:t xml:space="preserve">K-means clustering on the 3 retained rotated components after PCA, with </w:t>
      </w:r>
      <m:oMath>
        <m:r>
          <w:rPr>
            <w:rFonts w:ascii="Cambria Math" w:hAnsi="Cambria Math"/>
          </w:rPr>
          <m:t>k</m:t>
        </m:r>
      </m:oMath>
      <w:r>
        <w:t xml:space="preserve"> 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 </w:t>
      </w:r>
      <w:hyperlink r:id="rId15">
        <w:r>
          <w:rPr>
            <w:rStyle w:val="Hyperlink"/>
          </w:rPr>
          <w:t>https://www.skysheng.io/moo4feed_decoding_animal/</w:t>
        </w:r>
      </w:hyperlink>
      <w:r>
        <w:t>.</w:t>
      </w:r>
    </w:p>
    <w:p w14:paraId="6A686B3A" w14:textId="77777777" w:rsidR="00B11E0E" w:rsidRDefault="00000000">
      <w:pPr>
        <w:pStyle w:val="BodyText"/>
      </w:pPr>
      <w:r>
        <w:rPr>
          <w:b/>
          <w:bCs/>
        </w:rPr>
        <w:t>Cow Cluster 1 — “typical subordinate” cows (n = 55, ~51% of the herd, the largest group).</w:t>
      </w:r>
      <w:r>
        <w:t xml:space="preserve"> Cows in this cluster sit near the herd average on RC1 (mean score = -0.21) and slightly below </w:t>
      </w:r>
      <w:r>
        <w:lastRenderedPageBreak/>
        <w:t>average on RC2 (-0.41), but score noticeably high on RC3 (0.58). These cows are displaced from feed bins (reactor events) more often than they displace others (actor events), and have slightly low drinking activity (</w:t>
      </w:r>
      <w:hyperlink w:anchor="fig-pca-biplots">
        <w:r>
          <w:rPr>
            <w:rStyle w:val="Hyperlink"/>
          </w:rPr>
          <w:t>Figure 2</w:t>
        </w:r>
      </w:hyperlink>
      <w:r>
        <w:t xml:space="preserve"> A). Cows in this cluster are the unremarkable majority of the herd: they feed, drink, and take their meals within typical ranges, but routinely yield the bin to more dominant penmates.</w:t>
      </w:r>
    </w:p>
    <w:p w14:paraId="42E67B5E" w14:textId="77777777" w:rsidR="00B11E0E" w:rsidRDefault="00000000">
      <w:pPr>
        <w:pStyle w:val="BodyText"/>
      </w:pPr>
      <w:r>
        <w:rPr>
          <w:b/>
          <w:bCs/>
        </w:rPr>
        <w:t>Cow Cluster 2 — “heavy drinkers” (n = 13, ~12%).</w:t>
      </w:r>
      <w:r>
        <w:t xml:space="preserve"> 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Figure 2</w:t>
        </w:r>
      </w:hyperlink>
      <w:r>
        <w:t xml:space="preserve"> A). These cows express substantially high drinking activity even after we controled for DIM and THI. They have relatively low feeding activity, and get replaced slightly more often than they replace others.</w:t>
      </w:r>
    </w:p>
    <w:p w14:paraId="1F17A330" w14:textId="77777777" w:rsidR="00B11E0E" w:rsidRDefault="00000000">
      <w:pPr>
        <w:pStyle w:val="BodyText"/>
      </w:pPr>
      <w:r>
        <w:rPr>
          <w:b/>
          <w:bCs/>
        </w:rPr>
        <w:t>Cow Cluster 3 — “fragmented, restless feeders” (n = 5, ~5%, the smallest group).</w:t>
      </w:r>
      <w:r>
        <w:t xml:space="preserve"> 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 This cluster contains only a handful of cows, it captures the behavioral tail of the distribution rather than a common type.</w:t>
      </w:r>
    </w:p>
    <w:p w14:paraId="68DC1A56" w14:textId="77777777" w:rsidR="00B11E0E" w:rsidRDefault="00000000">
      <w:pPr>
        <w:pStyle w:val="BodyText"/>
      </w:pPr>
      <w:r>
        <w:rPr>
          <w:b/>
          <w:bCs/>
        </w:rPr>
        <w:t>Cow Cluster 4 — “dominant” cows (n = 34, ~32%, the second-largest group).</w:t>
      </w:r>
      <w:r>
        <w:t xml:space="preserve"> These cows show average RC1 (0.03) and RC2 (0.00) scores but a strongly negative RC3 score (-1.12), meaning they initiate many more displacement events than they receive (</w:t>
      </w:r>
      <w:hyperlink w:anchor="fig-pca-biplots">
        <w:r>
          <w:rPr>
            <w:rStyle w:val="Hyperlink"/>
          </w:rPr>
          <w:t>Figure 2</w:t>
        </w:r>
      </w:hyperlink>
      <w:r>
        <w:t xml:space="preserve"> B). Their feeding, drinking behaviors, and meal patterns are otherwise unremarkable. This cluster represents the socially dominant cows of the herd. These cows likely benefit from preferential access to feed bins.</w:t>
      </w:r>
    </w:p>
    <w:p w14:paraId="5EEB5465" w14:textId="77777777" w:rsidR="00B11E0E" w:rsidRDefault="00000000">
      <w:pPr>
        <w:pStyle w:val="Heading2"/>
      </w:pPr>
      <w:bookmarkStart w:id="18" w:name="individual-cow-stories"/>
      <w:bookmarkEnd w:id="14"/>
      <w:r>
        <w:t>4.6 Individual Cow Stories</w:t>
      </w:r>
    </w:p>
    <w:p w14:paraId="051189E6" w14:textId="77777777" w:rsidR="00B11E0E" w:rsidRDefault="00000000">
      <w:pPr>
        <w:pStyle w:val="FirstParagraph"/>
      </w:pPr>
      <w:r>
        <w:t>We selected one cow from each of the 4 clusters (cows 7068, 7150, 5042, 5120) and describe their individual stories through their average behavioral expression compared to the herd. All behavioral values reported below are posterior means of each cow’s behavioral type (i.e., her individual intercept from the mixed models in Section 4.1), so they represent the cow’s typical day-to-day expression after accounting for DIM and THI. Percentiles are calculated within the herd on those same posterior means.</w:t>
      </w:r>
    </w:p>
    <w:p w14:paraId="0CE402EA" w14:textId="77777777" w:rsidR="00B11E0E" w:rsidRDefault="00000000">
      <w:pPr>
        <w:pStyle w:val="BodyText"/>
      </w:pPr>
      <w:r>
        <w:rPr>
          <w:b/>
          <w:bCs/>
        </w:rPr>
        <w:t>Cow 7068 — a “typical subordinate” (Cluster 1).</w:t>
      </w:r>
      <w:r>
        <w:t xml:space="preserve"> Cow 7068 is almost never the one displacing others at the feed bin (daily actor events: 9.12, 4th percentile of the herd) but is very frequently displaced by others (daily reactor events: 52.56, 90th percentile). Despite routinely being displaced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stays for a long time feeding. Her daily feeding duration is long (388.2 min, 87th percentile), and a very high fraction of her meal time is spent with her head down actually feeding rather than waiting next to the bin (median percentage of time spent feeding per </w:t>
      </w:r>
      <w:r>
        <w:lastRenderedPageBreak/>
        <w:t>meal: 90.45%, 92th percentile). This is combined with a high median intake per meal (9.55 kg, 84th percentile). Consistent with this feeding style, her non-nutritive behavior is low (daily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14:paraId="225093FD" w14:textId="77777777" w:rsidR="00B11E0E" w:rsidRDefault="00000000">
      <w:pPr>
        <w:pStyle w:val="BodyText"/>
      </w:pPr>
      <w:r>
        <w:rPr>
          <w:b/>
          <w:bCs/>
        </w:rPr>
        <w:t>Cow 7150 — a “heavy drinker” (Cluster 2).</w:t>
      </w:r>
      <w:r>
        <w:t xml:space="preserve"> 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actually below the herd median. She simply keep returning to the drinkers throughout the day in many short bouts. Her feeding-related variables are within the normal range (feeding visits per day: 98.08, 57th percentile; median visits per meal: 10.67, 37th percentile). Similar to her drinking style, when she visits the feed bins, only a small fraction of meal time is spent actually feeding (median percentage of time spend feeding per meal: 76.15%, 16th percentile) and her median intake per meal is considerably low (6.81 kg, 13th percentile). Her non-nutritive behavior (daily non-nutritive visits: 45.95, 60th percentile; median non-nutritive per meal: 4.77, 46th percentile) is close to the herd average. Socially she initiates somewhat more displacements than the typical cow (daily actor events: 33.79, 78th percentile) while being displaced at a near-average rate (daily reactor events: 36.61, 57th percentile). Her daily feed intake (65.17 kg, 50th percentile) sits right at the herd median, consistent with her overall-average feeding profile. What places her in this cluster is her distinctive drinking style: many long drinking visits spread across the day.</w:t>
      </w:r>
    </w:p>
    <w:p w14:paraId="084A279B" w14:textId="77777777" w:rsidR="00B11E0E" w:rsidRDefault="00000000">
      <w:pPr>
        <w:pStyle w:val="BodyText"/>
      </w:pPr>
      <w:r>
        <w:rPr>
          <w:b/>
          <w:bCs/>
        </w:rPr>
        <w:t>Cow 5042 — a “fragmented, restless feeder” (Cluster 3).</w:t>
      </w:r>
      <w:r>
        <w:t xml:space="preserve"> Cow 5042 is the most extreme individual in the herd on nearly every RC1 variable, and illustrates the fragmented-feeder profile. Her feeding visits per day (205.63, 100th percentile), median visits per meal (30.54, 100th percentile), daily non-nutritive visits (161.71, 100th percentile), and median non-nutritive visits per meal (22.32, 100th percentile) are all at or near the herd maximum. She visits bins constantly and pulls her head in and out of bins many times per meal. Although her meals are unusually long (median meal duration: 92.0 min, 98th percentile), only a tiny fraction of that time is actually spent feeding (median feeding % per meal: 57.21%, 1th percentile, essentially the lowest in the herd), meaning that on average, she spent about half of her meal time standing and waiting next to the feed bins instead of actually occupying a feed bin. Her cumulative daily feeding duration ends up low (310.5 min, 8th percentile). Surprisingly, her daily feed intake is still high (72.50 kg, 94th percentile), and her median intake per meal is near the top of the herd (10.43 kg, 97th percentile), meaning that even during brief head-down moments she managed to consume a lot of feed. She is also highly socially active, appearing as both an actor (48.73, 98th percentile) and a reactor (62.67, 99th percentile) far more often than typical, suggesting that her fragmented feeding style is accompanied by (and possibly driven by) frequent agonistic interactions at the feeding area. Her drinking behavior is within the normal range. Her daily drinking duration (13.7 min, 76th percentile) is modestly above the herd median, and she has relatively more drinking visits per day than average cow (11.87, 88th percentile). Cow 5042’s time at the feeding area is made up of many short, interrupted visits rather than sustained feeding. But when she manage to occupy a feed bin, she eats fast.</w:t>
      </w:r>
    </w:p>
    <w:p w14:paraId="1FDE1EDB" w14:textId="77777777" w:rsidR="00B11E0E" w:rsidRDefault="00000000">
      <w:pPr>
        <w:pStyle w:val="BodyText"/>
      </w:pPr>
      <w:r>
        <w:rPr>
          <w:b/>
          <w:bCs/>
        </w:rPr>
        <w:t>Cow 5120 — a “dominant” cow (Cluster 4).</w:t>
      </w:r>
      <w:r>
        <w:t xml:space="preserve"> Cow 5120 frequently displaces herdmates from feed bins (daily actor events: 37.80, 90th percentile) and is almost never displaced herself (daily </w:t>
      </w:r>
      <w:r>
        <w:lastRenderedPageBreak/>
        <w:t>reactor events: 12.53, only the 3rd percentile). Her meal structure reflects the feeding style of a cow that does not have to compete for access: she takes a typical number of feeding visits per day (89.57, 40th percentile) and spreads them into a typical number of meals (median visits per meal: 12.49, 53th percentile). Each of her meal is efficient, a moderately high fraction of meal time is spent actually occupying a feed bin (median percentage of time spent feeding per meal: 84.94%, 65th percentile), yielding an above-average median intake per meal (9.55 kg, 85th percentile) and a high daily feed intake (69.60, 81th percentile). Her non-nutritive behavior is on the lower side (daily non-nutritive visits: 33.50, 35th percentile; median non-nutritive per meal: 4.24, 38th percentile), and her drinking profile is unremarkable (daily drinking duration: 12.4 min, 66th percentile; daily drinking visits: 9.00, 56th percentile). Cow 5120 is straightforward and efficient. When she wants to feed, she goes directly to the bin she wants, displacing whoever is there. Her feeding time is largely uninterrupted by other cows.</w:t>
      </w:r>
    </w:p>
    <w:p w14:paraId="27527E38" w14:textId="77777777" w:rsidR="00B11E0E" w:rsidRDefault="00000000">
      <w:pPr>
        <w:pStyle w:val="Heading2"/>
      </w:pPr>
      <w:bookmarkStart w:id="19" w:name="references"/>
      <w:bookmarkEnd w:id="18"/>
      <w:r>
        <w:t>References</w:t>
      </w:r>
    </w:p>
    <w:p w14:paraId="22C0E8D6" w14:textId="77777777" w:rsidR="00B11E0E" w:rsidRDefault="00000000">
      <w:pPr>
        <w:pStyle w:val="Bibliography"/>
      </w:pPr>
      <w:bookmarkStart w:id="20" w:name="ref-biro2012"/>
      <w:bookmarkStart w:id="21" w:name="refs"/>
      <w:r>
        <w:t>Biro, P.A., 2012. Do rapid assays predict repeatability in labile (behavioural) traits? Animal Behaviour 83, 1295–1300.</w:t>
      </w:r>
    </w:p>
    <w:p w14:paraId="5DB11FF3" w14:textId="77777777" w:rsidR="00B11E0E" w:rsidRDefault="00000000">
      <w:pPr>
        <w:pStyle w:val="Bibliography"/>
      </w:pPr>
      <w:bookmarkStart w:id="22" w:name="ref-breed2021"/>
      <w:bookmarkEnd w:id="20"/>
      <w:r>
        <w:t>Breed, M.D., Moore, J., 2021. Animal behavior. Academic Press.</w:t>
      </w:r>
    </w:p>
    <w:p w14:paraId="6F238EAE" w14:textId="77777777" w:rsidR="00B11E0E" w:rsidRDefault="00000000">
      <w:pPr>
        <w:pStyle w:val="Bibliography"/>
      </w:pPr>
      <w:bookmarkStart w:id="23" w:name="ref-budaev2010using"/>
      <w:bookmarkEnd w:id="22"/>
      <w:r>
        <w:t>Budaev, S.V., 2010. Using principal components and factor analysis in animal behaviour research: Caveats and guidelines. Ethology 116, 472–480.</w:t>
      </w:r>
    </w:p>
    <w:p w14:paraId="4225AE82" w14:textId="77777777" w:rsidR="00B11E0E" w:rsidRDefault="00000000">
      <w:pPr>
        <w:pStyle w:val="Bibliography"/>
      </w:pPr>
      <w:bookmarkStart w:id="24" w:name="ref-burkner2017brms"/>
      <w:bookmarkEnd w:id="23"/>
      <w:r>
        <w:t>Bürkner, P.-C., 2017. Brms: An r package for bayesian multilevel models using stan. Journal of statistical software 80, 1–28.</w:t>
      </w:r>
    </w:p>
    <w:p w14:paraId="3AA49076" w14:textId="77777777" w:rsidR="00B11E0E" w:rsidRDefault="00000000">
      <w:pPr>
        <w:pStyle w:val="Bibliography"/>
      </w:pPr>
      <w:bookmarkStart w:id="25" w:name="ref-carslake2022a"/>
      <w:bookmarkEnd w:id="24"/>
      <w:r>
        <w:t>Carslake, C., Occhiuto, F., Vázquez-Diosdado, J.A., Kaler, J., 2022a. Indication of a personality trait in dairy calves and its link to weight gain through automatically collected feeding behaviours. Scientific Reports 12, 19425.</w:t>
      </w:r>
    </w:p>
    <w:p w14:paraId="5646D389" w14:textId="77777777" w:rsidR="00B11E0E" w:rsidRDefault="00000000">
      <w:pPr>
        <w:pStyle w:val="Bibliography"/>
      </w:pPr>
      <w:bookmarkStart w:id="26" w:name="ref-carslake2022b"/>
      <w:bookmarkEnd w:id="25"/>
      <w:r>
        <w:t>Carslake, C., Occhiuto, F., Vázquez-Diosdado, J.A., Kaler, J., 2022b. Repeatability and predictability of calf feeding behaviors—quantifying between-and within-individual variation for precision livestock farming. Frontiers in Veterinary Science 9, 827124.</w:t>
      </w:r>
    </w:p>
    <w:p w14:paraId="762E1259" w14:textId="77777777" w:rsidR="00B11E0E" w:rsidRDefault="00000000">
      <w:pPr>
        <w:pStyle w:val="Bibliography"/>
      </w:pPr>
      <w:bookmarkStart w:id="27" w:name="ref-chapinal2007validation"/>
      <w:bookmarkEnd w:id="26"/>
      <w:r>
        <w:t>Chapinal, N., Veira, D., Weary, D., Von Keyserlingk, M., 2007. Validation of a system for monitoring individual feeding and drinking behavior and intake in group-housed cattle. Journal of dairy science 90, 5732–5736.</w:t>
      </w:r>
    </w:p>
    <w:p w14:paraId="6082C988" w14:textId="77777777" w:rsidR="00B11E0E" w:rsidRDefault="00000000">
      <w:pPr>
        <w:pStyle w:val="Bibliography"/>
      </w:pPr>
      <w:bookmarkStart w:id="28" w:name="ref-cramer2015"/>
      <w:bookmarkEnd w:id="27"/>
      <w:r>
        <w:t>Cramer, M., Stanton, A., 2015. Associations between health status and the probability of approaching a novel object or stationary human in preweaned group-housed dairy calves. Journal of Dairy Science 98, 7298–7308.</w:t>
      </w:r>
    </w:p>
    <w:p w14:paraId="147A4126" w14:textId="77777777" w:rsidR="00B11E0E" w:rsidRDefault="00000000">
      <w:pPr>
        <w:pStyle w:val="Bibliography"/>
      </w:pPr>
      <w:bookmarkStart w:id="29" w:name="ref-darwin1872"/>
      <w:bookmarkEnd w:id="28"/>
      <w:r>
        <w:t>Darwin, C., 1872. The expression of the emotions in man and animals (republished in 1965). University of Chicago Press 10, 10001–000.</w:t>
      </w:r>
    </w:p>
    <w:p w14:paraId="31220102" w14:textId="77777777" w:rsidR="00B11E0E" w:rsidRDefault="00000000">
      <w:pPr>
        <w:pStyle w:val="Bibliography"/>
      </w:pPr>
      <w:bookmarkStart w:id="30" w:name="ref-dawkins2021"/>
      <w:bookmarkEnd w:id="29"/>
      <w:r>
        <w:t>Dawkins, M.S., 2021. The science of animal welfare: Understanding what animals want. Oxford University Press.</w:t>
      </w:r>
    </w:p>
    <w:p w14:paraId="008D7808" w14:textId="77777777" w:rsidR="00B11E0E" w:rsidRDefault="00000000">
      <w:pPr>
        <w:pStyle w:val="Bibliography"/>
      </w:pPr>
      <w:bookmarkStart w:id="31" w:name="ref-dittrich2019"/>
      <w:bookmarkEnd w:id="30"/>
      <w:r>
        <w:t>Dittrich, I., Gertz, M., Krieter, J., 2019. Alterations in sick dairy cows’ daily behavioural patterns. Heliyon 5.</w:t>
      </w:r>
    </w:p>
    <w:p w14:paraId="4E427743" w14:textId="77777777" w:rsidR="00B11E0E" w:rsidRDefault="00000000">
      <w:pPr>
        <w:pStyle w:val="Bibliography"/>
      </w:pPr>
      <w:bookmarkStart w:id="32" w:name="ref-eriksson2020effects"/>
      <w:bookmarkEnd w:id="31"/>
      <w:r>
        <w:lastRenderedPageBreak/>
        <w:t>Eriksson, H.K., Daros, R.R., Keyserlingk, M.A. von, Weary, D.M., 2020. Effects of case definition and assessment frequency on lameness incidence estimates. Journal of dairy science 103, 638–648.</w:t>
      </w:r>
    </w:p>
    <w:p w14:paraId="66E6338F" w14:textId="77777777" w:rsidR="00B11E0E" w:rsidRDefault="00000000">
      <w:pPr>
        <w:pStyle w:val="Bibliography"/>
      </w:pPr>
      <w:bookmarkStart w:id="33" w:name="ref-flower2006effect"/>
      <w:bookmarkEnd w:id="32"/>
      <w:r>
        <w:t>Flower, F., Weary, D., 2006. Effect of hoof pathologies on subjective assessments of dairy cow gait. Journal of dairy science 89, 139–146.</w:t>
      </w:r>
    </w:p>
    <w:p w14:paraId="2854E1AC" w14:textId="77777777" w:rsidR="00B11E0E" w:rsidRDefault="00000000">
      <w:pPr>
        <w:pStyle w:val="Bibliography"/>
      </w:pPr>
      <w:bookmarkStart w:id="34" w:name="ref-foris2019automatic"/>
      <w:bookmarkEnd w:id="33"/>
      <w:r>
        <w:t>Foris, B., Thompson, A., Von Keyserlingk, M., Melzer, N., Weary, D., 2019. Automatic detection of feeding-and drinking-related agonistic behavior and dominance in dairy cows. Journal of dairy science 102, 9176–9186.</w:t>
      </w:r>
    </w:p>
    <w:p w14:paraId="5B624C77" w14:textId="77777777" w:rsidR="00B11E0E" w:rsidRDefault="00000000">
      <w:pPr>
        <w:pStyle w:val="Bibliography"/>
      </w:pPr>
      <w:bookmarkStart w:id="35" w:name="ref-fraser2025"/>
      <w:bookmarkEnd w:id="34"/>
      <w:r>
        <w:t>Fraser, D., 2025. Two paradigms of research and their influence on the study of animal behaviour. Applied Animal Behaviour Science 284, 106550.</w:t>
      </w:r>
    </w:p>
    <w:p w14:paraId="651C47EC" w14:textId="77777777" w:rsidR="00B11E0E" w:rsidRDefault="00000000">
      <w:pPr>
        <w:pStyle w:val="Bibliography"/>
      </w:pPr>
      <w:bookmarkStart w:id="36" w:name="ref-goharshahi2021"/>
      <w:bookmarkEnd w:id="35"/>
      <w:r>
        <w:t>Goharshahi, M., Azizzadeh, M., Lidauer, L., Steininger, A., Kickinger, F., Öhlschuster, M., Auer, W., Klein-Jöbstl, D., Drillich, M., Iwersen, M., 2021. Monitoring selected behaviors of calves by use of an ear-attached accelerometer for detecting early indicators of diarrhea. Journal of Dairy Science 104, 6013–6019.</w:t>
      </w:r>
    </w:p>
    <w:p w14:paraId="090008A5" w14:textId="77777777" w:rsidR="00B11E0E" w:rsidRDefault="00000000">
      <w:pPr>
        <w:pStyle w:val="Bibliography"/>
      </w:pPr>
      <w:bookmarkStart w:id="37" w:name="ref-griffith1898"/>
      <w:bookmarkEnd w:id="36"/>
      <w:r>
        <w:t>Griffith, F.L., 1898. Hieratic papyri from kahun and gurob:(principally of the middle kingdom). B. Quaritch.</w:t>
      </w:r>
    </w:p>
    <w:p w14:paraId="61586899" w14:textId="77777777" w:rsidR="00B11E0E" w:rsidRDefault="00000000">
      <w:pPr>
        <w:pStyle w:val="Bibliography"/>
      </w:pPr>
      <w:bookmarkStart w:id="38" w:name="ref-hart1988biological"/>
      <w:bookmarkEnd w:id="37"/>
      <w:r>
        <w:t>Hart, B.L., 1988. Biological basis of the behavior of sick animals. Neuroscience &amp; Biobehavioral Reviews 12, 123–137.</w:t>
      </w:r>
    </w:p>
    <w:p w14:paraId="17B19A70" w14:textId="77777777" w:rsidR="00B11E0E" w:rsidRDefault="00000000">
      <w:pPr>
        <w:pStyle w:val="Bibliography"/>
      </w:pPr>
      <w:bookmarkStart w:id="39" w:name="ref-hertel2020"/>
      <w:bookmarkEnd w:id="38"/>
      <w:r>
        <w:t>Hertel, A.G., Niemelä, P.T., Dingemanse, N.J., Mueller, T., 2020. A guide for studying among-individual behavioral variation from movement data in the wild. Movement ecology 8, 30.</w:t>
      </w:r>
    </w:p>
    <w:p w14:paraId="137E80E6" w14:textId="77777777" w:rsidR="00B11E0E" w:rsidRDefault="00000000">
      <w:pPr>
        <w:pStyle w:val="Bibliography"/>
      </w:pPr>
      <w:bookmarkStart w:id="40" w:name="ref-hornbuckle1992"/>
      <w:bookmarkEnd w:id="39"/>
      <w:r>
        <w:t>Hornbuckle, W., Morgan, R., 1992. General physical examination of the cat and dog. Handbook of small animal practice. 2nd ed. New York: Churchill Livingstone 3.</w:t>
      </w:r>
    </w:p>
    <w:p w14:paraId="7723B298" w14:textId="77777777" w:rsidR="00B11E0E" w:rsidRDefault="00000000">
      <w:pPr>
        <w:pStyle w:val="Bibliography"/>
      </w:pPr>
      <w:bookmarkStart w:id="41" w:name="ref-huzzey2014automatic"/>
      <w:bookmarkEnd w:id="40"/>
      <w:r>
        <w:t>Huzzey, J., Weary, D., Tiau, B., Von Keyserlingk, M., 2014. Automatic detection of social competition using an electronic feeding system. Journal of dairy science 97, 2953–2958.</w:t>
      </w:r>
    </w:p>
    <w:p w14:paraId="2F877684" w14:textId="77777777" w:rsidR="00B11E0E" w:rsidRDefault="00000000">
      <w:pPr>
        <w:pStyle w:val="Bibliography"/>
      </w:pPr>
      <w:bookmarkStart w:id="42" w:name="ref-khan2014dbscan"/>
      <w:bookmarkEnd w:id="41"/>
      <w:r>
        <w:t>Khan, K., Rehman, S.U., Aziz, K., Fong, S., Sarasvady, S., 2014. DBSCAN: Past, present and future, in: The Fifth International Conference on the Applications of Digital Information and Web Technologies (ICADIWT 2014). IEEE, pp. 232–238.</w:t>
      </w:r>
    </w:p>
    <w:p w14:paraId="7ADA852F" w14:textId="77777777" w:rsidR="00B11E0E" w:rsidRDefault="00000000">
      <w:pPr>
        <w:pStyle w:val="Bibliography"/>
      </w:pPr>
      <w:bookmarkStart w:id="43" w:name="ref-malini2017analysis"/>
      <w:bookmarkEnd w:id="42"/>
      <w:r>
        <w:t>Malini, N., Pushpa, M., 2017. Analysis on credit card fraud identification techniques based on KNN and outlier detection, in: 2017 Third International Conference on Advances in Electrical, Electronics, Information, Communication and Bio-Informatics (AEEICB). IEEE, pp. 255–258.</w:t>
      </w:r>
    </w:p>
    <w:p w14:paraId="2C34571C" w14:textId="77777777" w:rsidR="00B11E0E" w:rsidRDefault="00000000">
      <w:pPr>
        <w:pStyle w:val="Bibliography"/>
      </w:pPr>
      <w:bookmarkStart w:id="44" w:name="ref-mcdermott2021"/>
      <w:bookmarkEnd w:id="43"/>
      <w:r>
        <w:t xml:space="preserve">McDermott, A., 2021. News feature: What was the first "art"? How would we know? Recently discovered cave paintings and bone carvings offer new perspectives on long-held questions about art’s origins-not to mention the nature of art itself. Proceedings of the National Academy of Sciences of the United States of America 118, e2117561118. </w:t>
      </w:r>
      <w:hyperlink r:id="rId16">
        <w:r>
          <w:rPr>
            <w:rStyle w:val="Hyperlink"/>
          </w:rPr>
          <w:t>https://doi.org/10.1073/pnas.2117561118</w:t>
        </w:r>
      </w:hyperlink>
    </w:p>
    <w:p w14:paraId="6EFE8A63" w14:textId="77777777" w:rsidR="00B11E0E" w:rsidRDefault="00000000">
      <w:pPr>
        <w:pStyle w:val="Bibliography"/>
      </w:pPr>
      <w:bookmarkStart w:id="45" w:name="ref-meagher2017"/>
      <w:bookmarkEnd w:id="44"/>
      <w:r>
        <w:lastRenderedPageBreak/>
        <w:t>Meagher, R.K., Weary, D.M., Keyserlingk, M.A. von, 2017. Some like it varied: Individual differences in preference for feed variety in dairy heifers. Applied Animal Behaviour Science 195, 8–14.</w:t>
      </w:r>
    </w:p>
    <w:p w14:paraId="360FE12A" w14:textId="77777777" w:rsidR="00B11E0E" w:rsidRDefault="00000000">
      <w:pPr>
        <w:pStyle w:val="Bibliography"/>
      </w:pPr>
      <w:bookmarkStart w:id="46" w:name="ref-medeiros2022historical"/>
      <w:bookmarkEnd w:id="45"/>
      <w:r>
        <w:t>Medeiros, I., Fernandez-Novo, A., Astiz, S., Simões, J., 2022. Historical evolution of cattle management and herd health of dairy farms in OECD countries. Veterinary sciences 9, 125.</w:t>
      </w:r>
    </w:p>
    <w:p w14:paraId="1A3DE300" w14:textId="77777777" w:rsidR="00B11E0E" w:rsidRDefault="00000000">
      <w:pPr>
        <w:pStyle w:val="Bibliography"/>
      </w:pPr>
      <w:bookmarkStart w:id="47" w:name="ref-neave2020long"/>
      <w:bookmarkEnd w:id="46"/>
      <w:r>
        <w:t>Neave, H.W., Costa, J.H., Weary, D.M., Von Keyserlingk, M.A., 2020. Long-term consistency of personality traits of cattle. Royal Society open science 7.</w:t>
      </w:r>
    </w:p>
    <w:p w14:paraId="533A2933" w14:textId="77777777" w:rsidR="00B11E0E" w:rsidRDefault="00000000">
      <w:pPr>
        <w:pStyle w:val="Bibliography"/>
      </w:pPr>
      <w:bookmarkStart w:id="48" w:name="ref-occhiuto2022"/>
      <w:bookmarkEnd w:id="47"/>
      <w:r>
        <w:t>Occhiuto, F., Vázquez-Diosdado, J.A., Carslake, C., Kaler, J., 2022. Personality and predictability in farmed calves using movement and space-use behaviours quantified by ultra-wideband sensors. Royal Society Open Science 9, 212019.</w:t>
      </w:r>
    </w:p>
    <w:p w14:paraId="794B7E30" w14:textId="77777777" w:rsidR="00B11E0E" w:rsidRDefault="00000000">
      <w:pPr>
        <w:pStyle w:val="Bibliography"/>
      </w:pPr>
      <w:bookmarkStart w:id="49" w:name="ref-R-base"/>
      <w:bookmarkEnd w:id="48"/>
      <w:r>
        <w:t xml:space="preserve">R Core Team, 2025. </w:t>
      </w:r>
      <w:hyperlink r:id="rId17">
        <w:r>
          <w:rPr>
            <w:rStyle w:val="Hyperlink"/>
          </w:rPr>
          <w:t>R: A language and environment for statistical computing</w:t>
        </w:r>
      </w:hyperlink>
      <w:r>
        <w:t>. R Foundation for Statistical Computing, Vienna, Austria.</w:t>
      </w:r>
    </w:p>
    <w:p w14:paraId="6034F085" w14:textId="77777777" w:rsidR="00B11E0E" w:rsidRDefault="00000000">
      <w:pPr>
        <w:pStyle w:val="Bibliography"/>
      </w:pPr>
      <w:bookmarkStart w:id="50" w:name="ref-rollin2011animal"/>
      <w:bookmarkEnd w:id="49"/>
      <w:r>
        <w:t>Rollin, B.E., 2011. Animal rights as a mainstream phenomenon. Animals 1, 102–115.</w:t>
      </w:r>
    </w:p>
    <w:p w14:paraId="69FC0C89" w14:textId="77777777" w:rsidR="00B11E0E" w:rsidRDefault="00000000">
      <w:pPr>
        <w:pStyle w:val="Bibliography"/>
      </w:pPr>
      <w:bookmarkStart w:id="51" w:name="ref-setser2024a"/>
      <w:bookmarkEnd w:id="50"/>
      <w:r>
        <w:t>Setser, M.W., Neave, H., Costa, J., 2024a. Are you ready for a challenge? Personality traits influence dairy calves’ responses to disease, pain, and nutritional challenges. Journal of Dairy Science 107, 9821–9838.</w:t>
      </w:r>
    </w:p>
    <w:p w14:paraId="0579C508" w14:textId="77777777" w:rsidR="00B11E0E" w:rsidRDefault="00000000">
      <w:pPr>
        <w:pStyle w:val="Bibliography"/>
      </w:pPr>
      <w:bookmarkStart w:id="52" w:name="ref-setser2024b"/>
      <w:bookmarkEnd w:id="51"/>
      <w:r>
        <w:t>Setser, M.W., Neave, H., Costa, J., 2024b. Individuality of calves: Linking personality traits to feeding and activity daily patterns measured by precision livestock technology. Journal of Dairy Science 107, 3235–3251.</w:t>
      </w:r>
    </w:p>
    <w:p w14:paraId="2B886E8B" w14:textId="77777777" w:rsidR="00B11E0E" w:rsidRDefault="00000000">
      <w:pPr>
        <w:pStyle w:val="Bibliography"/>
      </w:pPr>
      <w:bookmarkStart w:id="53" w:name="ref-sheng2024redefining"/>
      <w:bookmarkEnd w:id="52"/>
      <w:r>
        <w:t>Sheng, K., Foris, B., Krahn, J., Weary, D.M., Keyserlingk, M.A. von, 2024. Redefining dominance calculation: Increased competition flattens the dominance hierarchy in dairy cows. Journal of Dairy Science 107, 7286–7298.</w:t>
      </w:r>
    </w:p>
    <w:p w14:paraId="2C058B89" w14:textId="77777777" w:rsidR="00B11E0E" w:rsidRDefault="00000000">
      <w:pPr>
        <w:pStyle w:val="Bibliography"/>
      </w:pPr>
      <w:bookmarkStart w:id="54" w:name="ref-thomas2024"/>
      <w:bookmarkEnd w:id="53"/>
      <w:r>
        <w:t>Thomas, M., Occhiuto, F., Green, M., Vázquez-Diosdado, J.A., Kaler, J., 2024. Repeatability and predictability of lying and feeding behaviours in dairy cattle. Preventive Veterinary Medicine 233, 106357.</w:t>
      </w:r>
    </w:p>
    <w:p w14:paraId="6BC6D3B8" w14:textId="77777777" w:rsidR="00B11E0E" w:rsidRDefault="00000000">
      <w:pPr>
        <w:pStyle w:val="Bibliography"/>
      </w:pPr>
      <w:bookmarkStart w:id="55" w:name="ref-tolkamp1998satiety"/>
      <w:bookmarkEnd w:id="54"/>
      <w:r>
        <w:t>Tolkamp, B., Allcroft, D., Austin, E., Nielsen, B.L., Kyriazakis, I., 1998. Satiety splits feeding behaviour into bouts. Journal of Theoretical Biology 194, 235–250.</w:t>
      </w:r>
    </w:p>
    <w:p w14:paraId="45B52896" w14:textId="77777777" w:rsidR="00B11E0E" w:rsidRDefault="00000000">
      <w:pPr>
        <w:pStyle w:val="Bibliography"/>
      </w:pPr>
      <w:bookmarkStart w:id="56" w:name="ref-weary2009"/>
      <w:bookmarkEnd w:id="55"/>
      <w:r>
        <w:t>Weary, D., Huzzey, J., Von Keyserlingk, M., 2009. Board-invited review: Using behavior to predict and identify ill health in animals. Journal of animal science 87, 770–777.</w:t>
      </w:r>
      <w:bookmarkEnd w:id="8"/>
      <w:bookmarkEnd w:id="19"/>
      <w:bookmarkEnd w:id="21"/>
      <w:bookmarkEnd w:id="56"/>
    </w:p>
    <w:sectPr w:rsidR="00B11E0E">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FCE18C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31"/>
    <w:multiLevelType w:val="multilevel"/>
    <w:tmpl w:val="DE0E4E1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70CD2DE"/>
    <w:multiLevelType w:val="multilevel"/>
    <w:tmpl w:val="BAA6055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272909622">
    <w:abstractNumId w:val="2"/>
  </w:num>
  <w:num w:numId="2" w16cid:durableId="1884558991">
    <w:abstractNumId w:val="0"/>
  </w:num>
  <w:num w:numId="3" w16cid:durableId="7530917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769043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E1106E"/>
    <w:rsid w:val="00041D18"/>
    <w:rsid w:val="00342AB3"/>
    <w:rsid w:val="00417FC7"/>
    <w:rsid w:val="00472C8E"/>
    <w:rsid w:val="0060081F"/>
    <w:rsid w:val="00700BA6"/>
    <w:rsid w:val="008B5B9D"/>
    <w:rsid w:val="009B0EF4"/>
    <w:rsid w:val="00B11E0E"/>
    <w:rsid w:val="00BB1731"/>
    <w:rsid w:val="00C37F77"/>
    <w:rsid w:val="00C95531"/>
    <w:rsid w:val="00D82B74"/>
    <w:rsid w:val="00D82D1C"/>
    <w:rsid w:val="00E1106E"/>
    <w:rsid w:val="00E23478"/>
    <w:rsid w:val="00FE13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B919B83"/>
  <w15:docId w15:val="{6A3BDA1F-A451-DA49-B00C-E3D908B99E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0081F"/>
    <w:rPr>
      <w:rFonts w:ascii="Times New Roman" w:hAnsi="Times New Roman"/>
    </w:rPr>
  </w:style>
  <w:style w:type="paragraph" w:styleId="Heading1">
    <w:name w:val="heading 1"/>
    <w:basedOn w:val="Normal"/>
    <w:next w:val="BodyText"/>
    <w:link w:val="Heading1Char"/>
    <w:uiPriority w:val="9"/>
    <w:qFormat/>
    <w:rsid w:val="00E23478"/>
    <w:pPr>
      <w:keepNext/>
      <w:keepLines/>
      <w:spacing w:before="360" w:after="80"/>
      <w:outlineLvl w:val="0"/>
    </w:pPr>
    <w:rPr>
      <w:rFonts w:eastAsiaTheme="majorEastAsia" w:cstheme="majorBidi"/>
      <w:color w:val="0F4761" w:themeColor="accent1" w:themeShade="BF"/>
      <w:sz w:val="32"/>
      <w:szCs w:val="40"/>
    </w:rPr>
  </w:style>
  <w:style w:type="paragraph" w:styleId="Heading2">
    <w:name w:val="heading 2"/>
    <w:basedOn w:val="Normal"/>
    <w:next w:val="BodyText"/>
    <w:link w:val="Heading2Char"/>
    <w:uiPriority w:val="9"/>
    <w:semiHidden/>
    <w:unhideWhenUsed/>
    <w:qFormat/>
    <w:rsid w:val="00E23478"/>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E234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E23478"/>
    <w:pPr>
      <w:spacing w:before="180" w:after="180"/>
    </w:pPr>
  </w:style>
  <w:style w:type="paragraph" w:customStyle="1" w:styleId="FirstParagraph">
    <w:name w:val="First Paragraph"/>
    <w:basedOn w:val="BodyText"/>
    <w:next w:val="BodyText"/>
    <w:qFormat/>
    <w:rsid w:val="00E23478"/>
  </w:style>
  <w:style w:type="paragraph" w:customStyle="1" w:styleId="Compact">
    <w:name w:val="Compact"/>
    <w:basedOn w:val="BodyText"/>
    <w:qFormat/>
    <w:pPr>
      <w:spacing w:before="36" w:after="36"/>
    </w:pPr>
  </w:style>
  <w:style w:type="paragraph" w:styleId="Title">
    <w:name w:val="Title"/>
    <w:basedOn w:val="Normal"/>
    <w:next w:val="BodyText"/>
    <w:link w:val="TitleChar"/>
    <w:autoRedefine/>
    <w:uiPriority w:val="10"/>
    <w:qFormat/>
    <w:rsid w:val="00700BA6"/>
    <w:pPr>
      <w:spacing w:after="80"/>
      <w:contextualSpacing/>
      <w:jc w:val="center"/>
    </w:pPr>
    <w:rPr>
      <w:rFonts w:eastAsiaTheme="majorEastAsia" w:cstheme="majorBidi"/>
      <w:spacing w:val="-10"/>
      <w:kern w:val="28"/>
      <w:sz w:val="36"/>
      <w:szCs w:val="56"/>
    </w:rPr>
  </w:style>
  <w:style w:type="character" w:customStyle="1" w:styleId="TitleChar">
    <w:name w:val="Title Char"/>
    <w:basedOn w:val="DefaultParagraphFont"/>
    <w:link w:val="Title"/>
    <w:uiPriority w:val="10"/>
    <w:rsid w:val="00700BA6"/>
    <w:rPr>
      <w:rFonts w:ascii="Times New Roman" w:eastAsiaTheme="majorEastAsia" w:hAnsi="Times New Roman" w:cstheme="majorBidi"/>
      <w:spacing w:val="-10"/>
      <w:kern w:val="28"/>
      <w:sz w:val="36"/>
      <w:szCs w:val="56"/>
    </w:rPr>
  </w:style>
  <w:style w:type="paragraph" w:styleId="Subtitle">
    <w:name w:val="Subtitle"/>
    <w:basedOn w:val="Title"/>
    <w:next w:val="BodyText"/>
    <w:link w:val="SubtitleChar"/>
    <w:uiPriority w:val="11"/>
    <w:qFormat/>
    <w:rsid w:val="00E23478"/>
    <w:pPr>
      <w:numPr>
        <w:ilvl w:val="1"/>
      </w:numPr>
    </w:pPr>
    <w:rPr>
      <w:spacing w:val="15"/>
      <w:sz w:val="28"/>
      <w:szCs w:val="28"/>
    </w:rPr>
  </w:style>
  <w:style w:type="character" w:customStyle="1" w:styleId="SubtitleChar">
    <w:name w:val="Subtitle Char"/>
    <w:basedOn w:val="DefaultParagraphFont"/>
    <w:link w:val="Subtitle"/>
    <w:uiPriority w:val="11"/>
    <w:rsid w:val="00E23478"/>
    <w:rPr>
      <w:rFonts w:ascii="Times New Roman" w:eastAsiaTheme="majorEastAsia" w:hAnsi="Times New Roman" w:cstheme="majorBidi"/>
      <w:spacing w:val="15"/>
      <w:kern w:val="28"/>
      <w:sz w:val="28"/>
      <w:szCs w:val="28"/>
    </w:rPr>
  </w:style>
  <w:style w:type="paragraph" w:customStyle="1" w:styleId="Author">
    <w:name w:val="Author"/>
    <w:next w:val="BodyText"/>
    <w:qFormat/>
    <w:rsid w:val="00E23478"/>
    <w:pPr>
      <w:keepNext/>
      <w:keepLines/>
      <w:jc w:val="center"/>
    </w:pPr>
    <w:rPr>
      <w:rFonts w:ascii="Times New Roman" w:hAnsi="Times New Roman"/>
    </w:rPr>
  </w:style>
  <w:style w:type="paragraph" w:styleId="Date">
    <w:name w:val="Date"/>
    <w:next w:val="BodyText"/>
    <w:qFormat/>
    <w:rsid w:val="00E23478"/>
    <w:pPr>
      <w:keepNext/>
      <w:keepLines/>
      <w:jc w:val="center"/>
    </w:pPr>
    <w:rPr>
      <w:rFonts w:ascii="Times New Roman" w:hAnsi="Times New Roman"/>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rsid w:val="00E23478"/>
    <w:pPr>
      <w:keepNext/>
      <w:keepLines/>
      <w:spacing w:before="100" w:after="300"/>
    </w:pPr>
    <w:rPr>
      <w:szCs w:val="20"/>
    </w:rPr>
  </w:style>
  <w:style w:type="paragraph" w:styleId="Bibliography">
    <w:name w:val="Bibliography"/>
    <w:basedOn w:val="Normal"/>
    <w:qFormat/>
    <w:rsid w:val="00342AB3"/>
  </w:style>
  <w:style w:type="character" w:customStyle="1" w:styleId="Heading1Char">
    <w:name w:val="Heading 1 Char"/>
    <w:basedOn w:val="DefaultParagraphFont"/>
    <w:link w:val="Heading1"/>
    <w:uiPriority w:val="9"/>
    <w:rsid w:val="00E23478"/>
    <w:rPr>
      <w:rFonts w:ascii="Times New Roman" w:eastAsiaTheme="majorEastAsia" w:hAnsi="Times New Roman" w:cstheme="majorBidi"/>
      <w:color w:val="0F4761" w:themeColor="accent1" w:themeShade="BF"/>
      <w:sz w:val="32"/>
      <w:szCs w:val="40"/>
    </w:rPr>
  </w:style>
  <w:style w:type="character" w:customStyle="1" w:styleId="Heading2Char">
    <w:name w:val="Heading 2 Char"/>
    <w:basedOn w:val="DefaultParagraphFont"/>
    <w:link w:val="Heading2"/>
    <w:uiPriority w:val="9"/>
    <w:semiHidden/>
    <w:rsid w:val="00E23478"/>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3478"/>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rsid w:val="00E23478"/>
    <w:pPr>
      <w:spacing w:before="100" w:after="100"/>
      <w:ind w:left="480" w:right="480"/>
    </w:pPr>
  </w:style>
  <w:style w:type="paragraph" w:styleId="FootnoteText">
    <w:name w:val="footnote text"/>
    <w:basedOn w:val="Normal"/>
    <w:uiPriority w:val="9"/>
    <w:unhideWhenUsed/>
    <w:qFormat/>
    <w:rsid w:val="00E23478"/>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E23478"/>
    <w:pPr>
      <w:keepNext/>
      <w:keepLines/>
      <w:spacing w:after="0"/>
    </w:pPr>
    <w:rPr>
      <w:b/>
    </w:rPr>
  </w:style>
  <w:style w:type="paragraph" w:customStyle="1" w:styleId="Definition">
    <w:name w:val="Definition"/>
    <w:basedOn w:val="Normal"/>
    <w:rsid w:val="00E23478"/>
  </w:style>
  <w:style w:type="paragraph" w:styleId="Caption">
    <w:name w:val="caption"/>
    <w:basedOn w:val="Normal"/>
    <w:link w:val="CaptionChar"/>
    <w:pPr>
      <w:spacing w:after="120"/>
    </w:pPr>
    <w:rPr>
      <w:i/>
    </w:rPr>
  </w:style>
  <w:style w:type="paragraph" w:customStyle="1" w:styleId="TableCaption">
    <w:name w:val="Table Caption"/>
    <w:basedOn w:val="Caption"/>
    <w:rsid w:val="00E23478"/>
    <w:pPr>
      <w:keepNext/>
    </w:pPr>
  </w:style>
  <w:style w:type="paragraph" w:customStyle="1" w:styleId="ImageCaption">
    <w:name w:val="Image Caption"/>
    <w:basedOn w:val="Caption"/>
    <w:rsid w:val="00E23478"/>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D82D1C"/>
    <w:rPr>
      <w:rFonts w:ascii="Times New Roman" w:hAnsi="Times New Roman"/>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rPr>
  </w:style>
  <w:style w:type="character" w:styleId="BookTitle">
    <w:name w:val="Book Title"/>
    <w:basedOn w:val="DefaultParagraphFont"/>
    <w:rsid w:val="00041D18"/>
    <w:rPr>
      <w:rFonts w:ascii="Times New Roman" w:hAnsi="Times New Roman"/>
      <w:b/>
      <w:bCs/>
      <w:i/>
      <w:iCs/>
      <w:spacing w:val="5"/>
      <w:sz w:val="36"/>
    </w:rPr>
  </w:style>
  <w:style w:type="character" w:styleId="FollowedHyperlink">
    <w:name w:val="FollowedHyperlink"/>
    <w:basedOn w:val="DefaultParagraphFont"/>
    <w:rsid w:val="00041D18"/>
    <w:rPr>
      <w:rFonts w:ascii="Times New Roman" w:hAnsi="Times New Roman"/>
      <w:color w:val="96607D" w:themeColor="followedHyperlink"/>
      <w:u w:val="single"/>
    </w:rPr>
  </w:style>
  <w:style w:type="character" w:styleId="LineNumber">
    <w:name w:val="line number"/>
    <w:basedOn w:val="DefaultParagraphFont"/>
    <w:rsid w:val="00D82D1C"/>
    <w:rPr>
      <w:rFonts w:ascii="Times New Roman" w:hAnsi="Times New Roman"/>
    </w:rPr>
  </w:style>
  <w:style w:type="paragraph" w:styleId="NormalIndent">
    <w:name w:val="Normal Indent"/>
    <w:basedOn w:val="Normal"/>
    <w:rsid w:val="00BB1731"/>
    <w:pPr>
      <w:ind w:left="720"/>
    </w:pPr>
  </w:style>
  <w:style w:type="paragraph" w:styleId="PlainText">
    <w:name w:val="Plain Text"/>
    <w:basedOn w:val="Normal"/>
    <w:link w:val="PlainTextChar"/>
    <w:rsid w:val="00BB1731"/>
    <w:pPr>
      <w:spacing w:after="0"/>
    </w:pPr>
    <w:rPr>
      <w:rFonts w:cs="Consolas"/>
      <w:sz w:val="21"/>
      <w:szCs w:val="21"/>
    </w:rPr>
  </w:style>
  <w:style w:type="character" w:customStyle="1" w:styleId="PlainTextChar">
    <w:name w:val="Plain Text Char"/>
    <w:basedOn w:val="DefaultParagraphFont"/>
    <w:link w:val="PlainText"/>
    <w:rsid w:val="00BB1731"/>
    <w:rPr>
      <w:rFonts w:ascii="Times New Roman" w:hAnsi="Times New Roman" w:cs="Consolas"/>
      <w:sz w:val="21"/>
      <w:szCs w:val="21"/>
    </w:rPr>
  </w:style>
  <w:style w:type="character" w:styleId="HTMLCite">
    <w:name w:val="HTML Cite"/>
    <w:basedOn w:val="DefaultParagraphFont"/>
    <w:rsid w:val="00C95531"/>
    <w:rPr>
      <w:rFonts w:ascii="Times New Roman" w:hAnsi="Times New Roman"/>
      <w:i/>
      <w:iCs/>
    </w:rPr>
  </w:style>
  <w:style w:type="paragraph" w:styleId="HTMLAddress">
    <w:name w:val="HTML Address"/>
    <w:basedOn w:val="Normal"/>
    <w:link w:val="HTMLAddressChar"/>
    <w:rsid w:val="00C95531"/>
    <w:pPr>
      <w:spacing w:after="0"/>
    </w:pPr>
    <w:rPr>
      <w:i/>
      <w:iCs/>
    </w:rPr>
  </w:style>
  <w:style w:type="character" w:customStyle="1" w:styleId="HTMLAddressChar">
    <w:name w:val="HTML Address Char"/>
    <w:basedOn w:val="DefaultParagraphFont"/>
    <w:link w:val="HTMLAddress"/>
    <w:rsid w:val="00C95531"/>
    <w:rPr>
      <w:rFonts w:ascii="Times New Roman" w:hAnsi="Times New Roman"/>
      <w:i/>
      <w:iCs/>
    </w:rPr>
  </w:style>
  <w:style w:type="character" w:styleId="HTMLAcronym">
    <w:name w:val="HTML Acronym"/>
    <w:basedOn w:val="DefaultParagraphFont"/>
    <w:rsid w:val="00C95531"/>
    <w:rPr>
      <w:rFonts w:ascii="Times New Roman" w:hAnsi="Times New Roman"/>
    </w:rPr>
  </w:style>
  <w:style w:type="paragraph" w:styleId="EnvelopeReturn">
    <w:name w:val="envelope return"/>
    <w:basedOn w:val="Normal"/>
    <w:rsid w:val="00C95531"/>
    <w:pPr>
      <w:spacing w:after="0"/>
    </w:pPr>
    <w:rPr>
      <w:rFonts w:eastAsiaTheme="majorEastAsia" w:cstheme="majorBidi"/>
      <w:sz w:val="20"/>
      <w:szCs w:val="20"/>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kysheng7/moo4feed.git"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pp.codecov.io/gh/skysheng7/moo4feed" TargetMode="External"/><Relationship Id="rId12" Type="http://schemas.openxmlformats.org/officeDocument/2006/relationships/image" Target="media/image1.png"/><Relationship Id="rId17" Type="http://schemas.openxmlformats.org/officeDocument/2006/relationships/hyperlink" Target="https://www.R-project.org/" TargetMode="External"/><Relationship Id="rId2" Type="http://schemas.openxmlformats.org/officeDocument/2006/relationships/styles" Target="styles.xml"/><Relationship Id="rId16" Type="http://schemas.openxmlformats.org/officeDocument/2006/relationships/hyperlink" Target="https://doi.org/10.1073/pnas.2117561118" TargetMode="External"/><Relationship Id="rId1" Type="http://schemas.openxmlformats.org/officeDocument/2006/relationships/numbering" Target="numbering.xml"/><Relationship Id="rId6" Type="http://schemas.openxmlformats.org/officeDocument/2006/relationships/hyperlink" Target="https://www.skysheng.io/moo4feed/" TargetMode="External"/><Relationship Id="rId11" Type="http://schemas.openxmlformats.org/officeDocument/2006/relationships/hyperlink" Target="https://doi.org/10.5683/SP3/K6J350" TargetMode="External"/><Relationship Id="rId5" Type="http://schemas.openxmlformats.org/officeDocument/2006/relationships/hyperlink" Target="https://www.skysheng.io/moo4feed/" TargetMode="External"/><Relationship Id="rId15" Type="http://schemas.openxmlformats.org/officeDocument/2006/relationships/hyperlink" Target="https://www.skysheng.io/moo4feed_decoding_animal/" TargetMode="External"/><Relationship Id="rId10" Type="http://schemas.openxmlformats.org/officeDocument/2006/relationships/hyperlink" Target="https://doi.org/10.5683/SP3/LF4DRO"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skysheng7/competition_dominance_analysis.git"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22</Pages>
  <Words>10414</Words>
  <Characters>58740</Characters>
  <Application>Microsoft Office Word</Application>
  <DocSecurity>0</DocSecurity>
  <Lines>962</Lines>
  <Paragraphs>347</Paragraphs>
  <ScaleCrop>false</ScaleCrop>
  <Company/>
  <LinksUpToDate>false</LinksUpToDate>
  <CharactersWithSpaces>68807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the herd: Decoding individual animal behavioral narratives through data</dc:title>
  <dc:creator>Kehan Sheng1, Borbala Foris1,2, Daniel M. Weary1, Marina A.G. von Keyserlingk1</dc:creator>
  <cp:keywords/>
  <cp:lastModifiedBy>skysheng@student.ubc.ca</cp:lastModifiedBy>
  <cp:revision>2</cp:revision>
  <dcterms:created xsi:type="dcterms:W3CDTF">2026-04-18T07:23:00Z</dcterms:created>
  <dcterms:modified xsi:type="dcterms:W3CDTF">2026-04-18T07:24:00Z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