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herd: Decoding individual animal behavioral narratives through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roduction"/>
    <w:p>
      <w:pPr>
        <w:pStyle w:val="Heading1"/>
      </w:pPr>
      <w:r>
        <w:t xml:space="preserve">1. Introduction</w:t>
      </w:r>
    </w:p>
    <w:p>
      <w:pPr>
        <w:pStyle w:val="FirstParagraph"/>
      </w:pPr>
      <w:r>
        <w:t xml:space="preserve">Cave paintings from 45,000 years ago show early depictions of humans and pigs</w:t>
      </w:r>
      <w:r>
        <w:t xml:space="preserve"> </w:t>
      </w:r>
      <w:r>
        <w:t xml:space="preserve">(</w:t>
      </w:r>
      <w:hyperlink w:anchor="ref-mcdermott2021">
        <w:r>
          <w:rPr>
            <w:rStyle w:val="Hyperlink"/>
          </w:rPr>
          <w:t xml:space="preserve">McDermott, 2021</w:t>
        </w:r>
      </w:hyperlink>
      <w:r>
        <w:t xml:space="preserve">)</w:t>
      </w:r>
      <w:r>
        <w:t xml:space="preserve">, providing evidence that humans have shared a long history of caring for animals. For our ancient ancestors, understanding animal behavior was no doubt central to informing animal care</w:t>
      </w:r>
      <w:r>
        <w:t xml:space="preserve"> </w:t>
      </w:r>
      <w:r>
        <w:t xml:space="preserve">(</w:t>
      </w:r>
      <w:hyperlink w:anchor="ref-breed2021">
        <w:r>
          <w:rPr>
            <w:rStyle w:val="Hyperlink"/>
          </w:rPr>
          <w:t xml:space="preserve">Breed and Moore, 2021</w:t>
        </w:r>
      </w:hyperlink>
      <w:r>
        <w:t xml:space="preserve">)</w:t>
      </w:r>
      <w:r>
        <w:t xml:space="preserve">. This early interest in animal behaviors included observing animals’ movements, social interactions, cognition, and learning</w:t>
      </w:r>
      <w:r>
        <w:t xml:space="preserve"> </w:t>
      </w:r>
      <w:r>
        <w:t xml:space="preserve">(</w:t>
      </w:r>
      <w:hyperlink w:anchor="ref-breed2021">
        <w:r>
          <w:rPr>
            <w:rStyle w:val="Hyperlink"/>
          </w:rPr>
          <w:t xml:space="preserve">Breed and Moore, 2021</w:t>
        </w:r>
      </w:hyperlink>
      <w:r>
        <w:t xml:space="preserve">)</w:t>
      </w:r>
      <w:r>
        <w:t xml:space="preserve">. There is also evidence that many ancient civilizations used changes in behavioral signs to identify ill animals under their care</w:t>
      </w:r>
      <w:r>
        <w:t xml:space="preserve"> </w:t>
      </w:r>
      <w:r>
        <w:t xml:space="preserve">(</w:t>
      </w:r>
      <w:hyperlink w:anchor="ref-griffith1898">
        <w:r>
          <w:rPr>
            <w:rStyle w:val="Hyperlink"/>
          </w:rPr>
          <w:t xml:space="preserve">Griffith, 1898</w:t>
        </w:r>
      </w:hyperlink>
      <w:r>
        <w:t xml:space="preserve">)</w:t>
      </w:r>
      <w:r>
        <w:t xml:space="preserve">. By the 1800s, naturalists like Charles Darwin were using behavioral observations to infer animals’ affective states, demonstrating that animals express emotions such as fear, pleasure, and anger through their behavior</w:t>
      </w:r>
      <w:r>
        <w:t xml:space="preserve"> </w:t>
      </w:r>
      <w:r>
        <w:t xml:space="preserve">(</w:t>
      </w:r>
      <w:hyperlink w:anchor="ref-darwin1872">
        <w:r>
          <w:rPr>
            <w:rStyle w:val="Hyperlink"/>
          </w:rPr>
          <w:t xml:space="preserve">Darwin, 1872</w:t>
        </w:r>
      </w:hyperlink>
      <w:r>
        <w:t xml:space="preserve">;</w:t>
      </w:r>
      <w:r>
        <w:t xml:space="preserve"> </w:t>
      </w:r>
      <w:hyperlink w:anchor="ref-fraser2025">
        <w:r>
          <w:rPr>
            <w:rStyle w:val="Hyperlink"/>
          </w:rPr>
          <w:t xml:space="preserve">Fraser, 2025</w:t>
        </w:r>
      </w:hyperlink>
      <w:r>
        <w:t xml:space="preserve">)</w:t>
      </w:r>
      <w:r>
        <w:t xml:space="preserve">.</w:t>
      </w:r>
    </w:p>
    <w:p>
      <w:pPr>
        <w:pStyle w:val="BodyText"/>
      </w:pPr>
      <w:r>
        <w:t xml:space="preserve">Fast forwarding to the 20th century, in the industrialized world, the production of food from animals had intensified, largely driven by mechanization that reducee number of people required to care for a growing number of livestock</w:t>
      </w:r>
      <w:r>
        <w:t xml:space="preserve"> </w:t>
      </w:r>
      <w:r>
        <w:t xml:space="preserve">(</w:t>
      </w:r>
      <w:hyperlink w:anchor="ref-rollin2011animal">
        <w:r>
          <w:rPr>
            <w:rStyle w:val="Hyperlink"/>
          </w:rPr>
          <w:t xml:space="preserve">Rollin, 2011</w:t>
        </w:r>
      </w:hyperlink>
      <w:r>
        <w:t xml:space="preserve">)</w:t>
      </w:r>
      <w:r>
        <w:t xml:space="preserve">. Although automation was integrated into many aspects of livestock farming, the monitoring of animal health continued to rely on the accumulated experience of human care givers through manual behavioral observations</w:t>
      </w:r>
      <w:r>
        <w:t xml:space="preserve"> </w:t>
      </w:r>
      <w:r>
        <w:t xml:space="preserve">(</w:t>
      </w:r>
      <w:hyperlink w:anchor="ref-hornbuckle1992">
        <w:r>
          <w:rPr>
            <w:rStyle w:val="Hyperlink"/>
          </w:rPr>
          <w:t xml:space="preserve">Hornbuckle and Morgan, 1992</w:t>
        </w:r>
      </w:hyperlink>
      <w:r>
        <w:t xml:space="preserve">)</w:t>
      </w:r>
      <w:r>
        <w:t xml:space="preserve">. These observations focused on identifying sickness behaviors associated with general malaise, such as reduced food and water intake and decreased activity</w:t>
      </w:r>
      <w:r>
        <w:t xml:space="preserve"> </w:t>
      </w:r>
      <w:r>
        <w:t xml:space="preserve">(</w:t>
      </w:r>
      <w:hyperlink w:anchor="ref-hart1988biological">
        <w:r>
          <w:rPr>
            <w:rStyle w:val="Hyperlink"/>
          </w:rPr>
          <w:t xml:space="preserve">Hart, 1988</w:t>
        </w:r>
      </w:hyperlink>
      <w:r>
        <w:t xml:space="preserve">)</w:t>
      </w:r>
      <w:r>
        <w:t xml:space="preserve">. Veterinary medicine has also adopted the approach of providing treatment and manage health at the herd level rather than the individual level</w:t>
      </w:r>
      <w:r>
        <w:t xml:space="preserve"> </w:t>
      </w:r>
      <w:r>
        <w:t xml:space="preserve">(</w:t>
      </w:r>
      <w:hyperlink w:anchor="ref-medeiros2022historical">
        <w:r>
          <w:rPr>
            <w:rStyle w:val="Hyperlink"/>
          </w:rPr>
          <w:t xml:space="preserve">Medeiros et al., 2022</w:t>
        </w:r>
      </w:hyperlink>
      <w:r>
        <w:t xml:space="preserve">)</w:t>
      </w:r>
      <w:r>
        <w:t xml:space="preserve">. These traditional approaches to identifying sick animals shared a common limitation: they typically considered the behavior of animals as a species or population rather than recognizing the importance of individual differences.</w:t>
      </w:r>
    </w:p>
    <w:p>
      <w:pPr>
        <w:pStyle w:val="BodyText"/>
      </w:pPr>
      <w:r>
        <w:t xml:space="preserve">More recently, there has been a paradigm shift toward understanding individual differences in behavior</w:t>
      </w:r>
      <w:r>
        <w:t xml:space="preserve"> </w:t>
      </w:r>
      <w:r>
        <w:t xml:space="preserve">(see</w:t>
      </w:r>
      <w:r>
        <w:t xml:space="preserve"> </w:t>
      </w:r>
      <w:hyperlink w:anchor="ref-neave2020long">
        <w:r>
          <w:rPr>
            <w:rStyle w:val="Hyperlink"/>
          </w:rPr>
          <w:t xml:space="preserve">Neave et al., 2020</w:t>
        </w:r>
      </w:hyperlink>
      <w:r>
        <w:t xml:space="preserve">;</w:t>
      </w:r>
      <w:r>
        <w:t xml:space="preserve"> </w:t>
      </w:r>
      <w:hyperlink w:anchor="ref-weary2009">
        <w:r>
          <w:rPr>
            <w:rStyle w:val="Hyperlink"/>
          </w:rPr>
          <w:t xml:space="preserve">Weary et al., 2009</w:t>
        </w:r>
      </w:hyperlink>
      <w:r>
        <w:t xml:space="preserve">)</w:t>
      </w:r>
      <w:r>
        <w:t xml:space="preserve">. This shift acknowledges what individual animals housed in identical environments exhibit remarkably different behaviors and strategies, even when healthy, due to their distinct personalities</w:t>
      </w:r>
      <w:r>
        <w:t xml:space="preserve"> </w:t>
      </w:r>
      <w:r>
        <w:t xml:space="preserve">(</w:t>
      </w:r>
      <w:hyperlink w:anchor="ref-carslake2022a">
        <w:r>
          <w:rPr>
            <w:rStyle w:val="Hyperlink"/>
          </w:rPr>
          <w:t xml:space="preserve">Carslake et al., 2022a</w:t>
        </w:r>
      </w:hyperlink>
      <w:r>
        <w:t xml:space="preserve">;</w:t>
      </w:r>
      <w:r>
        <w:t xml:space="preserve"> </w:t>
      </w:r>
      <w:hyperlink w:anchor="ref-neave2020long">
        <w:r>
          <w:rPr>
            <w:rStyle w:val="Hyperlink"/>
          </w:rPr>
          <w:t xml:space="preserve">Neave et al., 2020</w:t>
        </w:r>
      </w:hyperlink>
      <w:r>
        <w:t xml:space="preserve">)</w:t>
      </w:r>
      <w:r>
        <w:t xml:space="preserve">. Previous research also emphasized the need to assess animal welfare at the individual rather than herd level, since it is individual animals, not herds, that could suffer</w:t>
      </w:r>
      <w:r>
        <w:t xml:space="preserve"> </w:t>
      </w:r>
      <w:r>
        <w:t xml:space="preserve">(</w:t>
      </w:r>
      <w:hyperlink w:anchor="ref-fraser2025">
        <w:r>
          <w:rPr>
            <w:rStyle w:val="Hyperlink"/>
          </w:rPr>
          <w:t xml:space="preserve">Fraser, 2025</w:t>
        </w:r>
      </w:hyperlink>
      <w:r>
        <w:t xml:space="preserve">)</w:t>
      </w:r>
      <w:r>
        <w:t xml:space="preserve">.</w:t>
      </w:r>
    </w:p>
    <w:p>
      <w:pPr>
        <w:pStyle w:val="BodyText"/>
      </w:pPr>
      <w:r>
        <w:t xml:space="preserve">Recent advancement of Precision Livestock Farming (PLF) technologies such as electronic feeders and drinkers offer new opportunities to automatically and continuously monitor animals on individual level, particularly behavioral and physiological measures</w:t>
      </w:r>
      <w:r>
        <w:t xml:space="preserve"> </w:t>
      </w:r>
      <w:r>
        <w:t xml:space="preserve">(</w:t>
      </w:r>
      <w:hyperlink w:anchor="ref-dittrich2019">
        <w:r>
          <w:rPr>
            <w:rStyle w:val="Hyperlink"/>
          </w:rPr>
          <w:t xml:space="preserve">Dittrich et al., 2019</w:t>
        </w:r>
      </w:hyperlink>
      <w:r>
        <w:t xml:space="preserve">)</w:t>
      </w:r>
      <w:r>
        <w:t xml:space="preserve">. This continuous monitoring is especially valuable for prey species, which often hide signs of illness when humans are present</w:t>
      </w:r>
      <w:r>
        <w:t xml:space="preserve"> </w:t>
      </w:r>
      <w:r>
        <w:t xml:space="preserve">(</w:t>
      </w:r>
      <w:hyperlink w:anchor="ref-weary2009">
        <w:r>
          <w:rPr>
            <w:rStyle w:val="Hyperlink"/>
          </w:rPr>
          <w:t xml:space="preserve">Weary et al., 2009</w:t>
        </w:r>
      </w:hyperlink>
      <w:r>
        <w:t xml:space="preserve">)</w:t>
      </w:r>
      <w:r>
        <w:t xml:space="preserve">. PLF has been widely promoted as tools for early disease detection</w:t>
      </w:r>
      <w:r>
        <w:t xml:space="preserve"> </w:t>
      </w:r>
      <w:r>
        <w:t xml:space="preserve">(</w:t>
      </w:r>
      <w:hyperlink w:anchor="ref-dittrich2019">
        <w:r>
          <w:rPr>
            <w:rStyle w:val="Hyperlink"/>
          </w:rPr>
          <w:t xml:space="preserve">Dittrich et al., 2019</w:t>
        </w:r>
      </w:hyperlink>
      <w:r>
        <w:t xml:space="preserve">)</w:t>
      </w:r>
      <w:r>
        <w:t xml:space="preserve">. However, much of the PLF research to date has focused on between subject comparison at the group level, such as comparing a specific behavior between healthy and sick groups</w:t>
      </w:r>
      <w:r>
        <w:t xml:space="preserve"> </w:t>
      </w:r>
      <w:r>
        <w:t xml:space="preserve">(</w:t>
      </w:r>
      <w:hyperlink w:anchor="ref-cramer2015">
        <w:r>
          <w:rPr>
            <w:rStyle w:val="Hyperlink"/>
          </w:rPr>
          <w:t xml:space="preserve">Cramer and Stanton, 2015</w:t>
        </w:r>
      </w:hyperlink>
      <w:r>
        <w:t xml:space="preserve">;</w:t>
      </w:r>
      <w:r>
        <w:t xml:space="preserve"> </w:t>
      </w:r>
      <w:hyperlink w:anchor="ref-goharshahi2021">
        <w:r>
          <w:rPr>
            <w:rStyle w:val="Hyperlink"/>
          </w:rPr>
          <w:t xml:space="preserve">Goharshahi et al., 2021</w:t>
        </w:r>
      </w:hyperlink>
      <w:r>
        <w:t xml:space="preserve">)</w:t>
      </w:r>
      <w:r>
        <w:t xml:space="preserve">. This population-level thinking fails to account for the substantial individual differences in behavioral expression that is increasingly being documented in the literature</w:t>
      </w:r>
      <w:r>
        <w:t xml:space="preserve"> </w:t>
      </w:r>
      <w:r>
        <w:t xml:space="preserve">(</w:t>
      </w:r>
      <w:hyperlink w:anchor="ref-carslake2022a">
        <w:r>
          <w:rPr>
            <w:rStyle w:val="Hyperlink"/>
          </w:rPr>
          <w:t xml:space="preserve">Carslake et al., 2022a</w:t>
        </w:r>
      </w:hyperlink>
      <w:r>
        <w:t xml:space="preserve">)</w:t>
      </w:r>
      <w:r>
        <w:t xml:space="preserve">. These consistent behavioral differences across time and context reflect distinct animal personalities</w:t>
      </w:r>
      <w:r>
        <w:t xml:space="preserve"> </w:t>
      </w:r>
      <w:r>
        <w:t xml:space="preserve">(</w:t>
      </w:r>
      <w:hyperlink w:anchor="ref-neave2020long">
        <w:r>
          <w:rPr>
            <w:rStyle w:val="Hyperlink"/>
          </w:rPr>
          <w:t xml:space="preserve">Neave et al., 2020</w:t>
        </w:r>
      </w:hyperlink>
      <w:r>
        <w:t xml:space="preserve">)</w:t>
      </w:r>
      <w:r>
        <w:t xml:space="preserve">.</w:t>
      </w:r>
    </w:p>
    <w:p>
      <w:pPr>
        <w:pStyle w:val="BodyText"/>
      </w:pPr>
      <w:r>
        <w:t xml:space="preserve">Also of interest is that as animals become sick, the magnitude and direction of their behavioral changes vary dramatically between individuals; a phenomenon that has been attributed to personality differences</w:t>
      </w:r>
      <w:r>
        <w:t xml:space="preserve"> </w:t>
      </w:r>
      <w:r>
        <w:t xml:space="preserve">(</w:t>
      </w:r>
      <w:hyperlink w:anchor="ref-setser2024a">
        <w:r>
          <w:rPr>
            <w:rStyle w:val="Hyperlink"/>
          </w:rPr>
          <w:t xml:space="preserve">Setser et al., 2024a</w:t>
        </w:r>
      </w:hyperlink>
      <w:r>
        <w:t xml:space="preserve">)</w:t>
      </w:r>
      <w:r>
        <w:t xml:space="preserve">. For instance, when comparing lying behavior in</w:t>
      </w:r>
      <w:r>
        <w:t xml:space="preserve"> </w:t>
      </w:r>
      <w:r>
        <w:t xml:space="preserve">‘fearful’</w:t>
      </w:r>
      <w:r>
        <w:t xml:space="preserve"> </w:t>
      </w:r>
      <w:r>
        <w:t xml:space="preserve">versus</w:t>
      </w:r>
      <w:r>
        <w:t xml:space="preserve"> </w:t>
      </w:r>
      <w:r>
        <w:t xml:space="preserve">‘active’</w:t>
      </w:r>
      <w:r>
        <w:t xml:space="preserve"> </w:t>
      </w:r>
      <w:r>
        <w:t xml:space="preserve">dairy calves with diarrhea, fearful calves reduced their lying bouts while active calves increased them</w:t>
      </w:r>
      <w:r>
        <w:t xml:space="preserve"> </w:t>
      </w:r>
      <w:r>
        <w:t xml:space="preserve">(</w:t>
      </w:r>
      <w:hyperlink w:anchor="ref-setser2024a">
        <w:r>
          <w:rPr>
            <w:rStyle w:val="Hyperlink"/>
          </w:rPr>
          <w:t xml:space="preserve">Setser et al., 2024a</w:t>
        </w:r>
      </w:hyperlink>
      <w:r>
        <w:t xml:space="preserve">)</w:t>
      </w:r>
      <w:r>
        <w:t xml:space="preserve">. This personality-based variability extends to other behaviors as well. Foe, a recent study found that calves differ greatly in the consistency of their space-use behavior: some calves use a consistent amount of space across days, while others show dramatic day-to-day variation</w:t>
      </w:r>
      <w:r>
        <w:t xml:space="preserve"> </w:t>
      </w:r>
      <w:r>
        <w:t xml:space="preserve">(</w:t>
      </w:r>
      <w:hyperlink w:anchor="ref-occhiuto2022">
        <w:r>
          <w:rPr>
            <w:rStyle w:val="Hyperlink"/>
          </w:rPr>
          <w:t xml:space="preserve">Occhiuto et al., 2022</w:t>
        </w:r>
      </w:hyperlink>
      <w:r>
        <w:t xml:space="preserve">)</w:t>
      </w:r>
      <w:r>
        <w:t xml:space="preserve">. Interpreting such behavioral changes requires understanding each animal’s baseline patterns. For highly variable individuals, substantial changes in space use may be normal, whereas for consistent individuals, the same degree of change could signal health problems.</w:t>
      </w:r>
    </w:p>
    <w:p>
      <w:pPr>
        <w:pStyle w:val="BodyText"/>
      </w:pPr>
      <w:r>
        <w:t xml:space="preserve">Although PLF has the ability to monitor animals individually, their full potential cannot be realized if data analysis and decision-making are made based on group-level averages. The key to effective disease detection lies in first understanding and tracking each animal’s healthy behavioral patterns, then identifying when they deviate from their personal baseline. Recent studies have used multi-level models to understand individual behavioral baseline, quantify behavioral type (an individual’s average expression oain behaviors), repeatability (consistent among-individual differences), and predictability (individual differences in within-individual consistency) (elephants:</w:t>
      </w:r>
      <w:r>
        <w:t xml:space="preserve"> </w:t>
      </w:r>
      <w:r>
        <w:t xml:space="preserve">(</w:t>
      </w:r>
      <w:hyperlink w:anchor="ref-hertel2020">
        <w:r>
          <w:rPr>
            <w:rStyle w:val="Hyperlink"/>
          </w:rPr>
          <w:t xml:space="preserve">Hertel et al., 2020</w:t>
        </w:r>
      </w:hyperlink>
      <w:r>
        <w:t xml:space="preserve">)</w:t>
      </w:r>
      <w:r>
        <w:t xml:space="preserve">; dairy cows:</w:t>
      </w:r>
      <w:r>
        <w:t xml:space="preserve"> </w:t>
      </w:r>
      <w:r>
        <w:t xml:space="preserve">(</w:t>
      </w:r>
      <w:hyperlink w:anchor="ref-thomas2024">
        <w:r>
          <w:rPr>
            <w:rStyle w:val="Hyperlink"/>
          </w:rPr>
          <w:t xml:space="preserve">Thomas et al., 2024</w:t>
        </w:r>
      </w:hyperlink>
      <w:r>
        <w:t xml:space="preserve">)</w:t>
      </w:r>
      <w:r>
        <w:t xml:space="preserve">; dairy calves: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existing research has focused primarily on simple metrics such as feed or water intake and feeding or drinking duration.</w:t>
      </w:r>
    </w:p>
    <w:p>
      <w:pPr>
        <w:pStyle w:val="BodyText"/>
      </w:pPr>
      <w:r>
        <w:t xml:space="preserve">In the current study, we demonstrate that existing PLF systems can extend beyond these basic metrics, as these technologies capture rich data that can be used to derive novel behavioral variables. For instance, electronic feed bins could provide data on feed bin switches per meal as a measure of exploratory behavior</w:t>
      </w:r>
      <w:r>
        <w:t xml:space="preserve"> </w:t>
      </w:r>
      <w:r>
        <w:t xml:space="preserve">(</w:t>
      </w:r>
      <w:hyperlink w:anchor="ref-meagher2017">
        <w:r>
          <w:rPr>
            <w:rStyle w:val="Hyperlink"/>
          </w:rPr>
          <w:t xml:space="preserve">Meagher et al., 2017</w:t>
        </w:r>
      </w:hyperlink>
      <w:r>
        <w:t xml:space="preserve">)</w:t>
      </w:r>
      <w:r>
        <w:t xml:space="preserve">. Additionally, agonistic interactions at feed bins can be identified when the interval between one cow exiting and the next cow entering is exceptionally short, suggesting that the incoming cow physically displaced or socially threatened the departing cow</w:t>
      </w:r>
      <w:r>
        <w:t xml:space="preserve"> </w:t>
      </w:r>
      <w:r>
        <w:t xml:space="preserve">(</w:t>
      </w:r>
      <w:hyperlink w:anchor="ref-foris2019automatic">
        <w:r>
          <w:rPr>
            <w:rStyle w:val="Hyperlink"/>
          </w:rPr>
          <w:t xml:space="preserve">Foris et al., 2019</w:t>
        </w:r>
      </w:hyperlink>
      <w:r>
        <w:t xml:space="preserve">;</w:t>
      </w:r>
      <w:r>
        <w:t xml:space="preserve"> </w:t>
      </w:r>
      <w:hyperlink w:anchor="ref-huzzey2014automatic">
        <w:r>
          <w:rPr>
            <w:rStyle w:val="Hyperlink"/>
          </w:rPr>
          <w:t xml:space="preserve">Huzzey et al., 2014</w:t>
        </w:r>
      </w:hyperlink>
      <w:r>
        <w:t xml:space="preserve">)</w:t>
      </w:r>
      <w:r>
        <w:t xml:space="preserve">. The ability to include novel behavioral measures could also revolutionize personality assessment in farm animals</w:t>
      </w:r>
      <w:r>
        <w:t xml:space="preserve"> </w:t>
      </w:r>
      <w:r>
        <w:t xml:space="preserve">(</w:t>
      </w:r>
      <w:hyperlink w:anchor="ref-setser2024b">
        <w:r>
          <w:rPr>
            <w:rStyle w:val="Hyperlink"/>
          </w:rPr>
          <w:t xml:space="preserve">Setser et al., 2024b</w:t>
        </w:r>
      </w:hyperlink>
      <w:r>
        <w:t xml:space="preserve">)</w:t>
      </w:r>
      <w:r>
        <w:t xml:space="preserve">. Traditional personality tests, which often involve isolating animals for choice and motivation tasks</w:t>
      </w:r>
      <w:r>
        <w:t xml:space="preserve"> </w:t>
      </w:r>
      <w:r>
        <w:t xml:space="preserve">(</w:t>
      </w:r>
      <w:hyperlink w:anchor="ref-dawkins2021">
        <w:r>
          <w:rPr>
            <w:rStyle w:val="Hyperlink"/>
          </w:rPr>
          <w:t xml:space="preserve">Dawkins, 2021</w:t>
        </w:r>
      </w:hyperlink>
      <w:r>
        <w:t xml:space="preserve">)</w:t>
      </w:r>
      <w:r>
        <w:t xml:space="preserve">, are increasingly criticized as they may not reflect animals’ natural behavior in group settings</w:t>
      </w:r>
      <w:r>
        <w:t xml:space="preserve"> </w:t>
      </w:r>
      <w:r>
        <w:t xml:space="preserve">(</w:t>
      </w:r>
      <w:hyperlink w:anchor="ref-biro2012">
        <w:r>
          <w:rPr>
            <w:rStyle w:val="Hyperlink"/>
          </w:rPr>
          <w:t xml:space="preserve">Biro, 2012</w:t>
        </w:r>
      </w:hyperlink>
      <w:r>
        <w:t xml:space="preserve">)</w:t>
      </w:r>
      <w:r>
        <w:t xml:space="preserve">. In contrast, data-driven approaches using longitudinal PLF measurements enable researchers to identify personality traits by observing animals in their home pen environments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2024b</w:t>
        </w:r>
      </w:hyperlink>
      <w:r>
        <w:t xml:space="preserve">)</w:t>
      </w:r>
      <w:r>
        <w:t xml:space="preserve">.</w:t>
      </w:r>
    </w:p>
    <w:p>
      <w:pPr>
        <w:pStyle w:val="BodyText"/>
      </w:pPr>
      <w:r>
        <w:t xml:space="preserve">In this study, we aim to:</w:t>
      </w:r>
    </w:p>
    <w:p>
      <w:pPr>
        <w:pStyle w:val="BodyText"/>
      </w:pPr>
      <w:r>
        <w:rPr>
          <w:b/>
          <w:bCs/>
        </w:rPr>
        <w:t xml:space="preserve">1. Introduce an R package for extracting behavioral variables from electronic feeder and drinker data.</w:t>
      </w:r>
      <w:r>
        <w:t xml:space="preserve"> </w:t>
      </w:r>
      <w:r>
        <w:t xml:space="preserve">We developed the</w:t>
      </w:r>
      <w:r>
        <w:t xml:space="preserve"> </w:t>
      </w:r>
      <w:r>
        <w:rPr>
          <w:rStyle w:val="VerbatimChar"/>
        </w:rPr>
        <w:t xml:space="preserve">moo4feed</w:t>
      </w:r>
      <w:r>
        <w:t xml:space="preserve"> </w:t>
      </w:r>
      <w:r>
        <w:t xml:space="preserve">R package to enable researchers to reliably clean and process raw electronic feeder and drinker data using distribution-based thresholds customized to their own dataset. The package extracts both standard feedingnd drinking measures (e.g., intake, visits, and meals) and novel behavioral variables (e.g., non-nutritive visits, feed bin switches per meal), revealing the rich behavioral information already embedded within existing PLF data streams.</w:t>
      </w:r>
    </w:p>
    <w:p>
      <w:pPr>
        <w:pStyle w:val="BodyText"/>
      </w:pPr>
      <w:r>
        <w:rPr>
          <w:b/>
          <w:bCs/>
        </w:rPr>
        <w:t xml:space="preserve">2. Quantify individual-level behavioral consistency and among-individual differences.</w:t>
      </w:r>
      <w:r>
        <w:t xml:space="preserve"> </w:t>
      </w:r>
      <w:r>
        <w:t xml:space="preserve">Using repeatability and predictability measures, we assess which behavioral variables exhibit stable among-individual differences and which are characterized by greater within-individual variability, thereby identifying behaviors most informative for characterizing individual behavioral profiles.</w:t>
      </w:r>
    </w:p>
    <w:p>
      <w:pPr>
        <w:pStyle w:val="BodyText"/>
      </w:pPr>
      <w:r>
        <w:rPr>
          <w:b/>
          <w:bCs/>
        </w:rPr>
        <w:t xml:space="preserve">3. Identify distinct behavioral profiles through cluster analysis.</w:t>
      </w:r>
      <w:r>
        <w:t xml:space="preserve"> </w:t>
      </w:r>
      <w:r>
        <w:t xml:space="preserve">Using behaviors that exhibit consistent among-individual differences, we group cows with similar behavioral types to reveal the diversity of behavioral profiles present within a herd. To illustrate the practical value of this approach, we present individual behavioral narratives for one representative animal from each cluster, demonstrating how data can be used to tell each animal’s unique story.</w:t>
      </w:r>
    </w:p>
    <w:p>
      <w:pPr>
        <w:pStyle w:val="BodyText"/>
      </w:pPr>
      <w:r>
        <w:t xml:space="preserve">This research lays the groundwork for individual-based behavioural monitoring systems, which might improve health prediction, affective state assessment, natural behavior monitoring, and personality assessment.</w:t>
      </w:r>
    </w:p>
    <w:bookmarkEnd w:id="20"/>
    <w:bookmarkStart w:id="32" w:name="methods"/>
    <w:p>
      <w:pPr>
        <w:pStyle w:val="Heading1"/>
      </w:pPr>
      <w:r>
        <w:t xml:space="preserve">3. Methods</w:t>
      </w:r>
    </w:p>
    <w:bookmarkStart w:id="21"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1"/>
    <w:bookmarkStart w:id="22"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 level, data were removed for specific cows on days affected by:</w:t>
      </w:r>
    </w:p>
    <w:p>
      <w:pPr>
        <w:numPr>
          <w:ilvl w:val="0"/>
          <w:numId w:val="1001"/>
        </w:numPr>
      </w:pPr>
      <w:r>
        <w:t xml:space="preserve">health events, including illness episodes when cows were moved to the hospital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Insentec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Insentec recording system,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2"/>
    <w:bookmarkStart w:id="24" w:name="behavioral-variable-extraction"/>
    <w:p>
      <w:pPr>
        <w:pStyle w:val="Heading2"/>
      </w:pPr>
      <w:r>
        <w:t xml:space="preserve">3.3 Behavioral Variable Extraction</w:t>
      </w:r>
    </w:p>
    <w:p>
      <w:pPr>
        <w:pStyle w:val="FirstParagraph"/>
      </w:pPr>
      <w:r>
        <w:t xml:space="preserve">To process the raw feeding and drinking data collected by the Insentec system and extract meaningful behavioral variables, we developed an open-source R package called moo4feed</w:t>
      </w:r>
      <w:r>
        <w:t xml:space="preserve"> </w:t>
      </w:r>
      <w:hyperlink r:id="rId23">
        <w:r>
          <w:rPr>
            <w:rStyle w:val="Hyperlink"/>
          </w:rPr>
          <w:t xml:space="preserve">https://www.skysheng.io/moo4feed/</w:t>
        </w:r>
      </w:hyperlink>
      <w:r>
        <w:t xml:space="preserve"> </w:t>
      </w:r>
      <w:r>
        <w:t xml:space="preserve">. This package provides a standardized workflow for handling electronic feed and water bin data and supports a broad range of analyses. The functionality used in this study spans five key areas: (1) data processing, configuration, and quality control; (2) agonistic replacement detection; (3) non-nutritive visit detection; (4) feed availability estimation; and (5) meal clustering and analysis. Note that moo4feed includes additional variables and functionalities beyond the scope of this paper, such as pairwise synchronicity analysis.</w:t>
      </w:r>
    </w:p>
    <w:p>
      <w:pPr>
        <w:pStyle w:val="BodyText"/>
      </w:pPr>
      <w:r>
        <w:rPr>
          <w:b/>
          <w:bCs/>
        </w:rPr>
        <w:t xml:space="preserve">Data Processing, Configuration and Quality Control.</w:t>
      </w:r>
      <w:r>
        <w:t xml:space="preserve"> </w:t>
      </w:r>
      <w:r>
        <w:t xml:space="preserve">The package includes a global configuration system that allows users to tailor data processing to their specific farm setup. Users can customize settings such as column name mappings, time zones, bin identifiers, and the physical layout of bins in the barn, making the tool adaptable to a wide range of data formats and facility designs. The package also includes an automated module for handling daylight saving time (DST) transitions across North American time zones. For any given year and time zone, this module identifies the exact dates and times of spring-forward and fall-back transitions. During fall-back transitions (when clocks move back one hour, causing chronological order of visits within the repeated hour to be ambiguous), the package removes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This automated handling ensures temporal consistency across all visit records without manual correction. Additional details on the reproducible workflow are provided in Section 3.5.</w:t>
      </w:r>
    </w:p>
    <w:p>
      <w:pPr>
        <w:pStyle w:val="BodyText"/>
      </w:pPr>
      <w:r>
        <w:t xml:space="preserve">The first processing step converts raw visit data into a standardized format, with each record capturing the cow’s identity, the bin number, the start and end times of the visit, and the start and end weight of the feed or water in the bin. Only days for which both feeder and drinker data files were available were retained for analysis. Feed and water visit data then go through automated quality control check, which includes multiple validation steps: checking whether the expected number of cows was present each day to warn users when cows went missing or lost their ear tags, detecting and correcting double detections (instances where the same cow was recorded at two different bins simultaneously, which indicates potential bin malfunction), flagging records with negative durations, intakes, or weight measurements, identifying abnormally large single-visit feed or water intakes, flagging cows that did not feed or drink after noon (which may indicate a lost ear tag or illness), and flagging bins with unusually low traffic or no visits (which may indicate equipment malfunction). Visits with implausibly long durations were flagged using customizable thresholds (set to &gt;2,000 s for feed bins and &gt;1,800 s for water bins in this study), as were visits with unrealistically large single-visit intake amounts (&gt;8 kg for feed; &gt;30 L for water) or excessively high intake rates (&gt;0.008 kg/s for feed; &gt;0.35 L/s for water). Days on which a cow recorded fewer than 10 visits were flagged as potentially incomplete, typically due to technical issues such as bin breakdowns, and cows with abnormally low or high daily feed intake (&lt;35 or &gt;75 kg/d) or daily water intake (&lt;60 or &gt;180 L/d) were also flagged. This validation procedure functions as a warning system rather than a data filter. All flagged records are retained in the dataset, and researchers receive a summary report to support informed, daily decision-making about data quality on farm.</w:t>
      </w:r>
    </w:p>
    <w:p>
      <w:pPr>
        <w:pStyle w:val="BodyText"/>
      </w:pPr>
      <w:r>
        <w:t xml:space="preserve">Following this initial quality control, additional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the traditional approach of removing data points beyond three standard deviations (SD) from the mean, which applies rigid rectangular cutoffs, the KNN method operates in multidimensional space, considering the relationships among all three variables at once. This enables the detection of visits that appear plausible on any single dimension but are implausible in combination. The KNN algorithm compares each data point to its nearest neighbors and flags those that are unusually distant from their local cluster. Users can adjust the number of neighbors (k = 50 in this study), the percentile threshold for flagging (0.04% of feed visits and 0.1% of water visits were flagged as outliers in this study), and the relative scaling of each variable to control how aggressively outliers are detected. The package also provides visualization tools that allow users to inspect flagged outliers in two-dimensional plots (e.g., intake versus duration, or intake rate versus intake) before deciding whether to remove them.</w:t>
      </w:r>
    </w:p>
    <w:p>
      <w:pPr>
        <w:pStyle w:val="BodyText"/>
      </w:pPr>
      <w:r>
        <w:t xml:space="preserve">After cleaning, the feed and water datasets are combined, and daily summaries of basic feeding and drinking metrics are calculated. This step yields six conventional behavioral variables: (i) total daily feed intake (kg), (ii) total daily feeding duration (s), (iii) total number of feeding visits per day, (iv) total daily water intake (L), (v) total daily drinking duration (s), and (vi) total number of drinking visits per day.</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Insentec system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 bin’s start weight increased by at least 5 kg (threshold is customizable) between consecutive visits, with deliveries to multiple bins grouped together if they occurred within one hour. This approach allows users to track both the frequency of feeding events throughout the day and the exact amount of feed added to each individual bin during every delivery. By combining this with visit-level bin weight data, it becomes possible to estimate how much feed remained in each bin at the precise moment a cow arrived, enabling us to identify cows that consistently are disadvantaged and end up accessing bins only after much of the fresh feed has already been consumed. For each feeding visit, the proportion of feed remaining in the bin at the time of the cow’s arrival was estimated. This produced one variable: (x) median proportion of feed remaining in the bin at visit start (%), calculated as the daily median across all of a cow’s visits to all the feed bins. The median was used in place of the mean as the measure of central tendency, given that the underlying distributions of these variables are often skewed and do not conform to normality assumptions. This variable indicates whether a cow consistently arrived at bins with ample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an arbitrary fixed interval (e.g., 60 or 90 minutes), which fails to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The moo4feed package visualizes the gap distribution and the fitted mixture components so users can confirm the two populations are well separated for their own data. As a simpler alternative, the package also supports a percentile-based approach, where the meal criterion is set to a user-specified percentile of the gap distribution (e.g., the 90th percentile). The meal criterion can be derived at three levels of granularity: a single universal threshold pooled across all animals and days, an animal-specific threshold applied consistently across all days, or a threshold estimated separately for each animal on each day. In this study, we used a single pooled criterion derived from the GMM method. Meals were required to contain a minimum of two visits. The DBSCAN algorithm then assigned each visit to a meal cluster or flagged it as an isolated, unclustered visit. Timeline visualizations of the resulting meal clusters were generated for each animal on each day to allow visual inspection of the clustering results.</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endChr m:val=")"/>
              <m:sepChr m:val=""/>
              <m:grow/>
            </m:dPr>
            <m:e>
              <m:r>
                <m:rPr>
                  <m:nor/>
                  <m:sty m:val="p"/>
                </m:rPr>
                <m:t>month</m:t>
              </m:r>
              <m:r>
                <m:rPr>
                  <m:sty m:val="p"/>
                </m:rPr>
                <m:t>,</m:t>
              </m:r>
              <m:r>
                <m:t> </m:t>
              </m:r>
              <m:r>
                <m:t>2</m:t>
              </m:r>
            </m:e>
          </m:d>
          <m:r>
            <m:rPr>
              <m:sty m:val="p"/>
            </m:rPr>
            <m:t>+</m:t>
          </m:r>
          <m:d>
            <m:dPr>
              <m:begChr m:val="("/>
              <m:endChr m:val=")"/>
              <m:sep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r>
        <w:t xml:space="preserve"> </w:t>
      </w:r>
      <m:oMath>
        <m:rad>
          <m:radPr>
            <m:degHide m:val="on"/>
          </m:radPr>
          <m:deg/>
          <m:e>
            <m:r>
              <m:rPr>
                <m:sty m:val="p"/>
              </m:rPr>
              <m:t>exp</m:t>
            </m:r>
            <m:d>
              <m:dPr>
                <m:begChr m:val="("/>
                <m:endChr m:val=")"/>
                <m:sepChr m:val=""/>
                <m:grow/>
              </m:dPr>
              <m:e>
                <m:r>
                  <m:rPr>
                    <m:nor/>
                    <m:sty m:val="p"/>
                  </m:rPr>
                  <m:t>var.cow</m:t>
                </m:r>
              </m:e>
            </m:d>
            <m:r>
              <m:rPr>
                <m:sty m:val="p"/>
              </m:rPr>
              <m:t>−</m:t>
            </m:r>
            <m:r>
              <m:t>1</m:t>
            </m:r>
          </m:e>
        </m:rad>
      </m:oMath>
      <w:r>
        <w:t xml:space="preserve"> </w:t>
      </w: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 Individual-level posterior distributions were visualized using ridge plots ordered by each cow’s posterior mean.</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endChr m:val=")"/>
              <m:sep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endChr m:val=")"/>
                  <m:sep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endChr m:val=")"/>
                  <m:sep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 MCMC sampling settings were identical to those used for the repeatability models.</w:t>
      </w:r>
    </w:p>
    <w:p>
      <w:pPr>
        <w:pStyle w:val="BodyText"/>
      </w:pPr>
      <w:r>
        <w:t xml:space="preserve">Behavioral variables that showed both high CVi and low CVP are the best candidates for individual profiling, as these are behaviors that differ meaningfully across individuals and remain stable within individuals over time.</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The number of clusters (k = 3) was determined by researcher judgment based on visual inspection of the CVi and R distributions. All variables have low predictaibility values, thus measures of predictability were not used in behavioral variable clustering.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are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The number of components retained was chosen to explain at least 80% of the cumulative variance.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w:t>
      </w:r>
    </w:p>
    <w:p>
      <w:pPr>
        <w:pStyle w:val="BodyText"/>
      </w:pPr>
      <w:r>
        <w:t xml:space="preserve">The silhouette score quantifies how well each data point fits its assigned cluster relative to neighboring clusters. For each cow</w:t>
      </w:r>
      <w:r>
        <w:t xml:space="preserve"> </w:t>
      </w:r>
      <m:oMath>
        <m:r>
          <m:t>i</m:t>
        </m:r>
      </m:oMath>
      <w:r>
        <w:t xml:space="preserve"> </w:t>
      </w:r>
      <w:r>
        <w:t xml:space="preserve">belonging to cluster</w:t>
      </w:r>
      <w:r>
        <w:t xml:space="preserve"> </w:t>
      </w:r>
      <m:oMath>
        <m:sSub>
          <m:e>
            <m:r>
              <m:t>C</m:t>
            </m:r>
          </m:e>
          <m:sub>
            <m:r>
              <m:t>i</m:t>
            </m:r>
          </m:sub>
        </m:sSub>
      </m:oMath>
      <w:r>
        <w:t xml:space="preserve">, we first compute</w:t>
      </w:r>
      <w:r>
        <w:t xml:space="preserve"> </w:t>
      </w:r>
      <m:oMath>
        <m:r>
          <m:t>a</m:t>
        </m:r>
        <m:d>
          <m:dPr>
            <m:begChr m:val="("/>
            <m:endChr m:val=")"/>
            <m:sepChr m:val=""/>
            <m:grow/>
          </m:dPr>
          <m:e>
            <m:r>
              <m:t>i</m:t>
            </m:r>
          </m:e>
        </m:d>
      </m:oMath>
      <w:r>
        <w:t xml:space="preserve">, the mean distance from cow</w:t>
      </w:r>
      <w:r>
        <w:t xml:space="preserve"> </w:t>
      </w:r>
      <m:oMath>
        <m:r>
          <m:t>i</m:t>
        </m:r>
      </m:oMath>
      <w:r>
        <w:t xml:space="preserve"> </w:t>
      </w:r>
      <w:r>
        <w:t xml:space="preserve">to all other cows within the same cluster:</w:t>
      </w:r>
    </w:p>
    <w:p>
      <w:pPr>
        <w:pStyle w:val="BodyText"/>
      </w:pPr>
      <m:oMathPara>
        <m:oMathParaPr>
          <m:jc m:val="center"/>
        </m:oMathParaPr>
        <m:oMath>
          <m:r>
            <m:t>a</m:t>
          </m:r>
          <m:d>
            <m:dPr>
              <m:begChr m:val="("/>
              <m:endChr m:val=")"/>
              <m:sepChr m:val=""/>
              <m:grow/>
            </m:dPr>
            <m:e>
              <m:r>
                <m:t>i</m:t>
              </m:r>
            </m:e>
          </m:d>
          <m:r>
            <m:rPr>
              <m:sty m:val="p"/>
            </m:rPr>
            <m:t>=</m:t>
          </m:r>
          <m:f>
            <m:fPr>
              <m:type m:val="bar"/>
            </m:fPr>
            <m:num>
              <m:r>
                <m:t>1</m:t>
              </m:r>
            </m:num>
            <m:den>
              <m:d>
                <m:dPr>
                  <m:begChr m:val="|"/>
                  <m:endChr m:val="|"/>
                  <m:sepChr m:val=""/>
                  <m:grow/>
                </m:dPr>
                <m:e>
                  <m:sSub>
                    <m:e>
                      <m:r>
                        <m:t>C</m:t>
                      </m:r>
                    </m:e>
                    <m:sub>
                      <m:r>
                        <m:t>i</m:t>
                      </m:r>
                    </m:sub>
                  </m:sSub>
                </m:e>
              </m:d>
              <m:r>
                <m:rPr>
                  <m:sty m:val="p"/>
                </m:rPr>
                <m:t>−</m:t>
              </m:r>
              <m:r>
                <m:t>1</m:t>
              </m:r>
            </m:den>
          </m:f>
          <m:nary>
            <m:naryPr>
              <m:chr m:val="∑"/>
              <m:limLoc m:val="undOvr"/>
              <m:subHide m:val="off"/>
              <m:supHide m:val="on"/>
            </m:naryPr>
            <m:sub>
              <m:r>
                <m:t>j</m:t>
              </m:r>
              <m:r>
                <m:rPr>
                  <m:sty m:val="p"/>
                </m:rPr>
                <m:t>∈</m:t>
              </m:r>
              <m:sSub>
                <m:e>
                  <m:r>
                    <m:t>C</m:t>
                  </m:r>
                </m:e>
                <m:sub>
                  <m:r>
                    <m:t>i</m:t>
                  </m:r>
                </m:sub>
              </m:sSub>
              <m:r>
                <m:rPr>
                  <m:sty m:val="p"/>
                </m:rPr>
                <m:t>,</m:t>
              </m:r>
              <m:r>
                <m:t> </m:t>
              </m:r>
              <m:r>
                <m:t>j</m:t>
              </m:r>
              <m:r>
                <m:rPr>
                  <m:sty m:val="p"/>
                </m:rPr>
                <m:t>≠</m:t>
              </m:r>
              <m:r>
                <m:t>i</m:t>
              </m:r>
            </m:sub>
            <m:sup>
              <m:r>
                <m:t>​</m:t>
              </m:r>
            </m:sup>
            <m:e>
              <m:r>
                <m:t>d</m:t>
              </m:r>
            </m:e>
          </m:nary>
          <m:d>
            <m:dPr>
              <m:begChr m:val="("/>
              <m:endChr m:val=")"/>
              <m:sepChr m:val=""/>
              <m:grow/>
            </m:dPr>
            <m:e>
              <m:r>
                <m:t>i</m:t>
              </m:r>
              <m:r>
                <m:rPr>
                  <m:sty m:val="p"/>
                </m:rPr>
                <m:t>,</m:t>
              </m:r>
              <m:r>
                <m:t>j</m:t>
              </m:r>
            </m:e>
          </m:d>
        </m:oMath>
      </m:oMathPara>
    </w:p>
    <w:p>
      <w:pPr>
        <w:pStyle w:val="FirstParagraph"/>
      </w:pPr>
      <w:r>
        <w:t xml:space="preserve">where</w:t>
      </w:r>
      <w:r>
        <w:t xml:space="preserve"> </w:t>
      </w:r>
      <m:oMath>
        <m:d>
          <m:dPr>
            <m:begChr m:val="|"/>
            <m:endChr m:val="|"/>
            <m:sepChr m:val=""/>
            <m:grow/>
          </m:dPr>
          <m:e>
            <m:sSub>
              <m:e>
                <m:r>
                  <m:t>C</m:t>
                </m:r>
              </m:e>
              <m:sub>
                <m:r>
                  <m:t>i</m:t>
                </m:r>
              </m:sub>
            </m:sSub>
          </m:e>
        </m:d>
      </m:oMath>
      <w:r>
        <w:t xml:space="preserve"> </w:t>
      </w:r>
      <w:r>
        <w:t xml:space="preserve">is the number of cows in cluster</w:t>
      </w:r>
      <w:r>
        <w:t xml:space="preserve"> </w:t>
      </w:r>
      <m:oMath>
        <m:sSub>
          <m:e>
            <m:r>
              <m:t>C</m:t>
            </m:r>
          </m:e>
          <m:sub>
            <m:r>
              <m:t>i</m:t>
            </m:r>
          </m:sub>
        </m:sSub>
      </m:oMath>
      <w:r>
        <w:t xml:space="preserve"> </w:t>
      </w:r>
      <w:r>
        <w:t xml:space="preserve">and</w:t>
      </w:r>
      <w:r>
        <w:t xml:space="preserve"> </w:t>
      </w:r>
      <m:oMath>
        <m:r>
          <m:t>d</m:t>
        </m:r>
        <m:d>
          <m:dPr>
            <m:begChr m:val="("/>
            <m:endChr m:val=")"/>
            <m:sepChr m:val=""/>
            <m:grow/>
          </m:dPr>
          <m:e>
            <m:r>
              <m:t>i</m:t>
            </m:r>
            <m:r>
              <m:rPr>
                <m:sty m:val="p"/>
              </m:rPr>
              <m:t>,</m:t>
            </m:r>
            <m:r>
              <m:t>j</m:t>
            </m:r>
          </m:e>
        </m:d>
      </m:oMath>
      <w:r>
        <w:t xml:space="preserve"> </w:t>
      </w:r>
      <w:r>
        <w:t xml:space="preserve">is the Euclidean distance between cows</w:t>
      </w:r>
      <w:r>
        <w:t xml:space="preserve"> </w:t>
      </w:r>
      <m:oMath>
        <m:r>
          <m:t>i</m:t>
        </m:r>
      </m:oMath>
      <w:r>
        <w:t xml:space="preserve"> </w:t>
      </w:r>
      <w:r>
        <w:t xml:space="preserve">and</w:t>
      </w:r>
      <w:r>
        <w:t xml:space="preserve"> </w:t>
      </w:r>
      <m:oMath>
        <m:r>
          <m:t>j</m:t>
        </m:r>
      </m:oMath>
      <w:r>
        <w:t xml:space="preserve">. A smaller</w:t>
      </w:r>
      <w:r>
        <w:t xml:space="preserve"> </w:t>
      </w:r>
      <m:oMath>
        <m:r>
          <m:t>a</m:t>
        </m:r>
        <m:d>
          <m:dPr>
            <m:begChr m:val="("/>
            <m:endChr m:val=")"/>
            <m:sepChr m:val=""/>
            <m:grow/>
          </m:dPr>
          <m:e>
            <m:r>
              <m:t>i</m:t>
            </m:r>
          </m:e>
        </m:d>
      </m:oMath>
      <w:r>
        <w:t xml:space="preserve"> </w:t>
      </w:r>
      <w:r>
        <w:t xml:space="preserve">indicates that cow</w:t>
      </w:r>
      <w:r>
        <w:t xml:space="preserve"> </w:t>
      </w:r>
      <m:oMath>
        <m:r>
          <m:t>i</m:t>
        </m:r>
      </m:oMath>
      <w:r>
        <w:t xml:space="preserve"> </w:t>
      </w:r>
      <w:r>
        <w:t xml:space="preserve">is tightly grouped with its cluster members.</w:t>
      </w:r>
    </w:p>
    <w:p>
      <w:pPr>
        <w:pStyle w:val="BodyText"/>
      </w:pPr>
      <w:r>
        <w:t xml:space="preserve">We then compute</w:t>
      </w:r>
      <w:r>
        <w:t xml:space="preserve"> </w:t>
      </w:r>
      <m:oMath>
        <m:r>
          <m:t>b</m:t>
        </m:r>
        <m:d>
          <m:dPr>
            <m:begChr m:val="("/>
            <m:endChr m:val=")"/>
            <m:sepChr m:val=""/>
            <m:grow/>
          </m:dPr>
          <m:e>
            <m:r>
              <m:t>i</m:t>
            </m:r>
          </m:e>
        </m:d>
      </m:oMath>
      <w:r>
        <w:t xml:space="preserve">, the mean distance from cow</w:t>
      </w:r>
      <w:r>
        <w:t xml:space="preserve"> </w:t>
      </w:r>
      <m:oMath>
        <m:r>
          <m:t>i</m:t>
        </m:r>
      </m:oMath>
      <w:r>
        <w:t xml:space="preserve"> </w:t>
      </w:r>
      <w:r>
        <w:t xml:space="preserve">to all cows in the nearest neighboring cluster (i.e., the cluster</w:t>
      </w:r>
      <w:r>
        <w:t xml:space="preserve"> </w:t>
      </w:r>
      <m:oMath>
        <m:r>
          <m:t>C</m:t>
        </m:r>
        <m:r>
          <m:rPr>
            <m:sty m:val="p"/>
          </m:rPr>
          <m:t>≠</m:t>
        </m:r>
        <m:sSub>
          <m:e>
            <m:r>
              <m:t>C</m:t>
            </m:r>
          </m:e>
          <m:sub>
            <m:r>
              <m:t>i</m:t>
            </m:r>
          </m:sub>
        </m:sSub>
      </m:oMath>
      <w:r>
        <w:t xml:space="preserve"> </w:t>
      </w:r>
      <w:r>
        <w:t xml:space="preserve">that minimizes the expression below):</w:t>
      </w:r>
    </w:p>
    <w:p>
      <w:pPr>
        <w:pStyle w:val="BodyText"/>
      </w:pPr>
      <m:oMathPara>
        <m:oMathParaPr>
          <m:jc m:val="center"/>
        </m:oMathParaPr>
        <m:oMath>
          <m:r>
            <m:t>b</m:t>
          </m:r>
          <m:d>
            <m:dPr>
              <m:begChr m:val="("/>
              <m:endChr m:val=")"/>
              <m:sepChr m:val=""/>
              <m:grow/>
            </m:dPr>
            <m:e>
              <m:r>
                <m:t>i</m:t>
              </m:r>
            </m:e>
          </m:d>
          <m:r>
            <m:rPr>
              <m:sty m:val="p"/>
            </m:rPr>
            <m:t>=</m:t>
          </m:r>
          <m:limLow>
            <m:e>
              <m:r>
                <m:rPr>
                  <m:sty m:val="p"/>
                </m:rPr>
                <m:t>min</m:t>
              </m:r>
            </m:e>
            <m:lim>
              <m:r>
                <m:t>C</m:t>
              </m:r>
              <m:r>
                <m:rPr>
                  <m:sty m:val="p"/>
                </m:rPr>
                <m:t>≠</m:t>
              </m:r>
              <m:sSub>
                <m:e>
                  <m:r>
                    <m:t>C</m:t>
                  </m:r>
                </m:e>
                <m:sub>
                  <m:r>
                    <m:t>i</m:t>
                  </m:r>
                </m:sub>
              </m:sSub>
            </m:lim>
          </m:limLow>
          <m:f>
            <m:fPr>
              <m:type m:val="bar"/>
            </m:fPr>
            <m:num>
              <m:r>
                <m:t>1</m:t>
              </m:r>
            </m:num>
            <m:den>
              <m:d>
                <m:dPr>
                  <m:begChr m:val="|"/>
                  <m:endChr m:val="|"/>
                  <m:sepChr m:val=""/>
                  <m:grow/>
                </m:dPr>
                <m:e>
                  <m:r>
                    <m:t>C</m:t>
                  </m:r>
                </m:e>
              </m:d>
            </m:den>
          </m:f>
          <m:nary>
            <m:naryPr>
              <m:chr m:val="∑"/>
              <m:limLoc m:val="undOvr"/>
              <m:subHide m:val="off"/>
              <m:supHide m:val="on"/>
            </m:naryPr>
            <m:sub>
              <m:r>
                <m:t>h</m:t>
              </m:r>
              <m:r>
                <m:rPr>
                  <m:sty m:val="p"/>
                </m:rPr>
                <m:t>∈</m:t>
              </m:r>
              <m:r>
                <m:t>C</m:t>
              </m:r>
            </m:sub>
            <m:sup>
              <m:r>
                <m:t>​</m:t>
              </m:r>
            </m:sup>
            <m:e>
              <m:r>
                <m:t>d</m:t>
              </m:r>
            </m:e>
          </m:nary>
          <m:d>
            <m:dPr>
              <m:begChr m:val="("/>
              <m:endChr m:val=")"/>
              <m:sepChr m:val=""/>
              <m:grow/>
            </m:dPr>
            <m:e>
              <m:r>
                <m:t>i</m:t>
              </m:r>
              <m:r>
                <m:rPr>
                  <m:sty m:val="p"/>
                </m:rPr>
                <m:t>,</m:t>
              </m:r>
              <m:r>
                <m:t>h</m:t>
              </m:r>
            </m:e>
          </m:d>
        </m:oMath>
      </m:oMathPara>
    </w:p>
    <w:p>
      <w:pPr>
        <w:pStyle w:val="FirstParagraph"/>
      </w:pPr>
      <w:r>
        <w:t xml:space="preserve">A larger</w:t>
      </w:r>
      <w:r>
        <w:t xml:space="preserve"> </w:t>
      </w:r>
      <m:oMath>
        <m:r>
          <m:t>b</m:t>
        </m:r>
        <m:d>
          <m:dPr>
            <m:begChr m:val="("/>
            <m:endChr m:val=")"/>
            <m:sepChr m:val=""/>
            <m:grow/>
          </m:dPr>
          <m:e>
            <m:r>
              <m:t>i</m:t>
            </m:r>
          </m:e>
        </m:d>
      </m:oMath>
      <w:r>
        <w:t xml:space="preserve"> </w:t>
      </w:r>
      <w:r>
        <w:t xml:space="preserve">indicates that cow</w:t>
      </w:r>
      <w:r>
        <w:t xml:space="preserve"> </w:t>
      </w:r>
      <m:oMath>
        <m:r>
          <m:t>i</m:t>
        </m:r>
      </m:oMath>
      <w:r>
        <w:t xml:space="preserve"> </w:t>
      </w:r>
      <w:r>
        <w:t xml:space="preserve">is well-separated from neighboring clusters. The silhouette score for cow</w:t>
      </w:r>
      <w:r>
        <w:t xml:space="preserve"> </w:t>
      </w:r>
      <m:oMath>
        <m:r>
          <m:t>i</m:t>
        </m:r>
      </m:oMath>
      <w:r>
        <w:t xml:space="preserve"> </w:t>
      </w:r>
      <w:r>
        <w:t xml:space="preserve">is then defined as:</w:t>
      </w:r>
    </w:p>
    <w:p>
      <w:pPr>
        <w:pStyle w:val="BodyText"/>
      </w:pPr>
      <m:oMathPara>
        <m:oMathParaPr>
          <m:jc m:val="center"/>
        </m:oMathParaPr>
        <m:oMath>
          <m:r>
            <m:t>s</m:t>
          </m:r>
          <m:d>
            <m:dPr>
              <m:begChr m:val="("/>
              <m:endChr m:val=")"/>
              <m:sepChr m:val=""/>
              <m:grow/>
            </m:dPr>
            <m:e>
              <m:r>
                <m:t>i</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f>
                      <m:fPr>
                        <m:type m:val="bar"/>
                      </m:fPr>
                      <m:num>
                        <m:r>
                          <m:t>a</m:t>
                        </m:r>
                        <m:d>
                          <m:dPr>
                            <m:begChr m:val="("/>
                            <m:endChr m:val=")"/>
                            <m:sepChr m:val=""/>
                            <m:grow/>
                          </m:dPr>
                          <m:e>
                            <m:r>
                              <m:t>i</m:t>
                            </m:r>
                          </m:e>
                        </m:d>
                      </m:num>
                      <m:den>
                        <m:r>
                          <m:t>b</m:t>
                        </m:r>
                        <m:d>
                          <m:dPr>
                            <m:begChr m:val="("/>
                            <m:endChr m:val=")"/>
                            <m:sepChr m:val=""/>
                            <m:grow/>
                          </m:dPr>
                          <m:e>
                            <m:r>
                              <m:t>i</m:t>
                            </m:r>
                          </m:e>
                        </m:d>
                      </m:den>
                    </m:f>
                    <m:r>
                      <m:rPr>
                        <m:sty m:val="p"/>
                      </m:rPr>
                      <m:t>,</m:t>
                    </m:r>
                  </m:e>
                  <m:e>
                    <m:r>
                      <m:rPr>
                        <m:nor/>
                        <m:sty m:val="p"/>
                      </m:rPr>
                      <m:t>if </m:t>
                    </m:r>
                    <m:r>
                      <m:t>a</m:t>
                    </m:r>
                    <m:d>
                      <m:dPr>
                        <m:begChr m:val="("/>
                        <m:endChr m:val=")"/>
                        <m:sepChr m:val=""/>
                        <m:grow/>
                      </m:dPr>
                      <m:e>
                        <m:r>
                          <m:t>i</m:t>
                        </m:r>
                      </m:e>
                    </m:d>
                    <m:r>
                      <m:rPr>
                        <m:sty m:val="p"/>
                      </m:rPr>
                      <m:t>&lt;</m:t>
                    </m:r>
                    <m:r>
                      <m:t>b</m:t>
                    </m:r>
                    <m:d>
                      <m:dPr>
                        <m:begChr m:val="("/>
                        <m:endChr m:val=")"/>
                        <m:sepChr m:val=""/>
                        <m:grow/>
                      </m:dPr>
                      <m:e>
                        <m:r>
                          <m:t>i</m:t>
                        </m:r>
                      </m:e>
                    </m:d>
                  </m:e>
                </m:mr>
                <m:mr>
                  <m:e>
                    <m:r>
                      <m:t>0</m:t>
                    </m:r>
                    <m:r>
                      <m:rPr>
                        <m:sty m:val="p"/>
                      </m:rPr>
                      <m:t>,</m:t>
                    </m:r>
                  </m:e>
                  <m:e>
                    <m:r>
                      <m:rPr>
                        <m:nor/>
                        <m:sty m:val="p"/>
                      </m:rPr>
                      <m:t>if </m:t>
                    </m:r>
                    <m:r>
                      <m:t>a</m:t>
                    </m:r>
                    <m:d>
                      <m:dPr>
                        <m:begChr m:val="("/>
                        <m:endChr m:val=")"/>
                        <m:sepChr m:val=""/>
                        <m:grow/>
                      </m:dPr>
                      <m:e>
                        <m:r>
                          <m:t>i</m:t>
                        </m:r>
                      </m:e>
                    </m:d>
                    <m:r>
                      <m:rPr>
                        <m:sty m:val="p"/>
                      </m:rPr>
                      <m:t>=</m:t>
                    </m:r>
                    <m:r>
                      <m:t>b</m:t>
                    </m:r>
                    <m:d>
                      <m:dPr>
                        <m:begChr m:val="("/>
                        <m:endChr m:val=")"/>
                        <m:sepChr m:val=""/>
                        <m:grow/>
                      </m:dPr>
                      <m:e>
                        <m:r>
                          <m:t>i</m:t>
                        </m:r>
                      </m:e>
                    </m:d>
                  </m:e>
                </m:mr>
                <m:mr>
                  <m:e>
                    <m:f>
                      <m:fPr>
                        <m:type m:val="bar"/>
                      </m:fPr>
                      <m:num>
                        <m:r>
                          <m:t>b</m:t>
                        </m:r>
                        <m:d>
                          <m:dPr>
                            <m:begChr m:val="("/>
                            <m:endChr m:val=")"/>
                            <m:sepChr m:val=""/>
                            <m:grow/>
                          </m:dPr>
                          <m:e>
                            <m:r>
                              <m:t>i</m:t>
                            </m:r>
                          </m:e>
                        </m:d>
                      </m:num>
                      <m:den>
                        <m:r>
                          <m:t>a</m:t>
                        </m:r>
                        <m:d>
                          <m:dPr>
                            <m:begChr m:val="("/>
                            <m:endChr m:val=")"/>
                            <m:sepChr m:val=""/>
                            <m:grow/>
                          </m:dPr>
                          <m:e>
                            <m:r>
                              <m:t>i</m:t>
                            </m:r>
                          </m:e>
                        </m:d>
                      </m:den>
                    </m:f>
                    <m:r>
                      <m:rPr>
                        <m:sty m:val="p"/>
                      </m:rPr>
                      <m:t>−</m:t>
                    </m:r>
                    <m:r>
                      <m:t>1</m:t>
                    </m:r>
                    <m:r>
                      <m:rPr>
                        <m:sty m:val="p"/>
                      </m:rPr>
                      <m:t>,</m:t>
                    </m:r>
                  </m:e>
                  <m:e>
                    <m:r>
                      <m:rPr>
                        <m:nor/>
                        <m:sty m:val="p"/>
                      </m:rPr>
                      <m:t>if </m:t>
                    </m:r>
                    <m:r>
                      <m:t>a</m:t>
                    </m:r>
                    <m:d>
                      <m:dPr>
                        <m:begChr m:val="("/>
                        <m:endChr m:val=")"/>
                        <m:sepChr m:val=""/>
                        <m:grow/>
                      </m:dPr>
                      <m:e>
                        <m:r>
                          <m:t>i</m:t>
                        </m:r>
                      </m:e>
                    </m:d>
                    <m:r>
                      <m:rPr>
                        <m:sty m:val="p"/>
                      </m:rPr>
                      <m:t>&gt;</m:t>
                    </m:r>
                    <m:r>
                      <m:t>b</m:t>
                    </m:r>
                    <m:d>
                      <m:dPr>
                        <m:begChr m:val="("/>
                        <m:endChr m:val=")"/>
                        <m:sepChr m:val=""/>
                        <m:grow/>
                      </m:dPr>
                      <m:e>
                        <m:r>
                          <m:t>i</m:t>
                        </m:r>
                      </m:e>
                    </m:d>
                  </m:e>
                </m:mr>
              </m:m>
            </m:e>
          </m:d>
        </m:oMath>
      </m:oMathPara>
    </w:p>
    <w:p>
      <w:pPr>
        <w:pStyle w:val="FirstParagraph"/>
      </w:pPr>
      <w:r>
        <w:t xml:space="preserve">Values of</w:t>
      </w:r>
      <w:r>
        <w:t xml:space="preserve"> </w:t>
      </w:r>
      <m:oMath>
        <m:r>
          <m:t>s</m:t>
        </m:r>
        <m:d>
          <m:dPr>
            <m:begChr m:val="("/>
            <m:endChr m:val=")"/>
            <m:sepChr m:val=""/>
            <m:grow/>
          </m:dPr>
          <m:e>
            <m:r>
              <m:t>i</m:t>
            </m:r>
          </m:e>
        </m:d>
      </m:oMath>
      <w:r>
        <w:t xml:space="preserve"> </w:t>
      </w:r>
      <w:r>
        <w:t xml:space="preserve">range from</w:t>
      </w:r>
      <w:r>
        <w:t xml:space="preserve"> </w:t>
      </w:r>
      <m:oMath>
        <m:r>
          <m:rPr>
            <m:sty m:val="p"/>
          </m:rPr>
          <m:t>−</m:t>
        </m:r>
        <m:r>
          <m:t>1</m:t>
        </m:r>
      </m:oMath>
      <w:r>
        <w:t xml:space="preserve"> </w:t>
      </w:r>
      <w:r>
        <w:t xml:space="preserve">to</w:t>
      </w:r>
      <w:r>
        <w:t xml:space="preserve"> </w:t>
      </w:r>
      <m:oMath>
        <m:r>
          <m:t>1</m:t>
        </m:r>
      </m:oMath>
      <w:r>
        <w:t xml:space="preserve">, where values close to</w:t>
      </w:r>
      <w:r>
        <w:t xml:space="preserve"> </w:t>
      </w:r>
      <m:oMath>
        <m:r>
          <m:t>1</m:t>
        </m:r>
      </m:oMath>
      <w:r>
        <w:t xml:space="preserve"> </w:t>
      </w:r>
      <w:r>
        <w:t xml:space="preserve">indicate that the cow is well-matched to its own cluster and clearly separated from others, values near</w:t>
      </w:r>
      <w:r>
        <w:t xml:space="preserve"> </w:t>
      </w:r>
      <m:oMath>
        <m:r>
          <m:t>0</m:t>
        </m:r>
      </m:oMath>
      <w:r>
        <w:t xml:space="preserve"> </w:t>
      </w:r>
      <w:r>
        <w:t xml:space="preserve">indicate borderline assignment, and negative values suggest possible misclassification.</w:t>
      </w:r>
    </w:p>
    <w:p>
      <w:pPr>
        <w:pStyle w:val="BodyText"/>
      </w:pPr>
      <w:r>
        <w:t xml:space="preserve">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1"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3">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6">
        <w:r>
          <w:rPr>
            <w:rStyle w:val="Hyperlink"/>
          </w:rPr>
          <w:t xml:space="preserve">https://app.codecov.io/gh/skysheng7/moo4feed</w:t>
        </w:r>
      </w:hyperlink>
      <w:r>
        <w:t xml:space="preserve">). This R package enables future researchers to replicate our variable extraction pipeline on their own datasets and to extend the approach to additional behavioral measures. The source code and example data included in the R package is hosted on GitHub:</w:t>
      </w:r>
      <w:r>
        <w:t xml:space="preserve"> </w:t>
      </w:r>
      <w:hyperlink r:id="rId27">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8">
        <w:r>
          <w:rPr>
            <w:rStyle w:val="Hyperlink"/>
          </w:rPr>
          <w:t xml:space="preserve">https://github.com/skysheng7/competition_dominance_analysis.git</w:t>
        </w:r>
      </w:hyperlink>
      <w:r>
        <w:t xml:space="preserve">. We have also used Borealis to archive the R package at:</w:t>
      </w:r>
      <w:r>
        <w:t xml:space="preserve"> </w:t>
      </w:r>
      <w:hyperlink r:id="rId29">
        <w:r>
          <w:rPr>
            <w:rStyle w:val="Hyperlink"/>
          </w:rPr>
          <w:t xml:space="preserve">https://doi.org/10.5683/SP3/LF4DRO</w:t>
        </w:r>
      </w:hyperlink>
      <w:r>
        <w:t xml:space="preserve"> </w:t>
      </w:r>
      <w:r>
        <w:t xml:space="preserve">and data analysis code at:</w:t>
      </w:r>
      <w:r>
        <w:t xml:space="preserve"> </w:t>
      </w:r>
      <w:hyperlink r:id="rId30">
        <w:r>
          <w:rPr>
            <w:rStyle w:val="Hyperlink"/>
          </w:rPr>
          <w:t xml:space="preserve">https://doi.org/10.5683/SP3/K6J350</w:t>
        </w:r>
      </w:hyperlink>
      <w:r>
        <w:t xml:space="preserve">.</w:t>
      </w:r>
    </w:p>
    <w:bookmarkEnd w:id="31"/>
    <w:bookmarkEnd w:id="32"/>
    <w:bookmarkStart w:id="92"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8"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2"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1.55 [1.44, 1.68]</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1.50]</w:t>
            </w:r>
          </w:p>
        </w:tc>
      </w:tr>
      <w:tr>
        <w:trPr>
          <w:trHeight w:val="58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1.42 [1.33, 1.51]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1.48 [1.38, 1.58]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1.49]</w:t>
            </w:r>
          </w:p>
        </w:tc>
      </w:tr>
      <w:tr>
        <w:trPr>
          <w:trHeight w:val="578"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[1.23, 1.40]</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[1.16, 1.31]</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[1.15, 1.28]</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1.63]</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1.62]</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7" w:name="cell-fig-rep-cvp-scatter"/>
    <w:tbl>
      <w:tblPr>
        <w:tblStyle w:val="Table"/>
        <w:tblW w:type="pct" w:w="5000"/>
        <w:tblLayout w:type="fixed"/>
        <w:tblLook w:firstRow="0" w:lastRow="0" w:firstColumn="0" w:lastColumn="0" w:noHBand="0" w:noVBand="0" w:val="0000"/>
      </w:tblPr>
      <w:tblGrid>
        <w:gridCol w:w="7920"/>
      </w:tblGrid>
      <w:tr>
        <w:tc>
          <w:tcPr/>
          <w:bookmarkStart w:id="36" w:name="fig-rep-cvp-scatter"/>
          <w:p>
            <w:pPr>
              <w:pStyle w:val="Compact"/>
              <w:jc w:val="center"/>
            </w:pPr>
            <w:r>
              <w:drawing>
                <wp:inline>
                  <wp:extent cx="5943600" cy="2701636"/>
                  <wp:effectExtent b="0" l="0" r="0" t="0"/>
                  <wp:docPr descr="" title="" id="34" name="Picture"/>
                  <a:graphic>
                    <a:graphicData uri="http://schemas.openxmlformats.org/drawingml/2006/picture">
                      <pic:pic>
                        <pic:nvPicPr>
                          <pic:cNvPr descr="results/14_individual_traits/ellipse_scatter_grid_AB.png" id="35" name="Picture"/>
                          <pic:cNvPicPr>
                            <a:picLocks noChangeArrowheads="1" noChangeAspect="1"/>
                          </pic:cNvPicPr>
                        </pic:nvPicPr>
                        <pic:blipFill>
                          <a:blip r:embed="rId33"/>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6"/>
        </w:tc>
      </w:tr>
    </w:tbl>
    <w:bookmarkEnd w:id="37"/>
    <w:p>
      <w:pPr>
        <w:pStyle w:val="BodyText"/>
      </w:pPr>
    </w:p>
    <w:bookmarkEnd w:id="38"/>
    <w:bookmarkStart w:id="39"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39"/>
    <w:bookmarkStart w:id="40"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0"/>
    <w:bookmarkStart w:id="51"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Cluster 1 variables. 3 components were retained to meet the ≥80% cumulative-variance criterion, together explaining 86.1% of the total variance (Table 2). Rotated Component (RC) 1 explained the largest share of variance (51.6%), driven primarily by non-nutritive visiting behavior and within-meal visit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RC3</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-0.57</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r>
    </w:tbl>
    <w:p>
      <w:pPr>
        <w:pStyle w:val="BodyText"/>
      </w:pPr>
    </w:p>
    <w:p>
      <w:pPr>
        <w:pStyle w:val="BodyText"/>
      </w:pPr>
    </w:p>
    <w:bookmarkStart w:id="49"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4" w:name="fig-pca-biplots-1"/>
                <w:p>
                  <w:pPr>
                    <w:pStyle w:val="Compact"/>
                    <w:jc w:val="center"/>
                    <w:jc w:val="left"/>
                  </w:pPr>
                  <w:r>
                    <w:drawing>
                      <wp:inline>
                        <wp:extent cx="2971800" cy="2674620"/>
                        <wp:effectExtent b="0" l="0" r="0" t="0"/>
                        <wp:docPr descr="" title="" id="42" name="Picture"/>
                        <a:graphic>
                          <a:graphicData uri="http://schemas.openxmlformats.org/drawingml/2006/picture">
                            <pic:pic>
                              <pic:nvPicPr>
                                <pic:cNvPr descr="results/15_pca_clustering/pca_M3_c1_int_biplot_clusters_rc1_rc2.png" id="43" name="Picture"/>
                                <pic:cNvPicPr>
                                  <a:picLocks noChangeArrowheads="1" noChangeAspect="1"/>
                                </pic:cNvPicPr>
                              </pic:nvPicPr>
                              <pic:blipFill>
                                <a:blip r:embed="rId41"/>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4"/>
              </w:tc>
            </w:tr>
          </w:tbl>
          <w:p/>
        </w:tc>
        <w:tc>
          <w:tcPr/>
          <w:tbl>
            <w:tblPr>
              <w:tblStyle w:val="Table"/>
              <w:tblW w:type="pct" w:w="4900"/>
              <w:tblLayout w:type="fixed"/>
              <w:tblLook w:firstRow="0" w:lastRow="0" w:firstColumn="0" w:lastColumn="0" w:noHBand="0" w:noVBand="0" w:val="0000"/>
            </w:tblPr>
            <w:tblGrid>
              <w:gridCol w:w="7761"/>
            </w:tblGrid>
            <w:tr>
              <w:tc>
                <w:tcPr/>
                <w:bookmarkStart w:id="48" w:name="fig-pca-biplots-2"/>
                <w:p>
                  <w:pPr>
                    <w:pStyle w:val="Compact"/>
                    <w:jc w:val="center"/>
                    <w:jc w:val="left"/>
                  </w:pPr>
                  <w:r>
                    <w:drawing>
                      <wp:inline>
                        <wp:extent cx="2971800" cy="2674620"/>
                        <wp:effectExtent b="0" l="0" r="0" t="0"/>
                        <wp:docPr descr="" title="" id="46" name="Picture"/>
                        <a:graphic>
                          <a:graphicData uri="http://schemas.openxmlformats.org/drawingml/2006/picture">
                            <pic:pic>
                              <pic:nvPicPr>
                                <pic:cNvPr descr="results/15_pca_clustering/pca_M3_c1_int_biplot_clusters_rc1_rc3.png" id="47" name="Picture"/>
                                <pic:cNvPicPr>
                                  <a:picLocks noChangeArrowheads="1" noChangeAspect="1"/>
                                </pic:cNvPicPr>
                              </pic:nvPicPr>
                              <pic:blipFill>
                                <a:blip r:embed="rId45"/>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48"/>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49"/>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The 4 clusters were uneven in size: one large cluster contained 55 cows (~51% of the herd), a second contained 34 cows (~32%), a third contained 13 cows (~12%), and a fourth contained only 5 cows (~5%). An interactive visualization of the 4 clusters of cows in the 3D space, colored by cluster assignment, is available at</w:t>
      </w:r>
      <w:r>
        <w:t xml:space="preserve"> </w:t>
      </w:r>
      <w:hyperlink r:id="rId50">
        <w:r>
          <w:rPr>
            <w:rStyle w:val="Hyperlink"/>
          </w:rPr>
          <w:t xml:space="preserve">https://www.skysheng.io/moo4feed_decoding_animal/</w:t>
        </w:r>
      </w:hyperlink>
      <w:r>
        <w:t xml:space="preserve">.</w:t>
      </w:r>
    </w:p>
    <w:bookmarkEnd w:id="51"/>
    <w:bookmarkStart w:id="91" w:name="references"/>
    <w:p>
      <w:pPr>
        <w:pStyle w:val="Heading2"/>
      </w:pPr>
      <w:r>
        <w:t xml:space="preserve">References</w:t>
      </w:r>
    </w:p>
    <w:bookmarkStart w:id="90" w:name="refs"/>
    <w:bookmarkStart w:id="52" w:name="ref-biro2012"/>
    <w:p>
      <w:pPr>
        <w:pStyle w:val="Bibliography"/>
      </w:pPr>
      <w:r>
        <w:t xml:space="preserve">Biro, P.A., 2012. Do rapid assays predict repeatability in labile (behavioural) traits? Animal Behaviour 83, 1295–1300.</w:t>
      </w:r>
    </w:p>
    <w:bookmarkEnd w:id="52"/>
    <w:bookmarkStart w:id="53" w:name="ref-breed2021"/>
    <w:p>
      <w:pPr>
        <w:pStyle w:val="Bibliography"/>
      </w:pPr>
      <w:r>
        <w:t xml:space="preserve">Breed, M.D., Moore, J., 2021. Animal behavior. Academic Press.</w:t>
      </w:r>
    </w:p>
    <w:bookmarkEnd w:id="53"/>
    <w:bookmarkStart w:id="54" w:name="ref-budaev2010using"/>
    <w:p>
      <w:pPr>
        <w:pStyle w:val="Bibliography"/>
      </w:pPr>
      <w:r>
        <w:t xml:space="preserve">Budaev, S.V., 2010. Using principal components and factor analysis in animal behaviour research: Caveats and guidelines. Ethology 116, 472–480.</w:t>
      </w:r>
    </w:p>
    <w:bookmarkEnd w:id="54"/>
    <w:bookmarkStart w:id="55" w:name="ref-burkner2017brms"/>
    <w:p>
      <w:pPr>
        <w:pStyle w:val="Bibliography"/>
      </w:pPr>
      <w:r>
        <w:t xml:space="preserve">Bürkner, P.-C., 2017. Brms: An r package for bayesian multilevel models using stan. Journal of statistical software 80, 1–28.</w:t>
      </w:r>
    </w:p>
    <w:bookmarkEnd w:id="55"/>
    <w:bookmarkStart w:id="56"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56"/>
    <w:bookmarkStart w:id="57"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57"/>
    <w:bookmarkStart w:id="58"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58"/>
    <w:bookmarkStart w:id="59" w:name="ref-cramer2015"/>
    <w:p>
      <w:pPr>
        <w:pStyle w:val="Bibliography"/>
      </w:pPr>
      <w:r>
        <w:t xml:space="preserve">Cramer, M., Stanton, A., 2015. Associations between health status and the probability of approaching a novel object or stationary human in preweaned group-housed dairy calves. Journal of Dairy Science 98, 7298–7308.</w:t>
      </w:r>
    </w:p>
    <w:bookmarkEnd w:id="59"/>
    <w:bookmarkStart w:id="60" w:name="ref-darwin1872"/>
    <w:p>
      <w:pPr>
        <w:pStyle w:val="Bibliography"/>
      </w:pPr>
      <w:r>
        <w:t xml:space="preserve">Darwin, C., 1872. The expression of the emotions in man and animals (republished in 1965). University of Chicago Press 10, 10001–000.</w:t>
      </w:r>
    </w:p>
    <w:bookmarkEnd w:id="60"/>
    <w:bookmarkStart w:id="61" w:name="ref-dawkins2021"/>
    <w:p>
      <w:pPr>
        <w:pStyle w:val="Bibliography"/>
      </w:pPr>
      <w:r>
        <w:t xml:space="preserve">Dawkins, M.S., 2021. The science of animal welfare: Understanding what animals want. Oxford University Press.</w:t>
      </w:r>
    </w:p>
    <w:bookmarkEnd w:id="61"/>
    <w:bookmarkStart w:id="62" w:name="ref-dittrich2019"/>
    <w:p>
      <w:pPr>
        <w:pStyle w:val="Bibliography"/>
      </w:pPr>
      <w:r>
        <w:t xml:space="preserve">Dittrich, I., Gertz, M., Krieter, J., 2019. Alterations in sick dairy cows’ daily behavioural patterns. Heliyon 5.</w:t>
      </w:r>
    </w:p>
    <w:bookmarkEnd w:id="62"/>
    <w:bookmarkStart w:id="63"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63"/>
    <w:bookmarkStart w:id="64" w:name="ref-flower2006effect"/>
    <w:p>
      <w:pPr>
        <w:pStyle w:val="Bibliography"/>
      </w:pPr>
      <w:r>
        <w:t xml:space="preserve">Flower, F., Weary, D., 2006. Effect of hoof pathologies on subjective assessments of dairy cow gait. Journal of dairy science 89, 139–146.</w:t>
      </w:r>
    </w:p>
    <w:bookmarkEnd w:id="64"/>
    <w:bookmarkStart w:id="6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65"/>
    <w:bookmarkStart w:id="66" w:name="ref-fraser2025"/>
    <w:p>
      <w:pPr>
        <w:pStyle w:val="Bibliography"/>
      </w:pPr>
      <w:r>
        <w:t xml:space="preserve">Fraser, D., 2025. Two paradigms of research and their influence on the study of animal behaviour. Applied Animal Behaviour Science 284, 106550.</w:t>
      </w:r>
    </w:p>
    <w:bookmarkEnd w:id="66"/>
    <w:bookmarkStart w:id="67" w:name="ref-goharshahi2021"/>
    <w:p>
      <w:pPr>
        <w:pStyle w:val="Bibliography"/>
      </w:pPr>
      <w:r>
        <w:t xml:space="preserve">Goharshahi, M., Azizzadeh, M., Lidauer, L., Steininger, A., Kickinger, F., Öhlschuster, M., Auer, W., Klein-Jöbstl, D., Drillich, M., Iwersen, M., 2021. Monitoring selected behaviors of calves by use of an ear-attached accelerometer for detecting early indicators of diarrhea. Journal of Dairy Science 104, 6013–6019.</w:t>
      </w:r>
    </w:p>
    <w:bookmarkEnd w:id="67"/>
    <w:bookmarkStart w:id="68" w:name="ref-griffith1898"/>
    <w:p>
      <w:pPr>
        <w:pStyle w:val="Bibliography"/>
      </w:pPr>
      <w:r>
        <w:t xml:space="preserve">Griffith, F.L., 1898. Hieratic papyri from kahun and gurob:(principally of the middle kingdom). B. Quaritch.</w:t>
      </w:r>
    </w:p>
    <w:bookmarkEnd w:id="68"/>
    <w:bookmarkStart w:id="69" w:name="ref-hart1988biological"/>
    <w:p>
      <w:pPr>
        <w:pStyle w:val="Bibliography"/>
      </w:pPr>
      <w:r>
        <w:t xml:space="preserve">Hart, B.L., 1988. Biological basis of the behavior of sick animals. Neuroscience &amp; Biobehavioral Reviews 12, 123–137.</w:t>
      </w:r>
    </w:p>
    <w:bookmarkEnd w:id="69"/>
    <w:bookmarkStart w:id="70" w:name="ref-hertel2020"/>
    <w:p>
      <w:pPr>
        <w:pStyle w:val="Bibliography"/>
      </w:pPr>
      <w:r>
        <w:t xml:space="preserve">Hertel, A.G., Niemelä, P.T., Dingemanse, N.J., Mueller, T., 2020. A guide for studying among-individual behavioral variation from movement data in the wild. Movement ecology 8, 30.</w:t>
      </w:r>
    </w:p>
    <w:bookmarkEnd w:id="70"/>
    <w:bookmarkStart w:id="71" w:name="ref-hornbuckle1992"/>
    <w:p>
      <w:pPr>
        <w:pStyle w:val="Bibliography"/>
      </w:pPr>
      <w:r>
        <w:t xml:space="preserve">Hornbuckle, W., Morgan, R., 1992. General physical examination of the cat and dog. Handbook of small animal practice. 2nd ed. New York: Churchill Livingstone 3.</w:t>
      </w:r>
    </w:p>
    <w:bookmarkEnd w:id="71"/>
    <w:bookmarkStart w:id="72" w:name="ref-huzzey2014automatic"/>
    <w:p>
      <w:pPr>
        <w:pStyle w:val="Bibliography"/>
      </w:pPr>
      <w:r>
        <w:t xml:space="preserve">Huzzey, J., Weary, D., Tiau, B., Von Keyserlingk, M., 2014. Automatic detection of social competition using an electronic feeding system. Journal of dairy science 97, 2953–2958.</w:t>
      </w:r>
    </w:p>
    <w:bookmarkEnd w:id="72"/>
    <w:bookmarkStart w:id="7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73"/>
    <w:bookmarkStart w:id="74"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74"/>
    <w:bookmarkStart w:id="76" w:name="ref-mcdermott2021"/>
    <w:p>
      <w:pPr>
        <w:pStyle w:val="Bibliography"/>
      </w:pPr>
      <w:r>
        <w:t xml:space="preserve">McDermott, A., 2021. News feature: What was the first "art"? How would we know? Recently discovered cave paintings and bone carvings offer new perspectives on long-held questions about art’s origins-not to mention the nature of art itself. Proceedings of the National Academy of Sciences of the United States of America 118, e2117561118.</w:t>
      </w:r>
      <w:r>
        <w:t xml:space="preserve"> </w:t>
      </w:r>
      <w:hyperlink r:id="rId75">
        <w:r>
          <w:rPr>
            <w:rStyle w:val="Hyperlink"/>
          </w:rPr>
          <w:t xml:space="preserve">https://doi.org/10.1073/pnas.2117561118</w:t>
        </w:r>
      </w:hyperlink>
    </w:p>
    <w:bookmarkEnd w:id="76"/>
    <w:bookmarkStart w:id="77" w:name="ref-meagher2017"/>
    <w:p>
      <w:pPr>
        <w:pStyle w:val="Bibliography"/>
      </w:pPr>
      <w:r>
        <w:t xml:space="preserve">Meagher, R.K., Weary, D.M., Keyserlingk, M.A. von, 2017. Some like it varied: Individual differences in preference for feed variety in dairy heifers. Applied Animal Behaviour Science 195, 8–14.</w:t>
      </w:r>
    </w:p>
    <w:bookmarkEnd w:id="77"/>
    <w:bookmarkStart w:id="78" w:name="ref-medeiros2022historical"/>
    <w:p>
      <w:pPr>
        <w:pStyle w:val="Bibliography"/>
      </w:pPr>
      <w:r>
        <w:t xml:space="preserve">Medeiros, I., Fernandez-Novo, A., Astiz, S., Simões, J., 2022. Historical evolution of cattle management and herd health of dairy farms in OECD countries. Veterinary sciences 9, 125.</w:t>
      </w:r>
    </w:p>
    <w:bookmarkEnd w:id="78"/>
    <w:bookmarkStart w:id="79" w:name="ref-neave2020long"/>
    <w:p>
      <w:pPr>
        <w:pStyle w:val="Bibliography"/>
      </w:pPr>
      <w:r>
        <w:t xml:space="preserve">Neave, H.W., Costa, J.H., Weary, D.M., Von Keyserlingk, M.A., 2020. Long-term consistency of personality traits of cattle. Royal Society open science 7.</w:t>
      </w:r>
    </w:p>
    <w:bookmarkEnd w:id="79"/>
    <w:bookmarkStart w:id="8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80"/>
    <w:bookmarkStart w:id="82" w:name="ref-R-base"/>
    <w:p>
      <w:pPr>
        <w:pStyle w:val="Bibliography"/>
      </w:pPr>
      <w:r>
        <w:t xml:space="preserve">R Core Team, 2025.</w:t>
      </w:r>
      <w:r>
        <w:t xml:space="preserve"> </w:t>
      </w:r>
      <w:hyperlink r:id="rId81">
        <w:r>
          <w:rPr>
            <w:rStyle w:val="Hyperlink"/>
          </w:rPr>
          <w:t xml:space="preserve">R: A language and environment for statistical computing</w:t>
        </w:r>
      </w:hyperlink>
      <w:r>
        <w:t xml:space="preserve">. R Foundation for Statistical Computing, Vienna, Austria.</w:t>
      </w:r>
    </w:p>
    <w:bookmarkEnd w:id="82"/>
    <w:bookmarkStart w:id="83" w:name="ref-rollin2011animal"/>
    <w:p>
      <w:pPr>
        <w:pStyle w:val="Bibliography"/>
      </w:pPr>
      <w:r>
        <w:t xml:space="preserve">Rollin, B.E., 2011. Animal rights as a mainstream phenomenon. Animals 1, 102–115.</w:t>
      </w:r>
    </w:p>
    <w:bookmarkEnd w:id="83"/>
    <w:bookmarkStart w:id="84" w:name="ref-setser2024a"/>
    <w:p>
      <w:pPr>
        <w:pStyle w:val="Bibliography"/>
      </w:pPr>
      <w:r>
        <w:t xml:space="preserve">Setser, M.W., Neave, H., Costa, J., 2024a. Are you ready for a challenge? Personality traits influence dairy calves’ responses to disease, pain, and nutritional challenges. Journal of Dairy Science 107, 9821–9838.</w:t>
      </w:r>
    </w:p>
    <w:bookmarkEnd w:id="84"/>
    <w:bookmarkStart w:id="85" w:name="ref-setser2024b"/>
    <w:p>
      <w:pPr>
        <w:pStyle w:val="Bibliography"/>
      </w:pPr>
      <w:r>
        <w:t xml:space="preserve">Setser, M.W., Neave, H., Costa, J., 2024b. Individuality of calves: Linking personality traits to feeding and activity daily patterns measured by precision livestock technology. Journal of Dairy Science 107, 3235–3251.</w:t>
      </w:r>
    </w:p>
    <w:bookmarkEnd w:id="85"/>
    <w:bookmarkStart w:id="8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86"/>
    <w:bookmarkStart w:id="87"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87"/>
    <w:bookmarkStart w:id="88" w:name="ref-tolkamp1998satiety"/>
    <w:p>
      <w:pPr>
        <w:pStyle w:val="Bibliography"/>
      </w:pPr>
      <w:r>
        <w:t xml:space="preserve">Tolkamp, B., Allcroft, D., Austin, E., Nielsen, B.L., Kyriazakis, I., 1998. Satiety splits feeding behaviour into bouts. Journal of Theoretical Biology 194, 235–250.</w:t>
      </w:r>
    </w:p>
    <w:bookmarkEnd w:id="88"/>
    <w:bookmarkStart w:id="89" w:name="ref-weary2009"/>
    <w:p>
      <w:pPr>
        <w:pStyle w:val="Bibliography"/>
      </w:pPr>
      <w:r>
        <w:t xml:space="preserve">Weary, D., Huzzey, J., Von Keyserlingk, M., 2009. Board-invited review: Using behavior to predict and identify ill health in animals. Journal of animal science 87, 770–777.</w:t>
      </w:r>
    </w:p>
    <w:bookmarkEnd w:id="89"/>
    <w:bookmarkEnd w:id="90"/>
    <w:bookmarkEnd w:id="91"/>
    <w:bookmarkEnd w:id="9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6" Target="https://app.codecov.io/gh/skysheng7/moo4feed" TargetMode="External" /><Relationship Type="http://schemas.openxmlformats.org/officeDocument/2006/relationships/hyperlink" Id="rId75"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1"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6" Target="https://app.codecov.io/gh/skysheng7/moo4feed" TargetMode="External" /><Relationship Type="http://schemas.openxmlformats.org/officeDocument/2006/relationships/hyperlink" Id="rId75"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1"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herd: Decoding individual animal behavioral narratives through data</dc:title>
  <dc:creator>Kehan Sheng1, Borbala Foris1,2, Daniel M. Weary1, Marina A.G. von Keyserlingk1</dc:creator>
  <cp:keywords/>
  <dcterms:created xsi:type="dcterms:W3CDTF">2026-04-18T04:47:59Z</dcterms:created>
  <dcterms:modified xsi:type="dcterms:W3CDTF">2026-04-18T04:47:59Z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