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46" w:name="cell-fig-pca-biplots"/>
    <w:tbl>
      <w:tblPr>
        <w:tblStyle w:val="Table"/>
        <w:tblW w:type="pct" w:w="5000"/>
        <w:tblLayout w:type="fixed"/>
        <w:tblLook w:firstRow="0" w:lastRow="0" w:firstColumn="0" w:lastColumn="0" w:noHBand="0" w:noVBand="0" w:val="0000"/>
      </w:tblPr>
      <w:tblGrid>
        <w:gridCol w:w="7920"/>
      </w:tblGrid>
      <w:tr>
        <w:tc>
          <w:tcPr/>
          <w:bookmarkStart w:id="45" w:name="fig-pca-biplots"/>
          <w:p>
            <w:pPr>
              <w:pStyle w:val="Compact"/>
              <w:jc w:val="center"/>
            </w:pPr>
            <w:r>
              <w:drawing>
                <wp:inline>
                  <wp:extent cx="5943600" cy="2674620"/>
                  <wp:effectExtent b="0" l="0" r="0" t="0"/>
                  <wp:docPr descr="" title="" id="43" name="Picture"/>
                  <a:graphic>
                    <a:graphicData uri="http://schemas.openxmlformats.org/drawingml/2006/picture">
                      <pic:pic>
                        <pic:nvPicPr>
                          <pic:cNvPr descr="results/15_pca_clustering/pca_M3_c1_int_biplot_clusters_AB.png" id="44" name="Picture"/>
                          <pic:cNvPicPr>
                            <a:picLocks noChangeArrowheads="1" noChangeAspect="1"/>
                          </pic:cNvPicPr>
                        </pic:nvPicPr>
                        <pic:blipFill>
                          <a:blip r:embed="rId42"/>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5"/>
        </w:tc>
      </w:tr>
    </w:tbl>
    <w:bookmarkEnd w:id="46"/>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7">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4.6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69" w:name="discussion"/>
    <w:p>
      <w:pPr>
        <w:pStyle w:val="Heading1"/>
      </w:pPr>
      <w:r>
        <w:t xml:space="preserve">4. Discussion</w:t>
      </w:r>
    </w:p>
    <w:bookmarkStart w:id="53" w:name="interpretation-of-results"/>
    <w:p>
      <w:pPr>
        <w:pStyle w:val="Heading2"/>
      </w:pPr>
      <w:r>
        <w:t xml:space="preserve">Interpretation of Results</w:t>
      </w:r>
    </w:p>
    <w:p>
      <w:pPr>
        <w:pStyle w:val="FirstParagraph"/>
      </w:pPr>
      <w:r>
        <w:t xml:space="preserve">[What do your results mean? Connect back to research questions]</w:t>
      </w:r>
    </w:p>
    <w:bookmarkStart w:id="51"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1"/>
    <w:bookmarkStart w:id="52" w:name="research-question-2-restate-question"/>
    <w:p>
      <w:pPr>
        <w:pStyle w:val="Heading3"/>
      </w:pPr>
      <w:r>
        <w:t xml:space="preserve">[Research Question 2]: [Restate question]</w:t>
      </w:r>
    </w:p>
    <w:p>
      <w:pPr>
        <w:pStyle w:val="FirstParagraph"/>
      </w:pPr>
      <w:r>
        <w:t xml:space="preserve">[Continue for each research question]</w:t>
      </w:r>
    </w:p>
    <w:bookmarkEnd w:id="52"/>
    <w:bookmarkEnd w:id="53"/>
    <w:bookmarkStart w:id="57" w:name="implications"/>
    <w:p>
      <w:pPr>
        <w:pStyle w:val="Heading2"/>
      </w:pPr>
      <w:r>
        <w:t xml:space="preserve">Implications</w:t>
      </w:r>
    </w:p>
    <w:bookmarkStart w:id="54" w:name="theoretical-implications"/>
    <w:p>
      <w:pPr>
        <w:pStyle w:val="Heading3"/>
      </w:pPr>
      <w:r>
        <w:t xml:space="preserve">Theoretical Implications</w:t>
      </w:r>
    </w:p>
    <w:p>
      <w:pPr>
        <w:pStyle w:val="FirstParagraph"/>
      </w:pPr>
      <w:r>
        <w:t xml:space="preserve">[How your findings contribute to theory]</w:t>
      </w:r>
    </w:p>
    <w:bookmarkEnd w:id="54"/>
    <w:bookmarkStart w:id="55" w:name="practical-implications"/>
    <w:p>
      <w:pPr>
        <w:pStyle w:val="Heading3"/>
      </w:pPr>
      <w:r>
        <w:t xml:space="preserve">Practical Implications</w:t>
      </w:r>
    </w:p>
    <w:p>
      <w:pPr>
        <w:pStyle w:val="FirstParagraph"/>
      </w:pPr>
      <w:r>
        <w:t xml:space="preserve">[How your findings can be applied in practice]</w:t>
      </w:r>
    </w:p>
    <w:bookmarkEnd w:id="55"/>
    <w:bookmarkStart w:id="56" w:name="methodological-implications"/>
    <w:p>
      <w:pPr>
        <w:pStyle w:val="Heading3"/>
      </w:pPr>
      <w:r>
        <w:t xml:space="preserve">Methodological Implications</w:t>
      </w:r>
    </w:p>
    <w:p>
      <w:pPr>
        <w:pStyle w:val="FirstParagraph"/>
      </w:pPr>
      <w:r>
        <w:t xml:space="preserve">[What your work means for how research should be conducted]</w:t>
      </w:r>
    </w:p>
    <w:bookmarkEnd w:id="56"/>
    <w:bookmarkEnd w:id="57"/>
    <w:bookmarkStart w:id="60" w:name="comparison-with-prior-work"/>
    <w:p>
      <w:pPr>
        <w:pStyle w:val="Heading2"/>
      </w:pPr>
      <w:r>
        <w:t xml:space="preserve">Comparison with Prior Work</w:t>
      </w:r>
    </w:p>
    <w:p>
      <w:pPr>
        <w:pStyle w:val="FirstParagraph"/>
      </w:pPr>
      <w:r>
        <w:t xml:space="preserve">[How your results relate to existing literature]</w:t>
      </w:r>
    </w:p>
    <w:bookmarkStart w:id="58" w:name="confirmatory-findings"/>
    <w:p>
      <w:pPr>
        <w:pStyle w:val="Heading3"/>
      </w:pPr>
      <w:r>
        <w:t xml:space="preserve">Confirmatory Findings</w:t>
      </w:r>
    </w:p>
    <w:p>
      <w:pPr>
        <w:pStyle w:val="FirstParagraph"/>
      </w:pPr>
      <w:r>
        <w:t xml:space="preserve">[Where your results support existing work]</w:t>
      </w:r>
    </w:p>
    <w:bookmarkEnd w:id="58"/>
    <w:bookmarkStart w:id="59" w:name="novel-contributions"/>
    <w:p>
      <w:pPr>
        <w:pStyle w:val="Heading3"/>
      </w:pPr>
      <w:r>
        <w:t xml:space="preserve">Novel Contributions</w:t>
      </w:r>
    </w:p>
    <w:p>
      <w:pPr>
        <w:pStyle w:val="FirstParagraph"/>
      </w:pPr>
      <w:r>
        <w:t xml:space="preserve">[Where your results extend or challenge existing knowledge]</w:t>
      </w:r>
    </w:p>
    <w:bookmarkEnd w:id="59"/>
    <w:bookmarkEnd w:id="60"/>
    <w:bookmarkStart w:id="64" w:name="limitations"/>
    <w:p>
      <w:pPr>
        <w:pStyle w:val="Heading2"/>
      </w:pPr>
      <w:r>
        <w:t xml:space="preserve">Limitations</w:t>
      </w:r>
    </w:p>
    <w:p>
      <w:pPr>
        <w:pStyle w:val="FirstParagraph"/>
      </w:pPr>
      <w:r>
        <w:t xml:space="preserve">[Honest assessment of study limitations]</w:t>
      </w:r>
    </w:p>
    <w:bookmarkStart w:id="61" w:name="methodological-limitations"/>
    <w:p>
      <w:pPr>
        <w:pStyle w:val="Heading3"/>
      </w:pPr>
      <w:r>
        <w:t xml:space="preserve">Methodological Limitations</w:t>
      </w:r>
    </w:p>
    <w:p>
      <w:pPr>
        <w:pStyle w:val="FirstParagraph"/>
      </w:pPr>
      <w:r>
        <w:t xml:space="preserve">[Limitations in your approach]</w:t>
      </w:r>
    </w:p>
    <w:bookmarkEnd w:id="61"/>
    <w:bookmarkStart w:id="62" w:name="scope-limitations"/>
    <w:p>
      <w:pPr>
        <w:pStyle w:val="Heading3"/>
      </w:pPr>
      <w:r>
        <w:t xml:space="preserve">Scope Limitations</w:t>
      </w:r>
    </w:p>
    <w:p>
      <w:pPr>
        <w:pStyle w:val="FirstParagraph"/>
      </w:pPr>
      <w:r>
        <w:t xml:space="preserve">[Boundaries of your findings]</w:t>
      </w:r>
    </w:p>
    <w:bookmarkEnd w:id="62"/>
    <w:bookmarkStart w:id="63" w:name="data-limitations"/>
    <w:p>
      <w:pPr>
        <w:pStyle w:val="Heading3"/>
      </w:pPr>
      <w:r>
        <w:t xml:space="preserve">Data Limitations</w:t>
      </w:r>
    </w:p>
    <w:p>
      <w:pPr>
        <w:pStyle w:val="FirstParagraph"/>
      </w:pPr>
      <w:r>
        <w:t xml:space="preserve">[If applicable]</w:t>
      </w:r>
    </w:p>
    <w:bookmarkEnd w:id="63"/>
    <w:bookmarkEnd w:id="64"/>
    <w:bookmarkStart w:id="67" w:name="threats-to-validity"/>
    <w:p>
      <w:pPr>
        <w:pStyle w:val="Heading2"/>
      </w:pPr>
      <w:r>
        <w:t xml:space="preserve">Threats to Validity</w:t>
      </w:r>
    </w:p>
    <w:p>
      <w:pPr>
        <w:pStyle w:val="FirstParagraph"/>
      </w:pPr>
      <w:r>
        <w:t xml:space="preserve">[Potential issues that could affect your conclusions]</w:t>
      </w:r>
    </w:p>
    <w:bookmarkStart w:id="65" w:name="internal-validity"/>
    <w:p>
      <w:pPr>
        <w:pStyle w:val="Heading3"/>
      </w:pPr>
      <w:r>
        <w:t xml:space="preserve">Internal Validity</w:t>
      </w:r>
    </w:p>
    <w:p>
      <w:pPr>
        <w:pStyle w:val="FirstParagraph"/>
      </w:pPr>
      <w:r>
        <w:t xml:space="preserve">[Issues within your study]</w:t>
      </w:r>
    </w:p>
    <w:bookmarkEnd w:id="65"/>
    <w:bookmarkStart w:id="66" w:name="external-validity"/>
    <w:p>
      <w:pPr>
        <w:pStyle w:val="Heading3"/>
      </w:pPr>
      <w:r>
        <w:t xml:space="preserve">External Validity</w:t>
      </w:r>
    </w:p>
    <w:p>
      <w:pPr>
        <w:pStyle w:val="FirstParagraph"/>
      </w:pPr>
      <w:r>
        <w:t xml:space="preserve">[Generalizability concerns]</w:t>
      </w:r>
    </w:p>
    <w:bookmarkEnd w:id="66"/>
    <w:bookmarkEnd w:id="67"/>
    <w:bookmarkStart w:id="68"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68"/>
    <w:bookmarkEnd w:id="69"/>
    <w:bookmarkStart w:id="70"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0"/>
    <w:bookmarkStart w:id="71"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1"/>
    <w:bookmarkStart w:id="72"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2"/>
    <w:bookmarkStart w:id="73"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3"/>
    <w:bookmarkStart w:id="137"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6" w:name="references"/>
    <w:p>
      <w:pPr>
        <w:pStyle w:val="Heading2"/>
      </w:pPr>
      <w:r>
        <w:t xml:space="preserve">References</w:t>
      </w:r>
    </w:p>
    <w:bookmarkStart w:id="135" w:name="refs"/>
    <w:bookmarkStart w:id="75"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4">
        <w:r>
          <w:rPr>
            <w:rStyle w:val="Hyperlink"/>
          </w:rPr>
          <w:t xml:space="preserve">https://doi.org/10.2527/jas.2017.1593</w:t>
        </w:r>
      </w:hyperlink>
    </w:p>
    <w:bookmarkEnd w:id="75"/>
    <w:bookmarkStart w:id="76" w:name="ref-biro2012"/>
    <w:p>
      <w:pPr>
        <w:pStyle w:val="Bibliography"/>
      </w:pPr>
      <w:r>
        <w:t xml:space="preserve">Biro, P.A., 2012. Do rapid assays predict repeatability in labile (behavioural) traits? Animal Behaviour 83, 1295–1300.</w:t>
      </w:r>
    </w:p>
    <w:bookmarkEnd w:id="76"/>
    <w:bookmarkStart w:id="78"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77">
        <w:r>
          <w:rPr>
            <w:rStyle w:val="Hyperlink"/>
          </w:rPr>
          <w:t xml:space="preserve">https://doi.org/10.3168/jdsc.2021-0184</w:t>
        </w:r>
      </w:hyperlink>
    </w:p>
    <w:bookmarkEnd w:id="78"/>
    <w:bookmarkStart w:id="80"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9">
        <w:r>
          <w:rPr>
            <w:rStyle w:val="Hyperlink"/>
          </w:rPr>
          <w:t xml:space="preserve">https://doi.org/10.3168/jds.2022-23176</w:t>
        </w:r>
      </w:hyperlink>
    </w:p>
    <w:bookmarkEnd w:id="80"/>
    <w:bookmarkStart w:id="81" w:name="ref-budaev2010using"/>
    <w:p>
      <w:pPr>
        <w:pStyle w:val="Bibliography"/>
      </w:pPr>
      <w:r>
        <w:t xml:space="preserve">Budaev, S.V., 2010. Using principal components and factor analysis in animal behaviour research: Caveats and guidelines. Ethology 116, 472–480.</w:t>
      </w:r>
    </w:p>
    <w:bookmarkEnd w:id="81"/>
    <w:bookmarkStart w:id="82" w:name="ref-burkner2017brms"/>
    <w:p>
      <w:pPr>
        <w:pStyle w:val="Bibliography"/>
      </w:pPr>
      <w:r>
        <w:t xml:space="preserve">Bürkner, P.-C., 2017. Brms: An r package for bayesian multilevel models using stan. Journal of statistical software 80, 1–28.</w:t>
      </w:r>
    </w:p>
    <w:bookmarkEnd w:id="82"/>
    <w:bookmarkStart w:id="84"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3">
        <w:r>
          <w:rPr>
            <w:rStyle w:val="Hyperlink"/>
          </w:rPr>
          <w:t xml:space="preserve">https://doi.org/10.1186/1745-6150-2-2</w:t>
        </w:r>
      </w:hyperlink>
    </w:p>
    <w:bookmarkEnd w:id="84"/>
    <w:bookmarkStart w:id="85"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85"/>
    <w:bookmarkStart w:id="86"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86"/>
    <w:bookmarkStart w:id="87"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87"/>
    <w:bookmarkStart w:id="89"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8">
        <w:r>
          <w:rPr>
            <w:rStyle w:val="Hyperlink"/>
          </w:rPr>
          <w:t xml:space="preserve">https://doi.org/10.1016/j.applanim.2024.106315</w:t>
        </w:r>
      </w:hyperlink>
    </w:p>
    <w:bookmarkEnd w:id="89"/>
    <w:bookmarkStart w:id="90" w:name="ref-dawkins2021"/>
    <w:p>
      <w:pPr>
        <w:pStyle w:val="Bibliography"/>
      </w:pPr>
      <w:r>
        <w:t xml:space="preserve">Dawkins, M.S., 2021. The science of animal welfare: Understanding what animals want. Oxford University Press.</w:t>
      </w:r>
    </w:p>
    <w:bookmarkEnd w:id="90"/>
    <w:bookmarkStart w:id="92"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1">
        <w:r>
          <w:rPr>
            <w:rStyle w:val="Hyperlink"/>
          </w:rPr>
          <w:t xml:space="preserve">https://doi.org/10.3168/JDS.S0022-0302(03)74020-X</w:t>
        </w:r>
      </w:hyperlink>
    </w:p>
    <w:bookmarkEnd w:id="92"/>
    <w:bookmarkStart w:id="93"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3"/>
    <w:bookmarkStart w:id="95"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4">
        <w:r>
          <w:rPr>
            <w:rStyle w:val="Hyperlink"/>
          </w:rPr>
          <w:t xml:space="preserve">https://doi.org/10.3168/jds.2010-3147</w:t>
        </w:r>
      </w:hyperlink>
    </w:p>
    <w:bookmarkEnd w:id="95"/>
    <w:bookmarkStart w:id="96" w:name="ref-finkemeier2018"/>
    <w:p>
      <w:pPr>
        <w:pStyle w:val="Bibliography"/>
      </w:pPr>
      <w:r>
        <w:t xml:space="preserve">Finkemeier, M.-A., Langbein, J., Puppe, B., 2018. Personality research in mammalian farm animals: Concepts, measures, and relationship to welfare. Frontiers in veterinary science 5, 131.</w:t>
      </w:r>
    </w:p>
    <w:bookmarkEnd w:id="96"/>
    <w:bookmarkStart w:id="97" w:name="ref-flower2006effect"/>
    <w:p>
      <w:pPr>
        <w:pStyle w:val="Bibliography"/>
      </w:pPr>
      <w:r>
        <w:t xml:space="preserve">Flower, F., Weary, D., 2006. Effect of hoof pathologies on subjective assessments of dairy cow gait. Journal of dairy science 89, 139–146.</w:t>
      </w:r>
    </w:p>
    <w:bookmarkEnd w:id="97"/>
    <w:bookmarkStart w:id="99"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8">
        <w:r>
          <w:rPr>
            <w:rStyle w:val="Hyperlink"/>
          </w:rPr>
          <w:t xml:space="preserve">https://doi.org/10.3168/jds.2020-18896</w:t>
        </w:r>
      </w:hyperlink>
    </w:p>
    <w:bookmarkEnd w:id="99"/>
    <w:bookmarkStart w:id="100"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0"/>
    <w:bookmarkStart w:id="102"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1">
        <w:r>
          <w:rPr>
            <w:rStyle w:val="Hyperlink"/>
          </w:rPr>
          <w:t xml:space="preserve">https://doi.org/10.1111/rssa.12378</w:t>
        </w:r>
      </w:hyperlink>
    </w:p>
    <w:bookmarkEnd w:id="102"/>
    <w:bookmarkStart w:id="104"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3">
        <w:r>
          <w:rPr>
            <w:rStyle w:val="Hyperlink"/>
          </w:rPr>
          <w:t xml:space="preserve">https://doi.org/10.2527/1995.7392791x</w:t>
        </w:r>
      </w:hyperlink>
    </w:p>
    <w:bookmarkEnd w:id="104"/>
    <w:bookmarkStart w:id="105" w:name="ref-hertel2020"/>
    <w:p>
      <w:pPr>
        <w:pStyle w:val="Bibliography"/>
      </w:pPr>
      <w:r>
        <w:t xml:space="preserve">Hertel, A.G., Niemelä, P.T., Dingemanse, N.J., Mueller, T., 2020. A guide for studying among-individual behavioral variation from movement data in the wild. Movement ecology 8, 30.</w:t>
      </w:r>
    </w:p>
    <w:bookmarkEnd w:id="105"/>
    <w:bookmarkStart w:id="107"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6">
        <w:r>
          <w:rPr>
            <w:rStyle w:val="Hyperlink"/>
          </w:rPr>
          <w:t xml:space="preserve">https://doi.org/10.3168/jds.2011-5038</w:t>
        </w:r>
      </w:hyperlink>
    </w:p>
    <w:bookmarkEnd w:id="107"/>
    <w:bookmarkStart w:id="108" w:name="ref-huzzey2014automatic"/>
    <w:p>
      <w:pPr>
        <w:pStyle w:val="Bibliography"/>
      </w:pPr>
      <w:r>
        <w:t xml:space="preserve">Huzzey, J., Weary, D., Tiau, B., Von Keyserlingk, M., 2014. Automatic detection of social competition using an electronic feeding system. Journal of dairy science 97, 2953–2958.</w:t>
      </w:r>
    </w:p>
    <w:bookmarkEnd w:id="108"/>
    <w:bookmarkStart w:id="109"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09"/>
    <w:bookmarkStart w:id="111"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0">
        <w:r>
          <w:rPr>
            <w:rStyle w:val="Hyperlink"/>
          </w:rPr>
          <w:t xml:space="preserve">https://doi.org/10.1016/0168-1591(91)90086-D</w:t>
        </w:r>
      </w:hyperlink>
    </w:p>
    <w:bookmarkEnd w:id="111"/>
    <w:bookmarkStart w:id="112"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2"/>
    <w:bookmarkStart w:id="114"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3">
        <w:r>
          <w:rPr>
            <w:rStyle w:val="Hyperlink"/>
          </w:rPr>
          <w:t xml:space="preserve">https://doi.org/10.3168/jds.2017-14248</w:t>
        </w:r>
      </w:hyperlink>
    </w:p>
    <w:bookmarkEnd w:id="114"/>
    <w:bookmarkStart w:id="115"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15"/>
    <w:bookmarkStart w:id="117"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16">
        <w:r>
          <w:rPr>
            <w:rStyle w:val="Hyperlink"/>
          </w:rPr>
          <w:t xml:space="preserve">https://doi.org/10.3168/jds.S0022-0302(01)74692-9</w:t>
        </w:r>
      </w:hyperlink>
    </w:p>
    <w:bookmarkEnd w:id="117"/>
    <w:bookmarkStart w:id="119" w:name="ref-R-base"/>
    <w:p>
      <w:pPr>
        <w:pStyle w:val="Bibliography"/>
      </w:pPr>
      <w:r>
        <w:t xml:space="preserve">R Core Team, 2025.</w:t>
      </w:r>
      <w:r>
        <w:t xml:space="preserve"> </w:t>
      </w:r>
      <w:hyperlink r:id="rId118">
        <w:r>
          <w:rPr>
            <w:rStyle w:val="Hyperlink"/>
          </w:rPr>
          <w:t xml:space="preserve">R: A language and environment for statistical computing</w:t>
        </w:r>
      </w:hyperlink>
      <w:r>
        <w:t xml:space="preserve">. R Foundation for Statistical Computing, Vienna, Austria.</w:t>
      </w:r>
    </w:p>
    <w:bookmarkEnd w:id="119"/>
    <w:bookmarkStart w:id="120" w:name="ref-reale2007"/>
    <w:p>
      <w:pPr>
        <w:pStyle w:val="Bibliography"/>
      </w:pPr>
      <w:r>
        <w:t xml:space="preserve">Réale, D., Reader, S.M., Sol, D., McDougall, P.T., Dingemanse, N.J., 2007. Integrating animal temperament within ecology and evolution. Biological reviews 82, 291–318.</w:t>
      </w:r>
    </w:p>
    <w:bookmarkEnd w:id="120"/>
    <w:bookmarkStart w:id="122"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1">
        <w:r>
          <w:rPr>
            <w:rStyle w:val="Hyperlink"/>
          </w:rPr>
          <w:t xml:space="preserve">https://doi.org/10.1016/j.applanim.2018.12.012</w:t>
        </w:r>
      </w:hyperlink>
    </w:p>
    <w:bookmarkEnd w:id="122"/>
    <w:bookmarkStart w:id="124"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3">
        <w:r>
          <w:rPr>
            <w:rStyle w:val="Hyperlink"/>
          </w:rPr>
          <w:t xml:space="preserve">https://doi.org/10.1016/0377-0427(87)90125-7</w:t>
        </w:r>
      </w:hyperlink>
    </w:p>
    <w:bookmarkEnd w:id="124"/>
    <w:bookmarkStart w:id="125"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25"/>
    <w:bookmarkStart w:id="12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6"/>
    <w:bookmarkStart w:id="12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7">
        <w:r>
          <w:rPr>
            <w:rStyle w:val="Hyperlink"/>
          </w:rPr>
          <w:t xml:space="preserve">https://doi.org/10.1007/978-1-4615-7575-7_2</w:t>
        </w:r>
      </w:hyperlink>
    </w:p>
    <w:bookmarkEnd w:id="128"/>
    <w:bookmarkStart w:id="129"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9"/>
    <w:bookmarkStart w:id="130" w:name="ref-tolkamp1998satiety"/>
    <w:p>
      <w:pPr>
        <w:pStyle w:val="Bibliography"/>
      </w:pPr>
      <w:r>
        <w:t xml:space="preserve">Tolkamp, B., Allcroft, D., Austin, E., Nielsen, B.L., Kyriazakis, I., 1998. Satiety splits feeding behaviour into bouts. Journal of Theoretical Biology 194, 235–250.</w:t>
      </w:r>
    </w:p>
    <w:bookmarkEnd w:id="130"/>
    <w:bookmarkStart w:id="132"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1">
        <w:r>
          <w:rPr>
            <w:rStyle w:val="Hyperlink"/>
          </w:rPr>
          <w:t xml:space="preserve">https://doi.org/10.1214/20-BA1221</w:t>
        </w:r>
      </w:hyperlink>
    </w:p>
    <w:bookmarkEnd w:id="132"/>
    <w:bookmarkStart w:id="134" w:name="ref-webster2011personality"/>
    <w:p>
      <w:pPr>
        <w:pStyle w:val="Bibliography"/>
      </w:pPr>
      <w:r>
        <w:t xml:space="preserve">Webster, M.M., Ward, A.J., 2011. Personality and social context. Biological reviews 86, 759–773.</w:t>
      </w:r>
      <w:r>
        <w:t xml:space="preserve"> </w:t>
      </w:r>
      <w:hyperlink r:id="rId133">
        <w:r>
          <w:rPr>
            <w:rStyle w:val="Hyperlink"/>
          </w:rPr>
          <w:t xml:space="preserve">https://doi.org/10.1111/j.1469-185X.2010.00169.x</w:t>
        </w:r>
      </w:hyperlink>
    </w:p>
    <w:bookmarkEnd w:id="134"/>
    <w:bookmarkEnd w:id="135"/>
    <w:bookmarkEnd w:id="136"/>
    <w:bookmarkEnd w:id="137"/>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7"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7"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2026-05-06T23:08:06Z</dcterms:created>
  <dcterms:modified xsi:type="dcterms:W3CDTF">2026-05-06T23:08:06Z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