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0342" w14:textId="77777777" w:rsidR="00787085" w:rsidRDefault="00FD6964" w:rsidP="00C33AFD">
      <w:pPr>
        <w:pStyle w:val="Title"/>
      </w:pPr>
      <w:r w:rsidRPr="00FD6964">
        <w:t>Project Plan</w:t>
      </w:r>
      <w:r w:rsidR="00787085">
        <w:t xml:space="preserve"> </w:t>
      </w:r>
    </w:p>
    <w:p w14:paraId="3A90B004" w14:textId="63582E4C" w:rsidR="00FD6964" w:rsidRPr="00FD6964" w:rsidRDefault="00787085" w:rsidP="00C33AFD">
      <w:pPr>
        <w:pStyle w:val="Title"/>
      </w:pPr>
      <w:r w:rsidRPr="00787085">
        <w:t>Human-in-the-Loop AI Pattern Modeling for Medicare Fraud Detection</w:t>
      </w:r>
    </w:p>
    <w:p w14:paraId="5BBD535E" w14:textId="6C55F191" w:rsidR="00FD6964" w:rsidRPr="00FD6964" w:rsidRDefault="00FD6964" w:rsidP="00C33AFD">
      <w:pPr>
        <w:pStyle w:val="Heading1"/>
      </w:pPr>
      <w:r w:rsidRPr="00FD6964">
        <w:t>DME Sentinel AI</w:t>
      </w:r>
      <w:r w:rsidR="001F08C7">
        <w:t xml:space="preserve"> (As MVP)</w:t>
      </w:r>
    </w:p>
    <w:p w14:paraId="09341A70" w14:textId="77777777" w:rsidR="00FD6964" w:rsidRDefault="00FD6964" w:rsidP="007F1E8F">
      <w:pPr>
        <w:pStyle w:val="Heading2"/>
      </w:pPr>
      <w:r w:rsidRPr="00FD6964">
        <w:t>A Proactive DME Supplier Anomaly Detection MVP for Program Integrity</w:t>
      </w:r>
    </w:p>
    <w:p w14:paraId="55A9FAD4" w14:textId="77777777" w:rsidR="0047088B" w:rsidRPr="0047088B" w:rsidRDefault="0047088B" w:rsidP="0047088B"/>
    <w:p w14:paraId="2EE6F3A2" w14:textId="77777777" w:rsidR="00FD6964" w:rsidRDefault="00FD6964" w:rsidP="0074201F">
      <w:pPr>
        <w:pStyle w:val="Heading3"/>
      </w:pPr>
      <w:r w:rsidRPr="0074201F">
        <w:t>1. Executive Summary</w:t>
      </w:r>
    </w:p>
    <w:p w14:paraId="4F274364" w14:textId="77777777" w:rsidR="00720FD9" w:rsidRPr="00720FD9" w:rsidRDefault="00720FD9" w:rsidP="00720FD9">
      <w:r w:rsidRPr="00720FD9">
        <w:t>DME Sentinel AI is a hackathon MVP designed to proactively detect anomalous billing behavior among durable medical equipment suppliers before improper payments occur. The solution focuses on Medicare DME supplier patterns, making the MVP narrower, more realistic, and easier to demonstrate than a broad provider fraud platform. It uses CMS DME supplier utilization and payment data as the primary foundation, enriches it with DMEPOS fee schedule and vulnerable-item references, and overlays synthetic fraud scenarios to simulate suspicious supplier behavior.</w:t>
      </w:r>
    </w:p>
    <w:p w14:paraId="30512F7E" w14:textId="77777777" w:rsidR="00720FD9" w:rsidRPr="00720FD9" w:rsidRDefault="00720FD9" w:rsidP="00720FD9">
      <w:r w:rsidRPr="00720FD9">
        <w:t xml:space="preserve">The solution detects </w:t>
      </w:r>
      <w:r w:rsidRPr="00720FD9">
        <w:rPr>
          <w:b/>
          <w:bCs/>
        </w:rPr>
        <w:t>both</w:t>
      </w:r>
      <w:r w:rsidRPr="00720FD9">
        <w:t xml:space="preserve"> </w:t>
      </w:r>
      <w:r w:rsidRPr="00720FD9">
        <w:rPr>
          <w:b/>
          <w:bCs/>
        </w:rPr>
        <w:t>obvious supplier-level anomalies and more evasive</w:t>
      </w:r>
      <w:r w:rsidRPr="00720FD9">
        <w:t xml:space="preserve"> </w:t>
      </w:r>
      <w:r w:rsidRPr="00720FD9">
        <w:rPr>
          <w:b/>
          <w:bCs/>
        </w:rPr>
        <w:t xml:space="preserve">patterns </w:t>
      </w:r>
      <w:r w:rsidRPr="00720FD9">
        <w:t>in which suspicious billing activity is fragmented across multiple NPIs or behaviorally similar suppliers, allowing each entity to remain below simple alert thresholds while the broader pattern still presents elevated risk. The output is a prioritized, explainable alert dashboard that helps program integrity teams identify high-risk suppliers and suspicious supplier clusters earlier and take action faster.</w:t>
      </w:r>
    </w:p>
    <w:p w14:paraId="6E0BEAB5" w14:textId="32084DB0" w:rsidR="00C80DDA" w:rsidRPr="00AC42E5" w:rsidRDefault="00720FD9" w:rsidP="00AC42E5">
      <w:r w:rsidRPr="00720FD9">
        <w:t xml:space="preserve">A core differentiator of the solution is its </w:t>
      </w:r>
      <w:r w:rsidRPr="00720FD9">
        <w:rPr>
          <w:b/>
          <w:bCs/>
        </w:rPr>
        <w:t>human-in-the-loop design</w:t>
      </w:r>
      <w:r w:rsidRPr="00720FD9">
        <w:t>. Investigators do not simply review alerts after they are generated. They can actively define suspicious patterns, refine anomaly thresholds, test pattern hypotheses, validate flagged suppliers or supplier clusters, and determine the final next action. This makes the solution more transparent, adaptable, and practical for regulated program integrity workflows.</w:t>
      </w:r>
    </w:p>
    <w:p w14:paraId="52771A8C" w14:textId="77777777" w:rsidR="00AC42E5" w:rsidRPr="00AC42E5" w:rsidRDefault="00AC42E5" w:rsidP="00AC42E5"/>
    <w:p w14:paraId="1C64BFDF" w14:textId="77777777" w:rsidR="00FD6964" w:rsidRDefault="00FD6964" w:rsidP="0074201F">
      <w:pPr>
        <w:pStyle w:val="Heading3"/>
      </w:pPr>
      <w:r w:rsidRPr="00FD6964">
        <w:t>2. Problem Statement</w:t>
      </w:r>
    </w:p>
    <w:p w14:paraId="3A1E778C" w14:textId="77777777" w:rsidR="00273B60" w:rsidRPr="00273B60" w:rsidRDefault="00273B60" w:rsidP="00273B60">
      <w:r w:rsidRPr="00273B60">
        <w:t xml:space="preserve">Current fraud, waste, and abuse detection is often retrospective. In the DME space, suspicious supplier billing behavior may only be identified after claims are paid, creating </w:t>
      </w:r>
      <w:r w:rsidRPr="00273B60">
        <w:lastRenderedPageBreak/>
        <w:t>financial loss and increasing the cost and effort of post-payment review. Analysts must review large volumes of supplier and billing activity, often without a targeted view of which suppliers most strongly deviate from expected behavior.</w:t>
      </w:r>
    </w:p>
    <w:p w14:paraId="3DDCFD1E" w14:textId="77777777" w:rsidR="00273B60" w:rsidRPr="00273B60" w:rsidRDefault="00273B60" w:rsidP="00273B60">
      <w:r w:rsidRPr="00273B60">
        <w:t>Traditional supplier-level threshold rules may be effective for detecting obvious spikes, but they can miss more sophisticated behavior in which suspicious billing activity is distributed across multiple suppliers or NPIs. In these cases, each supplier may appear normal enough on its own to avoid a simple alert, while the combined pattern across geography, HCPCS categories, service mix, or synchronized growth still presents elevated risk.</w:t>
      </w:r>
    </w:p>
    <w:p w14:paraId="61E737C5" w14:textId="77777777" w:rsidR="00273B60" w:rsidRPr="00273B60" w:rsidRDefault="00273B60" w:rsidP="00273B60">
      <w:r w:rsidRPr="00273B60">
        <w:t>At the same time, static fraud rules alone are often insufficient because suspicious behavior evolves over time. Investigators need the ability not only to review alerts, but also to shape detection logic by defining suspicious patterns, tuning thresholds, and testing emerging hypotheses. A focused, proactive mechanism is needed to surface high-risk suppliers and suspicious supplier clusters earlier while preserving human judgment and domain control.</w:t>
      </w:r>
    </w:p>
    <w:p w14:paraId="0499FF5F" w14:textId="247BD989" w:rsidR="00892EE2" w:rsidRPr="00892EE2" w:rsidRDefault="00892EE2" w:rsidP="00892EE2"/>
    <w:p w14:paraId="02D2CEAB" w14:textId="77777777" w:rsidR="00FD6964" w:rsidRPr="00FD6964" w:rsidRDefault="00FD6964" w:rsidP="003C3767">
      <w:pPr>
        <w:pStyle w:val="Heading3"/>
      </w:pPr>
      <w:r w:rsidRPr="00FD6964">
        <w:t>3. Project Objective</w:t>
      </w:r>
    </w:p>
    <w:p w14:paraId="2C9C242E" w14:textId="77777777" w:rsidR="00EB09E0" w:rsidRPr="00EB09E0" w:rsidRDefault="00EB09E0" w:rsidP="00EB09E0">
      <w:r w:rsidRPr="00EB09E0">
        <w:t>Develop a working MVP that:</w:t>
      </w:r>
    </w:p>
    <w:p w14:paraId="72B78717" w14:textId="77777777" w:rsidR="005B3BF6" w:rsidRDefault="005B3BF6" w:rsidP="00546715">
      <w:pPr>
        <w:numPr>
          <w:ilvl w:val="0"/>
          <w:numId w:val="54"/>
        </w:numPr>
        <w:spacing w:after="0"/>
      </w:pPr>
      <w:r>
        <w:t>identifies anomalous DME supplier billing behavior</w:t>
      </w:r>
    </w:p>
    <w:p w14:paraId="27F1898C" w14:textId="77777777" w:rsidR="005B3BF6" w:rsidRDefault="005B3BF6" w:rsidP="00546715">
      <w:pPr>
        <w:numPr>
          <w:ilvl w:val="0"/>
          <w:numId w:val="54"/>
        </w:numPr>
        <w:spacing w:after="0"/>
      </w:pPr>
      <w:r>
        <w:t>detects suspicious behavior fragmented across multiple NPIs or behaviorally similar supplier clusters</w:t>
      </w:r>
    </w:p>
    <w:p w14:paraId="5E913DC8" w14:textId="77777777" w:rsidR="005B3BF6" w:rsidRDefault="005B3BF6" w:rsidP="00546715">
      <w:pPr>
        <w:numPr>
          <w:ilvl w:val="0"/>
          <w:numId w:val="54"/>
        </w:numPr>
        <w:spacing w:after="0"/>
      </w:pPr>
      <w:r>
        <w:t>assigns supplier-level and cluster-level risk scores</w:t>
      </w:r>
    </w:p>
    <w:p w14:paraId="51B28B65" w14:textId="77777777" w:rsidR="005B3BF6" w:rsidRDefault="005B3BF6" w:rsidP="00546715">
      <w:pPr>
        <w:numPr>
          <w:ilvl w:val="0"/>
          <w:numId w:val="54"/>
        </w:numPr>
        <w:spacing w:after="0"/>
      </w:pPr>
      <w:r>
        <w:t>explains why a supplier or supplier group was flagged</w:t>
      </w:r>
    </w:p>
    <w:p w14:paraId="474B1906" w14:textId="77777777" w:rsidR="005B3BF6" w:rsidRDefault="005B3BF6" w:rsidP="00546715">
      <w:pPr>
        <w:numPr>
          <w:ilvl w:val="0"/>
          <w:numId w:val="54"/>
        </w:numPr>
        <w:spacing w:after="0"/>
      </w:pPr>
      <w:r>
        <w:t>allows investigators to define suspicious patterns</w:t>
      </w:r>
    </w:p>
    <w:p w14:paraId="0EA9D374" w14:textId="77777777" w:rsidR="005B3BF6" w:rsidRDefault="005B3BF6" w:rsidP="00546715">
      <w:pPr>
        <w:numPr>
          <w:ilvl w:val="0"/>
          <w:numId w:val="54"/>
        </w:numPr>
        <w:spacing w:after="0"/>
      </w:pPr>
      <w:r>
        <w:t>allows investigators to refine anomaly thresholds</w:t>
      </w:r>
    </w:p>
    <w:p w14:paraId="3E7E7D5D" w14:textId="77777777" w:rsidR="005B3BF6" w:rsidRDefault="005B3BF6" w:rsidP="00546715">
      <w:pPr>
        <w:numPr>
          <w:ilvl w:val="0"/>
          <w:numId w:val="54"/>
        </w:numPr>
        <w:spacing w:after="0"/>
      </w:pPr>
      <w:r>
        <w:t>allows investigators to test pattern hypotheses</w:t>
      </w:r>
    </w:p>
    <w:p w14:paraId="241C0ACE" w14:textId="3545F8FD" w:rsidR="005B3BF6" w:rsidRDefault="005B3BF6" w:rsidP="00546715">
      <w:pPr>
        <w:numPr>
          <w:ilvl w:val="0"/>
          <w:numId w:val="54"/>
        </w:numPr>
        <w:spacing w:after="0"/>
      </w:pPr>
      <w:r>
        <w:t>presents prioritized alerts in a clear, demo-ready interface</w:t>
      </w:r>
    </w:p>
    <w:p w14:paraId="60C500BE" w14:textId="0F25CF55" w:rsidR="00EB09E0" w:rsidRPr="00EB09E0" w:rsidRDefault="005B3BF6" w:rsidP="00546715">
      <w:pPr>
        <w:numPr>
          <w:ilvl w:val="0"/>
          <w:numId w:val="54"/>
        </w:numPr>
        <w:spacing w:after="0"/>
      </w:pPr>
      <w:r>
        <w:t>preserves human oversight for final review and next action</w:t>
      </w:r>
    </w:p>
    <w:p w14:paraId="4425C486" w14:textId="6B60FEF5" w:rsidR="00FD6964" w:rsidRPr="00FD6964" w:rsidRDefault="00FD6964" w:rsidP="00EB09E0">
      <w:pPr>
        <w:ind w:left="720"/>
      </w:pPr>
    </w:p>
    <w:p w14:paraId="77F111CE" w14:textId="5EC1FB39" w:rsidR="00FD6964" w:rsidRPr="00FD6964" w:rsidRDefault="00FD6964" w:rsidP="004235D7">
      <w:pPr>
        <w:pStyle w:val="Heading3"/>
      </w:pPr>
      <w:r w:rsidRPr="00FD6964">
        <w:t>4. Scope</w:t>
      </w:r>
      <w:r w:rsidR="009E381F">
        <w:t xml:space="preserve"> of Work</w:t>
      </w:r>
    </w:p>
    <w:p w14:paraId="764516D3" w14:textId="77777777" w:rsidR="00FD6964" w:rsidRPr="00FD6964" w:rsidRDefault="00FD6964" w:rsidP="00FD6964">
      <w:pPr>
        <w:rPr>
          <w:b/>
          <w:bCs/>
        </w:rPr>
      </w:pPr>
      <w:r w:rsidRPr="00FD6964">
        <w:rPr>
          <w:b/>
          <w:bCs/>
        </w:rPr>
        <w:t>In Scope</w:t>
      </w:r>
    </w:p>
    <w:p w14:paraId="4BC5D20A" w14:textId="4CE1E066" w:rsidR="004235D7" w:rsidRPr="004235D7" w:rsidRDefault="004235D7" w:rsidP="002F28EB">
      <w:pPr>
        <w:pStyle w:val="ListParagraph"/>
        <w:numPr>
          <w:ilvl w:val="0"/>
          <w:numId w:val="44"/>
        </w:numPr>
      </w:pPr>
      <w:r w:rsidRPr="004235D7">
        <w:t>DME supplier anomaly detection only</w:t>
      </w:r>
    </w:p>
    <w:p w14:paraId="7F17B66D" w14:textId="2366EDB2" w:rsidR="004235D7" w:rsidRPr="004235D7" w:rsidRDefault="004235D7" w:rsidP="002F28EB">
      <w:pPr>
        <w:pStyle w:val="ListParagraph"/>
        <w:numPr>
          <w:ilvl w:val="0"/>
          <w:numId w:val="44"/>
        </w:numPr>
      </w:pPr>
      <w:r w:rsidRPr="004235D7">
        <w:t>supplier-level utilization and payment analysis</w:t>
      </w:r>
    </w:p>
    <w:p w14:paraId="4BBE69E9" w14:textId="12202DDF" w:rsidR="004235D7" w:rsidRPr="004235D7" w:rsidRDefault="004235D7" w:rsidP="002F28EB">
      <w:pPr>
        <w:pStyle w:val="ListParagraph"/>
        <w:numPr>
          <w:ilvl w:val="0"/>
          <w:numId w:val="44"/>
        </w:numPr>
      </w:pPr>
      <w:r w:rsidRPr="004235D7">
        <w:t>peer comparison and historical baseline comparison</w:t>
      </w:r>
    </w:p>
    <w:p w14:paraId="62F1E24A" w14:textId="7588413B" w:rsidR="004235D7" w:rsidRPr="004235D7" w:rsidRDefault="004235D7" w:rsidP="002F28EB">
      <w:pPr>
        <w:pStyle w:val="ListParagraph"/>
        <w:numPr>
          <w:ilvl w:val="0"/>
          <w:numId w:val="44"/>
        </w:numPr>
      </w:pPr>
      <w:r w:rsidRPr="004235D7">
        <w:t>risk scoring and alert prioritization</w:t>
      </w:r>
    </w:p>
    <w:p w14:paraId="74831822" w14:textId="5E514FB1" w:rsidR="004235D7" w:rsidRPr="004235D7" w:rsidRDefault="004235D7" w:rsidP="002F28EB">
      <w:pPr>
        <w:pStyle w:val="ListParagraph"/>
        <w:numPr>
          <w:ilvl w:val="0"/>
          <w:numId w:val="44"/>
        </w:numPr>
      </w:pPr>
      <w:r w:rsidRPr="004235D7">
        <w:lastRenderedPageBreak/>
        <w:t>explainable anomaly drivers</w:t>
      </w:r>
    </w:p>
    <w:p w14:paraId="6441B5BA" w14:textId="238E16FE" w:rsidR="004235D7" w:rsidRPr="004235D7" w:rsidRDefault="004235D7" w:rsidP="002F28EB">
      <w:pPr>
        <w:pStyle w:val="ListParagraph"/>
        <w:numPr>
          <w:ilvl w:val="0"/>
          <w:numId w:val="44"/>
        </w:numPr>
      </w:pPr>
      <w:r w:rsidRPr="004235D7">
        <w:t>investigator-defined suspicious pattern configuration</w:t>
      </w:r>
    </w:p>
    <w:p w14:paraId="47E597A2" w14:textId="30840613" w:rsidR="004235D7" w:rsidRPr="004235D7" w:rsidRDefault="004235D7" w:rsidP="002F28EB">
      <w:pPr>
        <w:pStyle w:val="ListParagraph"/>
        <w:numPr>
          <w:ilvl w:val="0"/>
          <w:numId w:val="44"/>
        </w:numPr>
      </w:pPr>
      <w:r w:rsidRPr="004235D7">
        <w:t>investigator threshold refinement</w:t>
      </w:r>
    </w:p>
    <w:p w14:paraId="4DF6ED61" w14:textId="27E94694" w:rsidR="004235D7" w:rsidRPr="004235D7" w:rsidRDefault="004235D7" w:rsidP="002F28EB">
      <w:pPr>
        <w:pStyle w:val="ListParagraph"/>
        <w:numPr>
          <w:ilvl w:val="0"/>
          <w:numId w:val="44"/>
        </w:numPr>
      </w:pPr>
      <w:r w:rsidRPr="004235D7">
        <w:t>pattern hypothesis testing</w:t>
      </w:r>
    </w:p>
    <w:p w14:paraId="14FD7FAD" w14:textId="16436CF8" w:rsidR="004235D7" w:rsidRPr="004235D7" w:rsidRDefault="004235D7" w:rsidP="002F28EB">
      <w:pPr>
        <w:pStyle w:val="ListParagraph"/>
        <w:numPr>
          <w:ilvl w:val="0"/>
          <w:numId w:val="44"/>
        </w:numPr>
      </w:pPr>
      <w:r w:rsidRPr="004235D7">
        <w:t>synthetic anomaly scenarios for demo use</w:t>
      </w:r>
    </w:p>
    <w:p w14:paraId="5C17D6BA" w14:textId="2F6FE7F5" w:rsidR="004235D7" w:rsidRPr="004235D7" w:rsidRDefault="004235D7" w:rsidP="002F28EB">
      <w:pPr>
        <w:pStyle w:val="ListParagraph"/>
        <w:numPr>
          <w:ilvl w:val="0"/>
          <w:numId w:val="44"/>
        </w:numPr>
      </w:pPr>
      <w:r w:rsidRPr="004235D7">
        <w:t>dashboard or lightweight prototype interface</w:t>
      </w:r>
    </w:p>
    <w:p w14:paraId="19959755" w14:textId="56E7426D" w:rsidR="004235D7" w:rsidRPr="004235D7" w:rsidRDefault="004235D7" w:rsidP="002F28EB">
      <w:pPr>
        <w:pStyle w:val="ListParagraph"/>
        <w:numPr>
          <w:ilvl w:val="0"/>
          <w:numId w:val="44"/>
        </w:numPr>
      </w:pPr>
      <w:r w:rsidRPr="004235D7">
        <w:t>human review and action confirmation workflow</w:t>
      </w:r>
    </w:p>
    <w:p w14:paraId="26BFB344" w14:textId="77777777" w:rsidR="009E381F" w:rsidRPr="009E381F" w:rsidRDefault="009E381F" w:rsidP="009E381F">
      <w:pPr>
        <w:rPr>
          <w:b/>
          <w:bCs/>
        </w:rPr>
      </w:pPr>
      <w:r w:rsidRPr="009E381F">
        <w:rPr>
          <w:b/>
          <w:bCs/>
        </w:rPr>
        <w:t>Out of Scope</w:t>
      </w:r>
    </w:p>
    <w:p w14:paraId="234D0DCC" w14:textId="098BDA40" w:rsidR="009E381F" w:rsidRPr="009E381F" w:rsidRDefault="009E381F" w:rsidP="00546715">
      <w:pPr>
        <w:numPr>
          <w:ilvl w:val="0"/>
          <w:numId w:val="46"/>
        </w:numPr>
        <w:spacing w:after="0"/>
      </w:pPr>
      <w:r w:rsidRPr="009E381F">
        <w:t xml:space="preserve">all </w:t>
      </w:r>
      <w:r>
        <w:t xml:space="preserve">non DME </w:t>
      </w:r>
      <w:r w:rsidRPr="009E381F">
        <w:t>Medicare provider types</w:t>
      </w:r>
    </w:p>
    <w:p w14:paraId="5E1719A2" w14:textId="77777777" w:rsidR="009E381F" w:rsidRPr="009E381F" w:rsidRDefault="009E381F" w:rsidP="00546715">
      <w:pPr>
        <w:numPr>
          <w:ilvl w:val="0"/>
          <w:numId w:val="46"/>
        </w:numPr>
        <w:spacing w:after="0"/>
      </w:pPr>
      <w:r w:rsidRPr="009E381F">
        <w:t>full claims adjudication workflow</w:t>
      </w:r>
    </w:p>
    <w:p w14:paraId="373F437A" w14:textId="77777777" w:rsidR="009E381F" w:rsidRPr="009E381F" w:rsidRDefault="009E381F" w:rsidP="00546715">
      <w:pPr>
        <w:numPr>
          <w:ilvl w:val="0"/>
          <w:numId w:val="46"/>
        </w:numPr>
        <w:spacing w:after="0"/>
      </w:pPr>
      <w:r w:rsidRPr="009E381F">
        <w:t>enterprise production integration</w:t>
      </w:r>
    </w:p>
    <w:p w14:paraId="110C812E" w14:textId="77777777" w:rsidR="009E381F" w:rsidRPr="009E381F" w:rsidRDefault="009E381F" w:rsidP="00546715">
      <w:pPr>
        <w:numPr>
          <w:ilvl w:val="0"/>
          <w:numId w:val="46"/>
        </w:numPr>
        <w:spacing w:after="0"/>
      </w:pPr>
      <w:r w:rsidRPr="009E381F">
        <w:t>real-time national deployment</w:t>
      </w:r>
    </w:p>
    <w:p w14:paraId="27C47DBB" w14:textId="77777777" w:rsidR="009E381F" w:rsidRPr="009E381F" w:rsidRDefault="009E381F" w:rsidP="00546715">
      <w:pPr>
        <w:numPr>
          <w:ilvl w:val="0"/>
          <w:numId w:val="46"/>
        </w:numPr>
        <w:spacing w:after="0"/>
      </w:pPr>
      <w:r w:rsidRPr="009E381F">
        <w:t>complete fraud investigation case lifecycle</w:t>
      </w:r>
    </w:p>
    <w:p w14:paraId="3818355E" w14:textId="77777777" w:rsidR="009E381F" w:rsidRDefault="009E381F" w:rsidP="00546715">
      <w:pPr>
        <w:numPr>
          <w:ilvl w:val="0"/>
          <w:numId w:val="46"/>
        </w:numPr>
        <w:spacing w:after="0"/>
      </w:pPr>
      <w:r w:rsidRPr="009E381F">
        <w:t>full compliance or security implementation</w:t>
      </w:r>
    </w:p>
    <w:p w14:paraId="471CFF36" w14:textId="77777777" w:rsidR="00D82CFA" w:rsidRPr="009E381F" w:rsidRDefault="00D82CFA" w:rsidP="00D82CFA">
      <w:pPr>
        <w:ind w:left="720"/>
      </w:pPr>
    </w:p>
    <w:p w14:paraId="0ADFD1D2" w14:textId="77777777" w:rsidR="00FD6964" w:rsidRPr="00FD6964" w:rsidRDefault="00FD6964" w:rsidP="00D82CFA">
      <w:pPr>
        <w:pStyle w:val="Heading3"/>
      </w:pPr>
      <w:r w:rsidRPr="00FD6964">
        <w:t>5. Target Users</w:t>
      </w:r>
    </w:p>
    <w:p w14:paraId="47811505" w14:textId="77777777" w:rsidR="00FD6964" w:rsidRPr="00FD6964" w:rsidRDefault="00FD6964" w:rsidP="00546715">
      <w:pPr>
        <w:numPr>
          <w:ilvl w:val="0"/>
          <w:numId w:val="47"/>
        </w:numPr>
        <w:spacing w:after="0"/>
      </w:pPr>
      <w:r w:rsidRPr="00FD6964">
        <w:t>CMS program integrity analysts</w:t>
      </w:r>
    </w:p>
    <w:p w14:paraId="3E102F57" w14:textId="77777777" w:rsidR="00FD6964" w:rsidRPr="00FD6964" w:rsidRDefault="00FD6964" w:rsidP="00546715">
      <w:pPr>
        <w:numPr>
          <w:ilvl w:val="0"/>
          <w:numId w:val="47"/>
        </w:numPr>
        <w:spacing w:after="0"/>
      </w:pPr>
      <w:r w:rsidRPr="00FD6964">
        <w:t>Fraud, waste, and abuse investigators</w:t>
      </w:r>
    </w:p>
    <w:p w14:paraId="0DF5043C" w14:textId="77777777" w:rsidR="00FD6964" w:rsidRPr="00FD6964" w:rsidRDefault="00FD6964" w:rsidP="00546715">
      <w:pPr>
        <w:numPr>
          <w:ilvl w:val="0"/>
          <w:numId w:val="47"/>
        </w:numPr>
        <w:spacing w:after="0"/>
      </w:pPr>
      <w:r w:rsidRPr="00FD6964">
        <w:t>Medical review teams</w:t>
      </w:r>
    </w:p>
    <w:p w14:paraId="0BB02D4B" w14:textId="77777777" w:rsidR="00FD6964" w:rsidRDefault="00FD6964" w:rsidP="00546715">
      <w:pPr>
        <w:numPr>
          <w:ilvl w:val="0"/>
          <w:numId w:val="47"/>
        </w:numPr>
        <w:spacing w:after="0"/>
      </w:pPr>
      <w:r w:rsidRPr="00FD6964">
        <w:t>Payment integrity teams</w:t>
      </w:r>
    </w:p>
    <w:p w14:paraId="715749CF" w14:textId="77777777" w:rsidR="00546715" w:rsidRDefault="00546715" w:rsidP="00546715">
      <w:pPr>
        <w:ind w:left="720"/>
      </w:pPr>
    </w:p>
    <w:p w14:paraId="00C65245" w14:textId="77777777" w:rsidR="00FD6964" w:rsidRDefault="00FD6964" w:rsidP="00C506DC">
      <w:pPr>
        <w:pStyle w:val="Heading3"/>
      </w:pPr>
      <w:r w:rsidRPr="00FD6964">
        <w:t>6. Solution Overview</w:t>
      </w:r>
    </w:p>
    <w:p w14:paraId="1AF2AA8D" w14:textId="77777777" w:rsidR="00EF04EA" w:rsidRPr="00EF04EA" w:rsidRDefault="00EF04EA" w:rsidP="00EF04EA">
      <w:r w:rsidRPr="00EF04EA">
        <w:t>DME Sentinel AI evaluates DME supplier behavior by analyzing utilization, payments, submitted charges, and service mix. The MVP operates at two levels:</w:t>
      </w:r>
    </w:p>
    <w:p w14:paraId="6A85987F" w14:textId="62C4CA13" w:rsidR="00EF04EA" w:rsidRPr="00EF04EA" w:rsidRDefault="00CE5B96" w:rsidP="00546715">
      <w:pPr>
        <w:numPr>
          <w:ilvl w:val="0"/>
          <w:numId w:val="64"/>
        </w:numPr>
        <w:spacing w:after="0"/>
      </w:pPr>
      <w:r>
        <w:rPr>
          <w:b/>
          <w:bCs/>
        </w:rPr>
        <w:t>I</w:t>
      </w:r>
      <w:r w:rsidR="00EF04EA" w:rsidRPr="00EF04EA">
        <w:rPr>
          <w:b/>
          <w:bCs/>
        </w:rPr>
        <w:t>ndividual supplier anomaly detection</w:t>
      </w:r>
    </w:p>
    <w:p w14:paraId="22381F99" w14:textId="50C524FF" w:rsidR="00EF04EA" w:rsidRPr="00EF04EA" w:rsidRDefault="00CE5B96" w:rsidP="00546715">
      <w:pPr>
        <w:numPr>
          <w:ilvl w:val="0"/>
          <w:numId w:val="64"/>
        </w:numPr>
        <w:spacing w:after="0"/>
      </w:pPr>
      <w:r>
        <w:rPr>
          <w:b/>
          <w:bCs/>
        </w:rPr>
        <w:t>C</w:t>
      </w:r>
      <w:r w:rsidR="00EF04EA" w:rsidRPr="00EF04EA">
        <w:rPr>
          <w:b/>
          <w:bCs/>
        </w:rPr>
        <w:t>oordinated or cluster-based suspicious pattern detection</w:t>
      </w:r>
    </w:p>
    <w:p w14:paraId="7DD9EFF7" w14:textId="77777777" w:rsidR="00546715" w:rsidRDefault="00546715" w:rsidP="00EF04EA"/>
    <w:p w14:paraId="5E20F3CB" w14:textId="6612E4A1" w:rsidR="00EF04EA" w:rsidRPr="00EF04EA" w:rsidRDefault="00EF04EA" w:rsidP="00EF04EA">
      <w:r w:rsidRPr="00EF04EA">
        <w:t>At the individual supplier level, the solution compares each supplier against:</w:t>
      </w:r>
    </w:p>
    <w:p w14:paraId="313589F7" w14:textId="77777777" w:rsidR="00EF04EA" w:rsidRPr="00EF04EA" w:rsidRDefault="00EF04EA" w:rsidP="00546715">
      <w:pPr>
        <w:numPr>
          <w:ilvl w:val="0"/>
          <w:numId w:val="61"/>
        </w:numPr>
        <w:spacing w:after="0"/>
      </w:pPr>
      <w:r w:rsidRPr="00EF04EA">
        <w:t>its own historical pattern</w:t>
      </w:r>
    </w:p>
    <w:p w14:paraId="6DFA8CB0" w14:textId="77777777" w:rsidR="00EF04EA" w:rsidRPr="00EF04EA" w:rsidRDefault="00EF04EA" w:rsidP="00546715">
      <w:pPr>
        <w:numPr>
          <w:ilvl w:val="0"/>
          <w:numId w:val="61"/>
        </w:numPr>
        <w:spacing w:after="0"/>
      </w:pPr>
      <w:r w:rsidRPr="00EF04EA">
        <w:t>peer suppliers in similar cohorts</w:t>
      </w:r>
    </w:p>
    <w:p w14:paraId="3FF43279" w14:textId="77777777" w:rsidR="00EF04EA" w:rsidRPr="00EF04EA" w:rsidRDefault="00EF04EA" w:rsidP="00546715">
      <w:pPr>
        <w:numPr>
          <w:ilvl w:val="0"/>
          <w:numId w:val="61"/>
        </w:numPr>
        <w:spacing w:after="0"/>
      </w:pPr>
      <w:r w:rsidRPr="00EF04EA">
        <w:t>selected high-risk DMEPOS item categories</w:t>
      </w:r>
    </w:p>
    <w:p w14:paraId="4ED21B4D" w14:textId="77777777" w:rsidR="00546715" w:rsidRDefault="00546715" w:rsidP="00EF04EA"/>
    <w:p w14:paraId="16413396" w14:textId="5411ED86" w:rsidR="00EF04EA" w:rsidRPr="00EF04EA" w:rsidRDefault="00EF04EA" w:rsidP="00EF04EA">
      <w:r w:rsidRPr="00EF04EA">
        <w:t>The solution generates:</w:t>
      </w:r>
    </w:p>
    <w:p w14:paraId="5E64BCFC" w14:textId="77777777" w:rsidR="00EF04EA" w:rsidRPr="00EF04EA" w:rsidRDefault="00EF04EA" w:rsidP="00546715">
      <w:pPr>
        <w:numPr>
          <w:ilvl w:val="0"/>
          <w:numId w:val="62"/>
        </w:numPr>
        <w:spacing w:after="0"/>
      </w:pPr>
      <w:r w:rsidRPr="00EF04EA">
        <w:lastRenderedPageBreak/>
        <w:t>a supplier risk score</w:t>
      </w:r>
    </w:p>
    <w:p w14:paraId="59B2F1ED" w14:textId="77777777" w:rsidR="00EF04EA" w:rsidRPr="00EF04EA" w:rsidRDefault="00EF04EA" w:rsidP="00546715">
      <w:pPr>
        <w:numPr>
          <w:ilvl w:val="0"/>
          <w:numId w:val="62"/>
        </w:numPr>
        <w:spacing w:after="0"/>
      </w:pPr>
      <w:r w:rsidRPr="00EF04EA">
        <w:t>the top reasons the supplier is anomalous</w:t>
      </w:r>
    </w:p>
    <w:p w14:paraId="40F7FDE5" w14:textId="77777777" w:rsidR="00EF04EA" w:rsidRPr="00EF04EA" w:rsidRDefault="00EF04EA" w:rsidP="00546715">
      <w:pPr>
        <w:numPr>
          <w:ilvl w:val="0"/>
          <w:numId w:val="62"/>
        </w:numPr>
        <w:spacing w:after="0"/>
      </w:pPr>
      <w:r w:rsidRPr="00EF04EA">
        <w:t>a ranked alert list</w:t>
      </w:r>
    </w:p>
    <w:p w14:paraId="04D40A25" w14:textId="77777777" w:rsidR="00EF04EA" w:rsidRPr="00EF04EA" w:rsidRDefault="00EF04EA" w:rsidP="00546715">
      <w:pPr>
        <w:numPr>
          <w:ilvl w:val="0"/>
          <w:numId w:val="62"/>
        </w:numPr>
        <w:spacing w:after="0"/>
      </w:pPr>
      <w:r w:rsidRPr="00EF04EA">
        <w:t>a supplier detail view with supporting trends</w:t>
      </w:r>
    </w:p>
    <w:p w14:paraId="5595D9A6" w14:textId="77777777" w:rsidR="00EF04EA" w:rsidRPr="00EF04EA" w:rsidRDefault="00EF04EA" w:rsidP="00546715">
      <w:pPr>
        <w:numPr>
          <w:ilvl w:val="0"/>
          <w:numId w:val="62"/>
        </w:numPr>
        <w:spacing w:after="0"/>
      </w:pPr>
      <w:r w:rsidRPr="00EF04EA">
        <w:t>an optional recommended next action</w:t>
      </w:r>
    </w:p>
    <w:p w14:paraId="06E41268" w14:textId="77777777" w:rsidR="00546715" w:rsidRDefault="00546715" w:rsidP="00EF04EA"/>
    <w:p w14:paraId="70CB9596" w14:textId="400B2700" w:rsidR="00EF04EA" w:rsidRPr="00EF04EA" w:rsidRDefault="00EF04EA" w:rsidP="00EF04EA">
      <w:r w:rsidRPr="00EF04EA">
        <w:t>At the coordinated-pattern level, the solution identifies behaviorally similar supplier groups whose combined billing activity may indicate fragmented suspicious behavior across multiple NPIs. This allows the system to surface patterns that may not be visible through single-supplier threshold monitoring alone. These cluster-based patterns can be evaluated using shared geography, overlapping HCPCS categories, similar service mix changes, synchronized growth trends, or other configurable similarity indicators.</w:t>
      </w:r>
    </w:p>
    <w:p w14:paraId="4D3684FE" w14:textId="77777777" w:rsidR="00EF04EA" w:rsidRPr="00EF04EA" w:rsidRDefault="00EF04EA" w:rsidP="00EF04EA">
      <w:r w:rsidRPr="00EF04EA">
        <w:t>The solution also includes a human-in-the-loop investigator layer. Investigators can:</w:t>
      </w:r>
    </w:p>
    <w:p w14:paraId="3F98D486" w14:textId="77777777" w:rsidR="00EF04EA" w:rsidRPr="00EF04EA" w:rsidRDefault="00EF04EA" w:rsidP="00546715">
      <w:pPr>
        <w:numPr>
          <w:ilvl w:val="0"/>
          <w:numId w:val="63"/>
        </w:numPr>
        <w:spacing w:after="0"/>
      </w:pPr>
      <w:r w:rsidRPr="00EF04EA">
        <w:t>define suspicious billing patterns</w:t>
      </w:r>
    </w:p>
    <w:p w14:paraId="651DE0C2" w14:textId="77777777" w:rsidR="00EF04EA" w:rsidRPr="00EF04EA" w:rsidRDefault="00EF04EA" w:rsidP="00546715">
      <w:pPr>
        <w:numPr>
          <w:ilvl w:val="0"/>
          <w:numId w:val="63"/>
        </w:numPr>
        <w:spacing w:after="0"/>
      </w:pPr>
      <w:r w:rsidRPr="00EF04EA">
        <w:t>refine anomaly thresholds</w:t>
      </w:r>
    </w:p>
    <w:p w14:paraId="464468A3" w14:textId="77777777" w:rsidR="00EF04EA" w:rsidRPr="00EF04EA" w:rsidRDefault="00EF04EA" w:rsidP="00546715">
      <w:pPr>
        <w:numPr>
          <w:ilvl w:val="0"/>
          <w:numId w:val="63"/>
        </w:numPr>
        <w:spacing w:after="0"/>
      </w:pPr>
      <w:r w:rsidRPr="00EF04EA">
        <w:t>test pattern hypotheses against the dataset</w:t>
      </w:r>
    </w:p>
    <w:p w14:paraId="496F2036" w14:textId="77777777" w:rsidR="00EF04EA" w:rsidRPr="00EF04EA" w:rsidRDefault="00EF04EA" w:rsidP="00546715">
      <w:pPr>
        <w:numPr>
          <w:ilvl w:val="0"/>
          <w:numId w:val="63"/>
        </w:numPr>
        <w:spacing w:after="0"/>
      </w:pPr>
      <w:r w:rsidRPr="00EF04EA">
        <w:t>review AI-generated alerts and supporting evidence</w:t>
      </w:r>
    </w:p>
    <w:p w14:paraId="4733A024" w14:textId="77777777" w:rsidR="00EF04EA" w:rsidRPr="00EF04EA" w:rsidRDefault="00EF04EA" w:rsidP="00546715">
      <w:pPr>
        <w:numPr>
          <w:ilvl w:val="0"/>
          <w:numId w:val="63"/>
        </w:numPr>
        <w:spacing w:after="0"/>
      </w:pPr>
      <w:r w:rsidRPr="00EF04EA">
        <w:t>validate whether a flagged supplier or supplier cluster represents a meaningful concern</w:t>
      </w:r>
    </w:p>
    <w:p w14:paraId="22936DD4" w14:textId="77777777" w:rsidR="00EF04EA" w:rsidRPr="00EF04EA" w:rsidRDefault="00EF04EA" w:rsidP="00546715">
      <w:pPr>
        <w:numPr>
          <w:ilvl w:val="0"/>
          <w:numId w:val="63"/>
        </w:numPr>
        <w:spacing w:after="0"/>
      </w:pPr>
      <w:r w:rsidRPr="00EF04EA">
        <w:t>confirm, override, or select the next action</w:t>
      </w:r>
    </w:p>
    <w:p w14:paraId="0CE9354F" w14:textId="77777777" w:rsidR="00EF04EA" w:rsidRPr="00EF04EA" w:rsidRDefault="00EF04EA" w:rsidP="00546715">
      <w:pPr>
        <w:numPr>
          <w:ilvl w:val="0"/>
          <w:numId w:val="63"/>
        </w:numPr>
        <w:spacing w:after="0"/>
      </w:pPr>
      <w:r w:rsidRPr="00EF04EA">
        <w:t>provide feedback for future refinement</w:t>
      </w:r>
    </w:p>
    <w:p w14:paraId="0ADC28E8" w14:textId="77777777" w:rsidR="00546715" w:rsidRDefault="00546715" w:rsidP="00EF04EA"/>
    <w:p w14:paraId="69AEE2A0" w14:textId="4A3C6ADB" w:rsidR="00EF04EA" w:rsidRPr="00EF04EA" w:rsidRDefault="00EF04EA" w:rsidP="00EF04EA">
      <w:r w:rsidRPr="00EF04EA">
        <w:t>This ensures the system functions as an investigator-centered decision support tool rather than a black-box automated enforcement engine.</w:t>
      </w:r>
    </w:p>
    <w:p w14:paraId="6B4A4150" w14:textId="77777777" w:rsidR="00461266" w:rsidRPr="00C506DC" w:rsidRDefault="00461266" w:rsidP="00C506DC"/>
    <w:p w14:paraId="20D9CD9A" w14:textId="77777777" w:rsidR="00FD6964" w:rsidRPr="00FD6964" w:rsidRDefault="00FD6964" w:rsidP="00BE5973">
      <w:pPr>
        <w:pStyle w:val="Heading3"/>
      </w:pPr>
      <w:r w:rsidRPr="00FD6964">
        <w:t>7. Data Sources and Analytics Approach</w:t>
      </w:r>
    </w:p>
    <w:p w14:paraId="5EB15F11" w14:textId="4828056F" w:rsidR="00FD6964" w:rsidRPr="00FD6964" w:rsidRDefault="00674464" w:rsidP="00BE5973">
      <w:pPr>
        <w:pStyle w:val="Heading4"/>
      </w:pPr>
      <w:r>
        <w:t xml:space="preserve">7a: </w:t>
      </w:r>
      <w:r w:rsidR="00FD6964" w:rsidRPr="00FD6964">
        <w:t>Primary Dataset</w:t>
      </w:r>
    </w:p>
    <w:p w14:paraId="3454ECB1" w14:textId="395056EB" w:rsidR="00E70933" w:rsidRDefault="00FD6964" w:rsidP="00FD6964">
      <w:r w:rsidRPr="00FD6964">
        <w:t xml:space="preserve">The recommended primary dataset is </w:t>
      </w:r>
      <w:r w:rsidRPr="00FD6964">
        <w:rPr>
          <w:b/>
          <w:bCs/>
        </w:rPr>
        <w:t>Medicare Durable Medical Equipment, Devices &amp; Supplies by Supplier and Service</w:t>
      </w:r>
      <w:r w:rsidRPr="00FD6964">
        <w:t xml:space="preserve"> from CMS Data. </w:t>
      </w:r>
      <w:r w:rsidR="00E1086A" w:rsidRPr="00E1086A">
        <w:t>This dataset provides the strongest public data foundation for a DME-focused supplier anomaly detection MVP.</w:t>
      </w:r>
    </w:p>
    <w:p w14:paraId="5598EC03" w14:textId="4F29B2E9" w:rsidR="00FD6964" w:rsidRPr="00FD6964" w:rsidRDefault="00E70933" w:rsidP="00FD6964">
      <w:r>
        <w:t>(</w:t>
      </w:r>
      <w:r w:rsidR="00FD6964" w:rsidRPr="00FD6964">
        <w:rPr>
          <w:i/>
          <w:iCs/>
        </w:rPr>
        <w:t xml:space="preserve">CMS describes this dataset as containing information on </w:t>
      </w:r>
      <w:r w:rsidR="00FD6964" w:rsidRPr="00FD6964">
        <w:rPr>
          <w:b/>
          <w:bCs/>
          <w:i/>
          <w:iCs/>
        </w:rPr>
        <w:t>usage, payments, and submitted charges</w:t>
      </w:r>
      <w:r w:rsidR="00FD6964" w:rsidRPr="00FD6964">
        <w:rPr>
          <w:i/>
          <w:iCs/>
        </w:rPr>
        <w:t>, making it the best direct fit for a DME supplier anomaly MVP</w:t>
      </w:r>
      <w:r>
        <w:rPr>
          <w:i/>
          <w:iCs/>
        </w:rPr>
        <w:t>)</w:t>
      </w:r>
      <w:r w:rsidR="00FD6964" w:rsidRPr="00FD6964">
        <w:t xml:space="preserve"> </w:t>
      </w:r>
    </w:p>
    <w:p w14:paraId="66A30AF3" w14:textId="04B974D5" w:rsidR="00FD6964" w:rsidRPr="00FD6964" w:rsidRDefault="00674464" w:rsidP="00E1086A">
      <w:pPr>
        <w:pStyle w:val="Heading4"/>
      </w:pPr>
      <w:r>
        <w:lastRenderedPageBreak/>
        <w:t xml:space="preserve">7b: </w:t>
      </w:r>
      <w:r w:rsidR="00FD6964" w:rsidRPr="00FD6964">
        <w:t>Supporting CMS Data Context</w:t>
      </w:r>
    </w:p>
    <w:p w14:paraId="25E21F76" w14:textId="152CD389" w:rsidR="0005052B" w:rsidRDefault="0005052B" w:rsidP="0005052B">
      <w:r w:rsidRPr="0005052B">
        <w:t xml:space="preserve">The broader </w:t>
      </w:r>
      <w:r w:rsidRPr="0005052B">
        <w:rPr>
          <w:b/>
          <w:bCs/>
        </w:rPr>
        <w:t>Provider Summary by Type of Service</w:t>
      </w:r>
      <w:r w:rsidRPr="0005052B">
        <w:t xml:space="preserve"> collection is useful for positioning the prototype because CMS describes it as a public series summarizing the use and payments for procedures, services, and prescription drugs in Original Medicare fee-for-service. This provides supporting context for how supplier and service-level Medicare utilization data can be analyzed within a broader CMS data framework</w:t>
      </w:r>
    </w:p>
    <w:p w14:paraId="3A6D70CA" w14:textId="2EBDD362" w:rsidR="00FD6964" w:rsidRPr="00FD6964" w:rsidRDefault="000E694C" w:rsidP="002B0976">
      <w:pPr>
        <w:pStyle w:val="Heading4"/>
      </w:pPr>
      <w:r>
        <w:t xml:space="preserve">7c: </w:t>
      </w:r>
      <w:r w:rsidR="00FD6964" w:rsidRPr="00FD6964">
        <w:t>Reference Enrichment Data</w:t>
      </w:r>
    </w:p>
    <w:p w14:paraId="36421814" w14:textId="77777777" w:rsidR="000E694C" w:rsidRPr="000E694C" w:rsidRDefault="000E694C" w:rsidP="000E694C">
      <w:r w:rsidRPr="000E694C">
        <w:t xml:space="preserve">The </w:t>
      </w:r>
      <w:r w:rsidRPr="000E694C">
        <w:rPr>
          <w:b/>
          <w:bCs/>
        </w:rPr>
        <w:t>DMEPOS Fee Schedule Files</w:t>
      </w:r>
      <w:r w:rsidRPr="000E694C">
        <w:t xml:space="preserve"> can be used to enrich the MVP with HCPCS-level payment context. CMS states these files contain fee schedule amounts, payment category, jurisdiction, and short description for procedure codes, which can help interpret unusual billing or payment patterns. </w:t>
      </w:r>
    </w:p>
    <w:p w14:paraId="20A2953B" w14:textId="77777777" w:rsidR="000E694C" w:rsidRPr="000E694C" w:rsidRDefault="000E694C" w:rsidP="000E694C">
      <w:r w:rsidRPr="000E694C">
        <w:t xml:space="preserve">The </w:t>
      </w:r>
      <w:r w:rsidRPr="000E694C">
        <w:rPr>
          <w:b/>
          <w:bCs/>
        </w:rPr>
        <w:t>Master List of DMEPOS Items Potentially Subject to Conditions of Payment</w:t>
      </w:r>
      <w:r w:rsidRPr="000E694C">
        <w:t xml:space="preserve"> can be used to identify item groups with known vulnerability relevance. CMS describes this list as a library of fee-for-service DMEPOS codes flagged as potential vulnerabilities, making it useful for risk weighting and suspicious-pattern design</w:t>
      </w:r>
    </w:p>
    <w:p w14:paraId="1BBD11F8" w14:textId="47FDD531" w:rsidR="00FD6964" w:rsidRPr="00FD6964" w:rsidRDefault="00FD6964" w:rsidP="00FD6964">
      <w:r w:rsidRPr="00FD6964">
        <w:t xml:space="preserve"> </w:t>
      </w:r>
    </w:p>
    <w:p w14:paraId="3F670FD1" w14:textId="5D93460D" w:rsidR="00FD6964" w:rsidRPr="00FD6964" w:rsidRDefault="00F4702C" w:rsidP="00596F1D">
      <w:pPr>
        <w:pStyle w:val="Heading4"/>
      </w:pPr>
      <w:r>
        <w:t xml:space="preserve">7d: </w:t>
      </w:r>
      <w:r w:rsidR="00FD6964" w:rsidRPr="00FD6964">
        <w:t>Synthetic Data Strategy</w:t>
      </w:r>
    </w:p>
    <w:p w14:paraId="6FD68BA8" w14:textId="77777777" w:rsidR="00FD6964" w:rsidRPr="00FD6964" w:rsidRDefault="00FD6964" w:rsidP="00FD6964">
      <w:r w:rsidRPr="00FD6964">
        <w:t>To make the hackathon demo compelling, the team should overlay synthetic fraud scenarios on top of the real CMS data structure. This allows the prototype to preserve realism while ensuring that suspicious patterns are visible and easy to explain in a short demonstration.</w:t>
      </w:r>
    </w:p>
    <w:p w14:paraId="14B897DB" w14:textId="66D963A3" w:rsidR="00FD6964" w:rsidRPr="00FD6964" w:rsidRDefault="009D6A56" w:rsidP="00A02912">
      <w:pPr>
        <w:pStyle w:val="Heading4"/>
      </w:pPr>
      <w:r>
        <w:t xml:space="preserve">7e: </w:t>
      </w:r>
      <w:r w:rsidR="00FD6964" w:rsidRPr="00FD6964">
        <w:t>Proposed Analytic Features</w:t>
      </w:r>
    </w:p>
    <w:p w14:paraId="08A66EB9" w14:textId="77777777" w:rsidR="00FD6964" w:rsidRPr="00FD6964" w:rsidRDefault="00FD6964" w:rsidP="00835E73">
      <w:pPr>
        <w:numPr>
          <w:ilvl w:val="0"/>
          <w:numId w:val="31"/>
        </w:numPr>
        <w:spacing w:after="0"/>
      </w:pPr>
      <w:r w:rsidRPr="00FD6964">
        <w:t>percent change in billed services over time</w:t>
      </w:r>
    </w:p>
    <w:p w14:paraId="73F27197" w14:textId="77777777" w:rsidR="00FD6964" w:rsidRPr="00FD6964" w:rsidRDefault="00FD6964" w:rsidP="00835E73">
      <w:pPr>
        <w:numPr>
          <w:ilvl w:val="0"/>
          <w:numId w:val="31"/>
        </w:numPr>
        <w:spacing w:after="0"/>
      </w:pPr>
      <w:r w:rsidRPr="00FD6964">
        <w:t>deviation from supplier historical baseline</w:t>
      </w:r>
    </w:p>
    <w:p w14:paraId="36FCAB83" w14:textId="77777777" w:rsidR="00FD6964" w:rsidRPr="00FD6964" w:rsidRDefault="00FD6964" w:rsidP="00835E73">
      <w:pPr>
        <w:numPr>
          <w:ilvl w:val="0"/>
          <w:numId w:val="31"/>
        </w:numPr>
        <w:spacing w:after="0"/>
      </w:pPr>
      <w:r w:rsidRPr="00FD6964">
        <w:t>deviation from peer supplier averages</w:t>
      </w:r>
    </w:p>
    <w:p w14:paraId="164C8B99" w14:textId="77777777" w:rsidR="00FD6964" w:rsidRPr="00FD6964" w:rsidRDefault="00FD6964" w:rsidP="00835E73">
      <w:pPr>
        <w:numPr>
          <w:ilvl w:val="0"/>
          <w:numId w:val="31"/>
        </w:numPr>
        <w:spacing w:after="0"/>
      </w:pPr>
      <w:r w:rsidRPr="00FD6964">
        <w:t>unusual growth in submitted charges</w:t>
      </w:r>
    </w:p>
    <w:p w14:paraId="1194193E" w14:textId="77777777" w:rsidR="00FD6964" w:rsidRPr="00FD6964" w:rsidRDefault="00FD6964" w:rsidP="00835E73">
      <w:pPr>
        <w:numPr>
          <w:ilvl w:val="0"/>
          <w:numId w:val="31"/>
        </w:numPr>
        <w:spacing w:after="0"/>
      </w:pPr>
      <w:r w:rsidRPr="00FD6964">
        <w:t>concentration in potentially vulnerable DMEPOS categories</w:t>
      </w:r>
    </w:p>
    <w:p w14:paraId="79991CE3" w14:textId="77777777" w:rsidR="00FD6964" w:rsidRPr="00FD6964" w:rsidRDefault="00FD6964" w:rsidP="00835E73">
      <w:pPr>
        <w:numPr>
          <w:ilvl w:val="0"/>
          <w:numId w:val="31"/>
        </w:numPr>
        <w:spacing w:after="0"/>
      </w:pPr>
      <w:r w:rsidRPr="00FD6964">
        <w:t>abrupt changes in service mix</w:t>
      </w:r>
    </w:p>
    <w:p w14:paraId="01F6279B" w14:textId="77777777" w:rsidR="00FD6964" w:rsidRDefault="00FD6964" w:rsidP="00835E73">
      <w:pPr>
        <w:numPr>
          <w:ilvl w:val="0"/>
          <w:numId w:val="31"/>
        </w:numPr>
        <w:spacing w:after="0"/>
      </w:pPr>
      <w:r w:rsidRPr="00FD6964">
        <w:t>regional outlier patterns</w:t>
      </w:r>
    </w:p>
    <w:p w14:paraId="4F159064" w14:textId="77777777" w:rsidR="00121624" w:rsidRDefault="00121624" w:rsidP="00835E73">
      <w:pPr>
        <w:numPr>
          <w:ilvl w:val="0"/>
          <w:numId w:val="31"/>
        </w:numPr>
        <w:spacing w:after="0"/>
      </w:pPr>
      <w:r>
        <w:t>behavioral similarity scoring across suppliers</w:t>
      </w:r>
    </w:p>
    <w:p w14:paraId="08EA3488" w14:textId="77777777" w:rsidR="00121624" w:rsidRDefault="00121624" w:rsidP="00835E73">
      <w:pPr>
        <w:numPr>
          <w:ilvl w:val="0"/>
          <w:numId w:val="31"/>
        </w:numPr>
        <w:spacing w:after="0"/>
      </w:pPr>
      <w:r>
        <w:t>cluster-level anomaly indicators</w:t>
      </w:r>
    </w:p>
    <w:p w14:paraId="1191BD60" w14:textId="77777777" w:rsidR="00121624" w:rsidRDefault="00121624" w:rsidP="00835E73">
      <w:pPr>
        <w:numPr>
          <w:ilvl w:val="0"/>
          <w:numId w:val="31"/>
        </w:numPr>
        <w:spacing w:after="0"/>
      </w:pPr>
      <w:r>
        <w:t>shared geography and HCPCS pattern overlap</w:t>
      </w:r>
    </w:p>
    <w:p w14:paraId="4564A55F" w14:textId="5FC15627" w:rsidR="00121624" w:rsidRDefault="00121624" w:rsidP="00835E73">
      <w:pPr>
        <w:numPr>
          <w:ilvl w:val="0"/>
          <w:numId w:val="31"/>
        </w:numPr>
        <w:spacing w:after="0"/>
      </w:pPr>
      <w:r>
        <w:t>synchronized utilization growth patterns</w:t>
      </w:r>
    </w:p>
    <w:p w14:paraId="4B2F0A3A" w14:textId="77777777" w:rsidR="00121624" w:rsidRDefault="00121624" w:rsidP="00121624">
      <w:pPr>
        <w:ind w:left="720"/>
      </w:pPr>
    </w:p>
    <w:p w14:paraId="60D4EBB7" w14:textId="3384FBDE" w:rsidR="006D5514" w:rsidRPr="006D5514" w:rsidRDefault="009D6A56" w:rsidP="006D5514">
      <w:pPr>
        <w:pStyle w:val="Heading4"/>
      </w:pPr>
      <w:r>
        <w:lastRenderedPageBreak/>
        <w:t xml:space="preserve">7f: </w:t>
      </w:r>
      <w:r w:rsidR="006D5514" w:rsidRPr="006D5514">
        <w:t>Investigator-Controlled Detection Inputs</w:t>
      </w:r>
    </w:p>
    <w:p w14:paraId="6363B14E" w14:textId="77777777" w:rsidR="006D5514" w:rsidRPr="006D5514" w:rsidRDefault="006D5514" w:rsidP="006D5514">
      <w:r w:rsidRPr="006D5514">
        <w:t>The human-in-the-loop layer will allow investigators to influence detection logic by:</w:t>
      </w:r>
    </w:p>
    <w:p w14:paraId="0295F7C6" w14:textId="77777777" w:rsidR="006D5514" w:rsidRPr="006D5514" w:rsidRDefault="006D5514" w:rsidP="00835E73">
      <w:pPr>
        <w:numPr>
          <w:ilvl w:val="0"/>
          <w:numId w:val="51"/>
        </w:numPr>
        <w:spacing w:after="0"/>
      </w:pPr>
      <w:r w:rsidRPr="006D5514">
        <w:t>selecting suspicious pattern criteria</w:t>
      </w:r>
    </w:p>
    <w:p w14:paraId="4E4F12C3" w14:textId="77777777" w:rsidR="006D5514" w:rsidRPr="006D5514" w:rsidRDefault="006D5514" w:rsidP="00835E73">
      <w:pPr>
        <w:numPr>
          <w:ilvl w:val="0"/>
          <w:numId w:val="51"/>
        </w:numPr>
        <w:spacing w:after="0"/>
      </w:pPr>
      <w:r w:rsidRPr="006D5514">
        <w:t>changing threshold sensitivity</w:t>
      </w:r>
    </w:p>
    <w:p w14:paraId="4A8FA6A5" w14:textId="77777777" w:rsidR="006D5514" w:rsidRPr="006D5514" w:rsidRDefault="006D5514" w:rsidP="00835E73">
      <w:pPr>
        <w:numPr>
          <w:ilvl w:val="0"/>
          <w:numId w:val="51"/>
        </w:numPr>
        <w:spacing w:after="0"/>
      </w:pPr>
      <w:r w:rsidRPr="006D5514">
        <w:t>testing “what if” fraud scenarios</w:t>
      </w:r>
    </w:p>
    <w:p w14:paraId="03F8F6B0" w14:textId="77777777" w:rsidR="006D5514" w:rsidRDefault="006D5514" w:rsidP="00835E73">
      <w:pPr>
        <w:numPr>
          <w:ilvl w:val="0"/>
          <w:numId w:val="51"/>
        </w:numPr>
        <w:spacing w:after="0"/>
      </w:pPr>
      <w:r w:rsidRPr="006D5514">
        <w:t>comparing how adjusted logic changes the alert population</w:t>
      </w:r>
    </w:p>
    <w:p w14:paraId="63847BFC" w14:textId="77777777" w:rsidR="001471EC" w:rsidRDefault="001471EC" w:rsidP="00835E73">
      <w:pPr>
        <w:numPr>
          <w:ilvl w:val="0"/>
          <w:numId w:val="51"/>
        </w:numPr>
        <w:spacing w:after="0"/>
      </w:pPr>
      <w:r>
        <w:t>testing of multi-supplier pattern hypotheses</w:t>
      </w:r>
    </w:p>
    <w:p w14:paraId="7577F5FB" w14:textId="3AE32298" w:rsidR="001471EC" w:rsidRPr="006D5514" w:rsidRDefault="001471EC" w:rsidP="00835E73">
      <w:pPr>
        <w:numPr>
          <w:ilvl w:val="0"/>
          <w:numId w:val="51"/>
        </w:numPr>
        <w:spacing w:after="0"/>
      </w:pPr>
      <w:r>
        <w:t>cluster threshold tuning</w:t>
      </w:r>
    </w:p>
    <w:p w14:paraId="713843AC" w14:textId="77777777" w:rsidR="006D5514" w:rsidRDefault="006D5514" w:rsidP="006D5514"/>
    <w:p w14:paraId="5B5A1197" w14:textId="06A6248B" w:rsidR="00FD6964" w:rsidRPr="00FD6964" w:rsidRDefault="00FD6964" w:rsidP="006B742D">
      <w:pPr>
        <w:pStyle w:val="Heading3"/>
      </w:pPr>
      <w:r w:rsidRPr="00FD6964">
        <w:t>8. Core Use Case</w:t>
      </w:r>
      <w:r w:rsidR="00887465">
        <w:t>s</w:t>
      </w:r>
      <w:r w:rsidR="00B44819">
        <w:t xml:space="preserve"> </w:t>
      </w:r>
    </w:p>
    <w:p w14:paraId="6BCE6206" w14:textId="7FC1EA89" w:rsidR="00280C99" w:rsidRPr="00C024A9" w:rsidRDefault="005F3413" w:rsidP="006B742D">
      <w:pPr>
        <w:pStyle w:val="Heading4"/>
      </w:pPr>
      <w:r w:rsidRPr="00C024A9">
        <w:t xml:space="preserve">Use Case </w:t>
      </w:r>
      <w:r w:rsidR="00EB2ED3">
        <w:t>1</w:t>
      </w:r>
      <w:r w:rsidRPr="00C024A9">
        <w:t>: Coordinated Suspicious Billing Across Multiple NPIs</w:t>
      </w:r>
    </w:p>
    <w:p w14:paraId="24E7CD44" w14:textId="77777777" w:rsidR="005F3413" w:rsidRPr="005F3413" w:rsidRDefault="005F3413" w:rsidP="005F3413">
      <w:r w:rsidRPr="005F3413">
        <w:t>A potentially coordinated group of DME suppliers distributes suspicious billing activity across multiple NPIs to avoid detection by simple supplier-level threshold rules. No single supplier appears extreme enough on its own to trigger a standard alert, but collectively the group exhibits abnormal patterns in the same geography, similar HCPCS categories, service mix shifts, and synchronized growth trends. The system detects this fragmented behavior by identifying behaviorally similar supplier clusters, scoring the collective risk of the group, and surfacing the pattern for investigator review.</w:t>
      </w:r>
    </w:p>
    <w:p w14:paraId="6BBA7FF1" w14:textId="77777777" w:rsidR="005F3413" w:rsidRPr="005F3413" w:rsidRDefault="005F3413" w:rsidP="005F3413">
      <w:r w:rsidRPr="005F3413">
        <w:t>The investigator can then:</w:t>
      </w:r>
    </w:p>
    <w:p w14:paraId="78DE1B65" w14:textId="1B9C14B6" w:rsidR="005F3413" w:rsidRPr="005F3413" w:rsidRDefault="005F3413" w:rsidP="00CF7154">
      <w:pPr>
        <w:numPr>
          <w:ilvl w:val="0"/>
          <w:numId w:val="56"/>
        </w:numPr>
        <w:spacing w:after="0"/>
      </w:pPr>
      <w:r w:rsidRPr="005F3413">
        <w:t>test whether a cluster of suppliers collectively exceeds concern levels</w:t>
      </w:r>
    </w:p>
    <w:p w14:paraId="7BCDF21D" w14:textId="77777777" w:rsidR="005F3413" w:rsidRPr="005F3413" w:rsidRDefault="005F3413" w:rsidP="00CF7154">
      <w:pPr>
        <w:numPr>
          <w:ilvl w:val="0"/>
          <w:numId w:val="56"/>
        </w:numPr>
        <w:spacing w:after="0"/>
      </w:pPr>
      <w:r w:rsidRPr="005F3413">
        <w:t>compare cluster behavior against regional peers</w:t>
      </w:r>
    </w:p>
    <w:p w14:paraId="26CE4FA1" w14:textId="77777777" w:rsidR="005F3413" w:rsidRPr="005F3413" w:rsidRDefault="005F3413" w:rsidP="00CF7154">
      <w:pPr>
        <w:numPr>
          <w:ilvl w:val="0"/>
          <w:numId w:val="56"/>
        </w:numPr>
        <w:spacing w:after="0"/>
      </w:pPr>
      <w:r w:rsidRPr="005F3413">
        <w:t>validate whether the pattern reflects a meaningful risk or a false positive</w:t>
      </w:r>
    </w:p>
    <w:p w14:paraId="53D18829" w14:textId="77777777" w:rsidR="005F3413" w:rsidRPr="005F3413" w:rsidRDefault="005F3413" w:rsidP="00CF7154">
      <w:pPr>
        <w:numPr>
          <w:ilvl w:val="0"/>
          <w:numId w:val="56"/>
        </w:numPr>
        <w:spacing w:after="0"/>
      </w:pPr>
      <w:r w:rsidRPr="005F3413">
        <w:t>determine the appropriate next action</w:t>
      </w:r>
    </w:p>
    <w:p w14:paraId="2433AA47" w14:textId="77777777" w:rsidR="00CF7154" w:rsidRDefault="00CF7154" w:rsidP="00CF7154">
      <w:pPr>
        <w:spacing w:after="0"/>
        <w:ind w:left="720"/>
      </w:pPr>
      <w:r>
        <w:t xml:space="preserve">or </w:t>
      </w:r>
    </w:p>
    <w:p w14:paraId="115F7338" w14:textId="5201A56A" w:rsidR="00CF7154" w:rsidRPr="005F3413" w:rsidRDefault="00CF7154" w:rsidP="00CF7154">
      <w:pPr>
        <w:numPr>
          <w:ilvl w:val="0"/>
          <w:numId w:val="56"/>
        </w:numPr>
        <w:spacing w:after="0"/>
      </w:pPr>
      <w:r w:rsidRPr="005F3413">
        <w:t>define a suspicious multi-supplier pattern</w:t>
      </w:r>
    </w:p>
    <w:p w14:paraId="15D3D6BB" w14:textId="77777777" w:rsidR="00CF7154" w:rsidRPr="005F3413" w:rsidRDefault="00CF7154" w:rsidP="00CF7154">
      <w:pPr>
        <w:numPr>
          <w:ilvl w:val="0"/>
          <w:numId w:val="56"/>
        </w:numPr>
        <w:spacing w:after="0"/>
      </w:pPr>
      <w:r w:rsidRPr="005F3413">
        <w:t>refine similarity or anomaly thresholds</w:t>
      </w:r>
    </w:p>
    <w:p w14:paraId="1FB41B1E" w14:textId="7AE17DED" w:rsidR="00280C99" w:rsidRDefault="00280C99" w:rsidP="00FD6964"/>
    <w:p w14:paraId="348936C9" w14:textId="32F57971" w:rsidR="003A58D7" w:rsidRDefault="00323A41" w:rsidP="006F76BA">
      <w:pPr>
        <w:rPr>
          <w:rFonts w:eastAsiaTheme="majorEastAsia" w:cstheme="majorBidi"/>
          <w:i/>
          <w:iCs/>
          <w:color w:val="0F4761" w:themeColor="accent1" w:themeShade="BF"/>
        </w:rPr>
      </w:pPr>
      <w:r w:rsidRPr="00323A41">
        <w:rPr>
          <w:rFonts w:eastAsiaTheme="majorEastAsia" w:cstheme="majorBidi"/>
          <w:i/>
          <w:iCs/>
          <w:color w:val="0F4761" w:themeColor="accent1" w:themeShade="BF"/>
        </w:rPr>
        <w:t xml:space="preserve">Use Case </w:t>
      </w:r>
      <w:r w:rsidR="005F37A4">
        <w:rPr>
          <w:rFonts w:eastAsiaTheme="majorEastAsia" w:cstheme="majorBidi"/>
          <w:i/>
          <w:iCs/>
          <w:color w:val="0F4761" w:themeColor="accent1" w:themeShade="BF"/>
        </w:rPr>
        <w:t>2</w:t>
      </w:r>
      <w:r w:rsidRPr="00323A41">
        <w:rPr>
          <w:rFonts w:eastAsiaTheme="majorEastAsia" w:cstheme="majorBidi"/>
          <w:i/>
          <w:iCs/>
          <w:color w:val="0F4761" w:themeColor="accent1" w:themeShade="BF"/>
        </w:rPr>
        <w:t xml:space="preserve">: </w:t>
      </w:r>
      <w:r w:rsidR="00661947" w:rsidRPr="00661947">
        <w:rPr>
          <w:rFonts w:eastAsiaTheme="majorEastAsia" w:cstheme="majorBidi"/>
          <w:i/>
          <w:iCs/>
          <w:color w:val="0F4761" w:themeColor="accent1" w:themeShade="BF"/>
        </w:rPr>
        <w:t xml:space="preserve">Rapidly emerging multi-entity DME billing </w:t>
      </w:r>
      <w:r w:rsidR="005E3105">
        <w:rPr>
          <w:rFonts w:eastAsiaTheme="majorEastAsia" w:cstheme="majorBidi"/>
          <w:i/>
          <w:iCs/>
          <w:color w:val="0F4761" w:themeColor="accent1" w:themeShade="BF"/>
        </w:rPr>
        <w:t>Anomaly</w:t>
      </w:r>
      <w:r w:rsidR="00954803">
        <w:rPr>
          <w:rFonts w:eastAsiaTheme="majorEastAsia" w:cstheme="majorBidi"/>
          <w:i/>
          <w:iCs/>
          <w:color w:val="0F4761" w:themeColor="accent1" w:themeShade="BF"/>
        </w:rPr>
        <w:t xml:space="preserve"> </w:t>
      </w:r>
      <w:r w:rsidR="00EB2ED3">
        <w:rPr>
          <w:rFonts w:eastAsiaTheme="majorEastAsia" w:cstheme="majorBidi"/>
          <w:i/>
          <w:iCs/>
          <w:color w:val="0F4761" w:themeColor="accent1" w:themeShade="BF"/>
        </w:rPr>
        <w:t xml:space="preserve">-Inspired by </w:t>
      </w:r>
      <w:r w:rsidR="00014703">
        <w:rPr>
          <w:rFonts w:eastAsiaTheme="majorEastAsia" w:cstheme="majorBidi"/>
          <w:i/>
          <w:iCs/>
          <w:color w:val="0F4761" w:themeColor="accent1" w:themeShade="BF"/>
        </w:rPr>
        <w:t>2025</w:t>
      </w:r>
      <w:r w:rsidR="00EB2ED3">
        <w:rPr>
          <w:rFonts w:eastAsiaTheme="majorEastAsia" w:cstheme="majorBidi"/>
          <w:i/>
          <w:iCs/>
          <w:color w:val="0F4761" w:themeColor="accent1" w:themeShade="BF"/>
        </w:rPr>
        <w:t xml:space="preserve"> </w:t>
      </w:r>
      <w:r w:rsidR="00954803">
        <w:rPr>
          <w:rFonts w:eastAsiaTheme="majorEastAsia" w:cstheme="majorBidi"/>
          <w:i/>
          <w:iCs/>
          <w:color w:val="0F4761" w:themeColor="accent1" w:themeShade="BF"/>
        </w:rPr>
        <w:t>case</w:t>
      </w:r>
      <w:r w:rsidR="00014703">
        <w:rPr>
          <w:rFonts w:eastAsiaTheme="majorEastAsia" w:cstheme="majorBidi"/>
          <w:i/>
          <w:iCs/>
          <w:color w:val="0F4761" w:themeColor="accent1" w:themeShade="BF"/>
        </w:rPr>
        <w:t xml:space="preserve">- </w:t>
      </w:r>
      <w:r w:rsidR="003A58D7" w:rsidRPr="003A58D7">
        <w:t xml:space="preserve"> </w:t>
      </w:r>
      <w:r w:rsidR="003A58D7" w:rsidRPr="003A58D7">
        <w:rPr>
          <w:rFonts w:eastAsiaTheme="majorEastAsia" w:cstheme="majorBidi"/>
          <w:i/>
          <w:iCs/>
          <w:color w:val="0F4761" w:themeColor="accent1" w:themeShade="BF"/>
        </w:rPr>
        <w:t>the Largest Case by Loss Amount Ever Charged by the Department Of Justice</w:t>
      </w:r>
      <w:r w:rsidR="00954803">
        <w:rPr>
          <w:rFonts w:eastAsiaTheme="majorEastAsia" w:cstheme="majorBidi"/>
          <w:i/>
          <w:iCs/>
          <w:color w:val="0F4761" w:themeColor="accent1" w:themeShade="BF"/>
        </w:rPr>
        <w:t xml:space="preserve">  </w:t>
      </w:r>
    </w:p>
    <w:p w14:paraId="78DFA11F" w14:textId="56F68B1C" w:rsidR="00954803" w:rsidRPr="00954803" w:rsidRDefault="003A58D7" w:rsidP="006F76BA">
      <w:pPr>
        <w:rPr>
          <w:rFonts w:eastAsiaTheme="majorEastAsia" w:cstheme="majorBidi"/>
          <w:i/>
          <w:iCs/>
          <w:color w:val="0F4761" w:themeColor="accent1" w:themeShade="BF"/>
        </w:rPr>
      </w:pPr>
      <w:r>
        <w:rPr>
          <w:rFonts w:eastAsiaTheme="majorEastAsia" w:cstheme="majorBidi"/>
          <w:i/>
          <w:iCs/>
          <w:color w:val="0F4761" w:themeColor="accent1" w:themeShade="BF"/>
        </w:rPr>
        <w:t>-</w:t>
      </w:r>
      <w:r w:rsidR="00954803" w:rsidRPr="00954803">
        <w:rPr>
          <w:i/>
          <w:iCs/>
        </w:rPr>
        <w:t xml:space="preserve">a group allegedly </w:t>
      </w:r>
      <w:r w:rsidR="00954803" w:rsidRPr="00954803">
        <w:rPr>
          <w:b/>
          <w:bCs/>
          <w:i/>
          <w:iCs/>
        </w:rPr>
        <w:t>purchased dozens of DME companies, used nominee owners, rapidly billed through those entities, and replaced companies that were shut down</w:t>
      </w:r>
      <w:r w:rsidR="00954803" w:rsidRPr="00954803">
        <w:rPr>
          <w:i/>
          <w:iCs/>
        </w:rPr>
        <w:t>.</w:t>
      </w:r>
    </w:p>
    <w:p w14:paraId="20BCFADE" w14:textId="5F3C95A0" w:rsidR="006F76BA" w:rsidRDefault="006F76BA" w:rsidP="006F76BA">
      <w:r w:rsidRPr="006F76BA">
        <w:t xml:space="preserve">A rapidly emerging group of behaviorally similar DME suppliers shows synchronized growth in overlapping HCPCS categories within the same geographic region. While no single supplier appears severe enough on its own to trigger a traditional alert, the group </w:t>
      </w:r>
      <w:r w:rsidRPr="006F76BA">
        <w:lastRenderedPageBreak/>
        <w:t>collectively exhibits a coordinated billing pattern across multiple NPIs, including similar service mix shifts, comparable growth trajectories, and shared deviation from regional peers.</w:t>
      </w:r>
      <w:r w:rsidR="00DB1EEF">
        <w:t xml:space="preserve"> </w:t>
      </w:r>
    </w:p>
    <w:p w14:paraId="2FEEB6B5" w14:textId="3EBBE924" w:rsidR="00DB1EEF" w:rsidRPr="00DB1EEF" w:rsidRDefault="00DB1EEF" w:rsidP="00DB1EEF">
      <w:r w:rsidRPr="00DB1EEF">
        <w:t xml:space="preserve">pattern </w:t>
      </w:r>
      <w:r>
        <w:t>to detect -</w:t>
      </w:r>
    </w:p>
    <w:p w14:paraId="73E3FC3E" w14:textId="77777777" w:rsidR="00DB1EEF" w:rsidRPr="00DB1EEF" w:rsidRDefault="00DB1EEF" w:rsidP="00DB1EEF">
      <w:pPr>
        <w:numPr>
          <w:ilvl w:val="0"/>
          <w:numId w:val="70"/>
        </w:numPr>
        <w:spacing w:after="0"/>
      </w:pPr>
      <w:r w:rsidRPr="00DB1EEF">
        <w:t>multiple DME entities emerge or scale rapidly</w:t>
      </w:r>
    </w:p>
    <w:p w14:paraId="0C50C319" w14:textId="77777777" w:rsidR="00DB1EEF" w:rsidRPr="00DB1EEF" w:rsidRDefault="00DB1EEF" w:rsidP="00DB1EEF">
      <w:pPr>
        <w:numPr>
          <w:ilvl w:val="0"/>
          <w:numId w:val="70"/>
        </w:numPr>
        <w:spacing w:after="0"/>
      </w:pPr>
      <w:r w:rsidRPr="00DB1EEF">
        <w:t>they bill overlapping DME categories</w:t>
      </w:r>
    </w:p>
    <w:p w14:paraId="11595134" w14:textId="77777777" w:rsidR="00DB1EEF" w:rsidRPr="00DB1EEF" w:rsidRDefault="00DB1EEF" w:rsidP="00DB1EEF">
      <w:pPr>
        <w:numPr>
          <w:ilvl w:val="0"/>
          <w:numId w:val="70"/>
        </w:numPr>
        <w:spacing w:after="0"/>
      </w:pPr>
      <w:r w:rsidRPr="00DB1EEF">
        <w:t>they show synchronized growth</w:t>
      </w:r>
    </w:p>
    <w:p w14:paraId="2A8CF76E" w14:textId="77777777" w:rsidR="00DB1EEF" w:rsidRPr="00DB1EEF" w:rsidRDefault="00DB1EEF" w:rsidP="00DB1EEF">
      <w:pPr>
        <w:numPr>
          <w:ilvl w:val="0"/>
          <w:numId w:val="70"/>
        </w:numPr>
        <w:spacing w:after="0"/>
      </w:pPr>
      <w:r w:rsidRPr="00DB1EEF">
        <w:t>the pattern persists even as individual entities change or get replaced</w:t>
      </w:r>
    </w:p>
    <w:p w14:paraId="1CAF9FCC" w14:textId="77777777" w:rsidR="00DB1EEF" w:rsidRPr="006F76BA" w:rsidRDefault="00DB1EEF" w:rsidP="006F76BA"/>
    <w:p w14:paraId="0CF0E6AD" w14:textId="77777777" w:rsidR="006F76BA" w:rsidRPr="006F76BA" w:rsidRDefault="006F76BA" w:rsidP="006F76BA">
      <w:r w:rsidRPr="006F76BA">
        <w:t>The system detects this fragmented and potentially coordinated behavior by identifying behaviorally similar supplier clusters, assigning a cluster-level risk score, and surfacing the pattern for investigator review. Rather than relying only on static supplier-level thresholds, the solution enables investigators to analyze suspicious activity that may be distributed across multiple suppliers to reduce visibility at the individual NPI level.</w:t>
      </w:r>
    </w:p>
    <w:p w14:paraId="10CE2E07" w14:textId="77777777" w:rsidR="006F76BA" w:rsidRPr="006F76BA" w:rsidRDefault="006F76BA" w:rsidP="006F76BA">
      <w:r w:rsidRPr="006F76BA">
        <w:t>The investigator can then:</w:t>
      </w:r>
    </w:p>
    <w:p w14:paraId="50C87857" w14:textId="77777777" w:rsidR="006F76BA" w:rsidRPr="006F76BA" w:rsidRDefault="006F76BA" w:rsidP="006F76BA">
      <w:pPr>
        <w:numPr>
          <w:ilvl w:val="0"/>
          <w:numId w:val="69"/>
        </w:numPr>
      </w:pPr>
      <w:r w:rsidRPr="006F76BA">
        <w:t>define a suspicious multi-supplier pattern</w:t>
      </w:r>
    </w:p>
    <w:p w14:paraId="35BD8B7B" w14:textId="77777777" w:rsidR="006F76BA" w:rsidRPr="006F76BA" w:rsidRDefault="006F76BA" w:rsidP="006F76BA">
      <w:pPr>
        <w:numPr>
          <w:ilvl w:val="0"/>
          <w:numId w:val="69"/>
        </w:numPr>
      </w:pPr>
      <w:r w:rsidRPr="006F76BA">
        <w:t>refine similarity or anomaly thresholds</w:t>
      </w:r>
    </w:p>
    <w:p w14:paraId="439CBA69" w14:textId="77777777" w:rsidR="006F76BA" w:rsidRPr="006F76BA" w:rsidRDefault="006F76BA" w:rsidP="006F76BA">
      <w:pPr>
        <w:numPr>
          <w:ilvl w:val="0"/>
          <w:numId w:val="69"/>
        </w:numPr>
      </w:pPr>
      <w:r w:rsidRPr="006F76BA">
        <w:t>test whether a supplier cluster collectively exceeds concern levels</w:t>
      </w:r>
    </w:p>
    <w:p w14:paraId="6EA827FB" w14:textId="77777777" w:rsidR="006F76BA" w:rsidRPr="006F76BA" w:rsidRDefault="006F76BA" w:rsidP="006F76BA">
      <w:pPr>
        <w:numPr>
          <w:ilvl w:val="0"/>
          <w:numId w:val="69"/>
        </w:numPr>
      </w:pPr>
      <w:r w:rsidRPr="006F76BA">
        <w:t>compare cluster behavior against regional peer groups</w:t>
      </w:r>
    </w:p>
    <w:p w14:paraId="4412C038" w14:textId="77777777" w:rsidR="006F76BA" w:rsidRPr="006F76BA" w:rsidRDefault="006F76BA" w:rsidP="006F76BA">
      <w:pPr>
        <w:numPr>
          <w:ilvl w:val="0"/>
          <w:numId w:val="69"/>
        </w:numPr>
      </w:pPr>
      <w:r w:rsidRPr="006F76BA">
        <w:t>validate whether the pattern reflects a meaningful risk or a false positive</w:t>
      </w:r>
    </w:p>
    <w:p w14:paraId="1E64FDE3" w14:textId="77777777" w:rsidR="006F76BA" w:rsidRPr="006F76BA" w:rsidRDefault="006F76BA" w:rsidP="006F76BA">
      <w:pPr>
        <w:numPr>
          <w:ilvl w:val="0"/>
          <w:numId w:val="69"/>
        </w:numPr>
      </w:pPr>
      <w:r w:rsidRPr="006F76BA">
        <w:t>determine the appropriate next action</w:t>
      </w:r>
    </w:p>
    <w:p w14:paraId="6B3EF132" w14:textId="77777777" w:rsidR="006F76BA" w:rsidRDefault="006F76BA" w:rsidP="00FD6964"/>
    <w:p w14:paraId="742F0E35" w14:textId="77777777" w:rsidR="006F76BA" w:rsidRDefault="006F76BA" w:rsidP="00FD6964"/>
    <w:p w14:paraId="74C810D5" w14:textId="77777777" w:rsidR="006F76BA" w:rsidRDefault="006F76BA" w:rsidP="00FD6964"/>
    <w:p w14:paraId="79B9BAC4" w14:textId="77777777" w:rsidR="006F76BA" w:rsidRPr="00FD6964" w:rsidRDefault="006F76BA" w:rsidP="00FD6964"/>
    <w:p w14:paraId="246DC931" w14:textId="77777777" w:rsidR="00FD6964" w:rsidRPr="00FD6964" w:rsidRDefault="00FD6964" w:rsidP="006B742D">
      <w:pPr>
        <w:pStyle w:val="Heading3"/>
      </w:pPr>
      <w:r w:rsidRPr="00FD6964">
        <w:t>9. Functional Requirements</w:t>
      </w:r>
    </w:p>
    <w:p w14:paraId="22CC245C" w14:textId="2761A04A" w:rsidR="00FD6964" w:rsidRPr="00FD6964" w:rsidRDefault="00DB614C" w:rsidP="00DB614C">
      <w:pPr>
        <w:pStyle w:val="Heading4"/>
      </w:pPr>
      <w:r>
        <w:t xml:space="preserve">9a: </w:t>
      </w:r>
      <w:r w:rsidR="00FD6964" w:rsidRPr="00FD6964">
        <w:t>Inputs</w:t>
      </w:r>
    </w:p>
    <w:p w14:paraId="0C9BA2CF" w14:textId="77777777" w:rsidR="00FD6964" w:rsidRPr="00FD6964" w:rsidRDefault="00FD6964" w:rsidP="006B742D">
      <w:pPr>
        <w:numPr>
          <w:ilvl w:val="0"/>
          <w:numId w:val="32"/>
        </w:numPr>
        <w:spacing w:after="0"/>
      </w:pPr>
      <w:r w:rsidRPr="00FD6964">
        <w:t>supplier identifier</w:t>
      </w:r>
    </w:p>
    <w:p w14:paraId="49C19A51" w14:textId="77777777" w:rsidR="00FD6964" w:rsidRPr="00FD6964" w:rsidRDefault="00FD6964" w:rsidP="006B742D">
      <w:pPr>
        <w:numPr>
          <w:ilvl w:val="0"/>
          <w:numId w:val="32"/>
        </w:numPr>
        <w:spacing w:after="0"/>
      </w:pPr>
      <w:r w:rsidRPr="00FD6964">
        <w:t>billing period</w:t>
      </w:r>
    </w:p>
    <w:p w14:paraId="2349FB55" w14:textId="77777777" w:rsidR="00FD6964" w:rsidRPr="00FD6964" w:rsidRDefault="00FD6964" w:rsidP="006B742D">
      <w:pPr>
        <w:numPr>
          <w:ilvl w:val="0"/>
          <w:numId w:val="32"/>
        </w:numPr>
        <w:spacing w:after="0"/>
      </w:pPr>
      <w:r w:rsidRPr="00FD6964">
        <w:t>service or HCPCS category</w:t>
      </w:r>
    </w:p>
    <w:p w14:paraId="683BA08D" w14:textId="77777777" w:rsidR="00FD6964" w:rsidRPr="00FD6964" w:rsidRDefault="00FD6964" w:rsidP="006B742D">
      <w:pPr>
        <w:numPr>
          <w:ilvl w:val="0"/>
          <w:numId w:val="32"/>
        </w:numPr>
        <w:spacing w:after="0"/>
      </w:pPr>
      <w:r w:rsidRPr="00FD6964">
        <w:lastRenderedPageBreak/>
        <w:t>billed services or units</w:t>
      </w:r>
    </w:p>
    <w:p w14:paraId="528B35A9" w14:textId="77777777" w:rsidR="00FD6964" w:rsidRPr="00FD6964" w:rsidRDefault="00FD6964" w:rsidP="006B742D">
      <w:pPr>
        <w:numPr>
          <w:ilvl w:val="0"/>
          <w:numId w:val="32"/>
        </w:numPr>
        <w:spacing w:after="0"/>
      </w:pPr>
      <w:r w:rsidRPr="00FD6964">
        <w:t>submitted charges</w:t>
      </w:r>
    </w:p>
    <w:p w14:paraId="41967893" w14:textId="77777777" w:rsidR="00FD6964" w:rsidRPr="00FD6964" w:rsidRDefault="00FD6964" w:rsidP="006B742D">
      <w:pPr>
        <w:numPr>
          <w:ilvl w:val="0"/>
          <w:numId w:val="32"/>
        </w:numPr>
        <w:spacing w:after="0"/>
      </w:pPr>
      <w:r w:rsidRPr="00FD6964">
        <w:t>allowed or payment amount</w:t>
      </w:r>
    </w:p>
    <w:p w14:paraId="449C739F" w14:textId="77777777" w:rsidR="00FD6964" w:rsidRPr="00FD6964" w:rsidRDefault="00FD6964" w:rsidP="006B742D">
      <w:pPr>
        <w:numPr>
          <w:ilvl w:val="0"/>
          <w:numId w:val="32"/>
        </w:numPr>
        <w:spacing w:after="0"/>
      </w:pPr>
      <w:r w:rsidRPr="00FD6964">
        <w:t>geography</w:t>
      </w:r>
    </w:p>
    <w:p w14:paraId="410C7AE5" w14:textId="77777777" w:rsidR="00FD6964" w:rsidRPr="00FD6964" w:rsidRDefault="00FD6964" w:rsidP="006B742D">
      <w:pPr>
        <w:numPr>
          <w:ilvl w:val="0"/>
          <w:numId w:val="32"/>
        </w:numPr>
        <w:spacing w:after="0"/>
      </w:pPr>
      <w:r w:rsidRPr="00FD6964">
        <w:t>peer cohort grouping</w:t>
      </w:r>
    </w:p>
    <w:p w14:paraId="397375BB" w14:textId="77777777" w:rsidR="006B742D" w:rsidRDefault="006B742D" w:rsidP="00FD6964">
      <w:pPr>
        <w:rPr>
          <w:b/>
          <w:bCs/>
        </w:rPr>
      </w:pPr>
    </w:p>
    <w:p w14:paraId="16D37EC2" w14:textId="1C49880B" w:rsidR="00FD6964" w:rsidRPr="00FD6964" w:rsidRDefault="00DB614C" w:rsidP="00DB614C">
      <w:pPr>
        <w:pStyle w:val="Heading4"/>
      </w:pPr>
      <w:r>
        <w:t xml:space="preserve">9b: </w:t>
      </w:r>
      <w:r w:rsidR="00FD6964" w:rsidRPr="00FD6964">
        <w:t>Processing</w:t>
      </w:r>
    </w:p>
    <w:p w14:paraId="4AB28A9A" w14:textId="77777777" w:rsidR="00FD6964" w:rsidRPr="00FD6964" w:rsidRDefault="00FD6964" w:rsidP="00A575F6">
      <w:pPr>
        <w:numPr>
          <w:ilvl w:val="0"/>
          <w:numId w:val="33"/>
        </w:numPr>
        <w:spacing w:after="0"/>
      </w:pPr>
      <w:r w:rsidRPr="00FD6964">
        <w:t>aggregate supplier-service data</w:t>
      </w:r>
    </w:p>
    <w:p w14:paraId="3E7C23A4" w14:textId="77777777" w:rsidR="00FD6964" w:rsidRPr="00FD6964" w:rsidRDefault="00FD6964" w:rsidP="00A575F6">
      <w:pPr>
        <w:numPr>
          <w:ilvl w:val="0"/>
          <w:numId w:val="33"/>
        </w:numPr>
        <w:spacing w:after="0"/>
      </w:pPr>
      <w:r w:rsidRPr="00FD6964">
        <w:t>create supplier historical baselines</w:t>
      </w:r>
    </w:p>
    <w:p w14:paraId="3B70216C" w14:textId="77777777" w:rsidR="00FD6964" w:rsidRPr="00FD6964" w:rsidRDefault="00FD6964" w:rsidP="00A575F6">
      <w:pPr>
        <w:numPr>
          <w:ilvl w:val="0"/>
          <w:numId w:val="33"/>
        </w:numPr>
        <w:spacing w:after="0"/>
      </w:pPr>
      <w:r w:rsidRPr="00FD6964">
        <w:t>build peer comparison metrics</w:t>
      </w:r>
    </w:p>
    <w:p w14:paraId="57BEF3B7" w14:textId="77777777" w:rsidR="00FD6964" w:rsidRPr="00FD6964" w:rsidRDefault="00FD6964" w:rsidP="00A575F6">
      <w:pPr>
        <w:numPr>
          <w:ilvl w:val="0"/>
          <w:numId w:val="33"/>
        </w:numPr>
        <w:spacing w:after="0"/>
      </w:pPr>
      <w:r w:rsidRPr="00FD6964">
        <w:t>calculate anomaly indicators</w:t>
      </w:r>
    </w:p>
    <w:p w14:paraId="53989842" w14:textId="77777777" w:rsidR="00FD6964" w:rsidRPr="00FD6964" w:rsidRDefault="00FD6964" w:rsidP="00A575F6">
      <w:pPr>
        <w:numPr>
          <w:ilvl w:val="0"/>
          <w:numId w:val="33"/>
        </w:numPr>
        <w:spacing w:after="0"/>
      </w:pPr>
      <w:r w:rsidRPr="00FD6964">
        <w:t>combine indicators into a supplier risk score</w:t>
      </w:r>
    </w:p>
    <w:p w14:paraId="20160195" w14:textId="77777777" w:rsidR="00FD6964" w:rsidRDefault="00FD6964" w:rsidP="00A575F6">
      <w:pPr>
        <w:numPr>
          <w:ilvl w:val="0"/>
          <w:numId w:val="33"/>
        </w:numPr>
        <w:spacing w:after="0"/>
      </w:pPr>
      <w:r w:rsidRPr="00FD6964">
        <w:t>generate explainable alert reasons</w:t>
      </w:r>
    </w:p>
    <w:p w14:paraId="58F9355A" w14:textId="77777777" w:rsidR="00A575F6" w:rsidRDefault="00A575F6" w:rsidP="00A575F6">
      <w:pPr>
        <w:numPr>
          <w:ilvl w:val="0"/>
          <w:numId w:val="33"/>
        </w:numPr>
        <w:spacing w:after="0"/>
      </w:pPr>
      <w:r>
        <w:t>identify behaviorally similar suppliers using shared attributes and utilization patterns</w:t>
      </w:r>
    </w:p>
    <w:p w14:paraId="3E340099" w14:textId="77777777" w:rsidR="00A575F6" w:rsidRDefault="00A575F6" w:rsidP="00A575F6">
      <w:pPr>
        <w:numPr>
          <w:ilvl w:val="0"/>
          <w:numId w:val="33"/>
        </w:numPr>
        <w:spacing w:after="0"/>
      </w:pPr>
      <w:r>
        <w:t>calculate cluster-level anomaly indicators</w:t>
      </w:r>
    </w:p>
    <w:p w14:paraId="226738C0" w14:textId="01F8C638" w:rsidR="00A575F6" w:rsidRPr="00FD6964" w:rsidRDefault="00A575F6" w:rsidP="00A575F6">
      <w:pPr>
        <w:numPr>
          <w:ilvl w:val="0"/>
          <w:numId w:val="33"/>
        </w:numPr>
        <w:spacing w:after="0"/>
      </w:pPr>
      <w:r>
        <w:t>assign collective risk scores to suspicious supplier groups</w:t>
      </w:r>
    </w:p>
    <w:p w14:paraId="566E73F2" w14:textId="77777777" w:rsidR="00A575F6" w:rsidRDefault="00A575F6" w:rsidP="00FD6964">
      <w:pPr>
        <w:rPr>
          <w:b/>
          <w:bCs/>
        </w:rPr>
      </w:pPr>
    </w:p>
    <w:p w14:paraId="02EAF9A6" w14:textId="2CC2FD8E" w:rsidR="00DB614C" w:rsidRDefault="00DB614C" w:rsidP="00DB614C">
      <w:pPr>
        <w:pStyle w:val="Heading4"/>
      </w:pPr>
      <w:r>
        <w:t>9c: Human-in-the-Loop Processing</w:t>
      </w:r>
    </w:p>
    <w:p w14:paraId="0B7804F6" w14:textId="77777777" w:rsidR="00DB614C" w:rsidRDefault="00DB614C" w:rsidP="00DB614C">
      <w:pPr>
        <w:numPr>
          <w:ilvl w:val="0"/>
          <w:numId w:val="33"/>
        </w:numPr>
        <w:spacing w:after="0"/>
      </w:pPr>
      <w:r>
        <w:t>allow investigators to define suspicious patterns using configurable criteria</w:t>
      </w:r>
    </w:p>
    <w:p w14:paraId="166318EE" w14:textId="77777777" w:rsidR="00DB614C" w:rsidRDefault="00DB614C" w:rsidP="00DB614C">
      <w:pPr>
        <w:numPr>
          <w:ilvl w:val="0"/>
          <w:numId w:val="33"/>
        </w:numPr>
        <w:spacing w:after="0"/>
      </w:pPr>
      <w:r>
        <w:t>allow investigators to modify anomaly thresholds such as growth rate, peer deviation, charge increase limits, or similarity thresholds</w:t>
      </w:r>
    </w:p>
    <w:p w14:paraId="72C01879" w14:textId="77777777" w:rsidR="00DB614C" w:rsidRDefault="00DB614C" w:rsidP="00DB614C">
      <w:pPr>
        <w:numPr>
          <w:ilvl w:val="0"/>
          <w:numId w:val="33"/>
        </w:numPr>
        <w:spacing w:after="0"/>
      </w:pPr>
      <w:r>
        <w:t>allow investigators to test pattern hypotheses against the supplier dataset</w:t>
      </w:r>
    </w:p>
    <w:p w14:paraId="4E77C97D" w14:textId="77777777" w:rsidR="00DB614C" w:rsidRDefault="00DB614C" w:rsidP="00DB614C">
      <w:pPr>
        <w:numPr>
          <w:ilvl w:val="0"/>
          <w:numId w:val="33"/>
        </w:numPr>
        <w:spacing w:after="0"/>
      </w:pPr>
      <w:r>
        <w:t>show which suppliers or supplier groups match the defined pattern</w:t>
      </w:r>
    </w:p>
    <w:p w14:paraId="64799574" w14:textId="77777777" w:rsidR="00DB614C" w:rsidRDefault="00DB614C" w:rsidP="00DB614C">
      <w:pPr>
        <w:numPr>
          <w:ilvl w:val="0"/>
          <w:numId w:val="33"/>
        </w:numPr>
        <w:spacing w:after="0"/>
      </w:pPr>
      <w:r>
        <w:t>allow investigators to compare results before and after threshold changes</w:t>
      </w:r>
    </w:p>
    <w:p w14:paraId="27676333" w14:textId="77777777" w:rsidR="00DB614C" w:rsidRDefault="00DB614C" w:rsidP="00DB614C">
      <w:pPr>
        <w:numPr>
          <w:ilvl w:val="0"/>
          <w:numId w:val="33"/>
        </w:numPr>
        <w:spacing w:after="0"/>
      </w:pPr>
      <w:r>
        <w:t>support analyst validation of flagged suppliers and supplier clusters</w:t>
      </w:r>
    </w:p>
    <w:p w14:paraId="4455701F" w14:textId="77777777" w:rsidR="00DB614C" w:rsidRDefault="00DB614C" w:rsidP="00DB614C">
      <w:pPr>
        <w:numPr>
          <w:ilvl w:val="0"/>
          <w:numId w:val="33"/>
        </w:numPr>
        <w:spacing w:after="0"/>
      </w:pPr>
      <w:r>
        <w:t>allow investigators to classify results as valid concern, false positive, or monitor</w:t>
      </w:r>
    </w:p>
    <w:p w14:paraId="1CBB31E0" w14:textId="77777777" w:rsidR="00DB614C" w:rsidRDefault="00DB614C" w:rsidP="00DB614C">
      <w:pPr>
        <w:numPr>
          <w:ilvl w:val="0"/>
          <w:numId w:val="33"/>
        </w:numPr>
        <w:spacing w:after="0"/>
      </w:pPr>
      <w:r>
        <w:t>capture investigator decisions for future refinement</w:t>
      </w:r>
    </w:p>
    <w:p w14:paraId="6225DA62" w14:textId="77777777" w:rsidR="00DB614C" w:rsidRDefault="00DB614C" w:rsidP="00FD6964">
      <w:pPr>
        <w:rPr>
          <w:b/>
          <w:bCs/>
        </w:rPr>
      </w:pPr>
    </w:p>
    <w:p w14:paraId="50D16567" w14:textId="5115B5C9" w:rsidR="00B56487" w:rsidRDefault="00B56487" w:rsidP="00B56487">
      <w:pPr>
        <w:pStyle w:val="Heading4"/>
      </w:pPr>
      <w:r>
        <w:t>9d: Outputs</w:t>
      </w:r>
    </w:p>
    <w:p w14:paraId="0C2C0906" w14:textId="77777777" w:rsidR="00B56487" w:rsidRDefault="00B56487" w:rsidP="00B56487">
      <w:pPr>
        <w:numPr>
          <w:ilvl w:val="0"/>
          <w:numId w:val="33"/>
        </w:numPr>
        <w:spacing w:after="0"/>
      </w:pPr>
      <w:r>
        <w:t>ranked supplier alerts</w:t>
      </w:r>
    </w:p>
    <w:p w14:paraId="1062E52D" w14:textId="77777777" w:rsidR="00B56487" w:rsidRDefault="00B56487" w:rsidP="00B56487">
      <w:pPr>
        <w:numPr>
          <w:ilvl w:val="0"/>
          <w:numId w:val="33"/>
        </w:numPr>
        <w:spacing w:after="0"/>
      </w:pPr>
      <w:r>
        <w:t>supplier risk score</w:t>
      </w:r>
    </w:p>
    <w:p w14:paraId="3CFEB974" w14:textId="77777777" w:rsidR="00B56487" w:rsidRDefault="00B56487" w:rsidP="00B56487">
      <w:pPr>
        <w:numPr>
          <w:ilvl w:val="0"/>
          <w:numId w:val="33"/>
        </w:numPr>
        <w:spacing w:after="0"/>
      </w:pPr>
      <w:r>
        <w:t>top anomaly drivers</w:t>
      </w:r>
    </w:p>
    <w:p w14:paraId="131D6345" w14:textId="77777777" w:rsidR="00B56487" w:rsidRDefault="00B56487" w:rsidP="00B56487">
      <w:pPr>
        <w:numPr>
          <w:ilvl w:val="0"/>
          <w:numId w:val="33"/>
        </w:numPr>
        <w:spacing w:after="0"/>
      </w:pPr>
      <w:r>
        <w:t>trend comparisons</w:t>
      </w:r>
    </w:p>
    <w:p w14:paraId="69761685" w14:textId="77777777" w:rsidR="00B56487" w:rsidRDefault="00B56487" w:rsidP="00B56487">
      <w:pPr>
        <w:numPr>
          <w:ilvl w:val="0"/>
          <w:numId w:val="33"/>
        </w:numPr>
        <w:spacing w:after="0"/>
      </w:pPr>
      <w:r>
        <w:t>investigator summary</w:t>
      </w:r>
    </w:p>
    <w:p w14:paraId="724ADEF4" w14:textId="77777777" w:rsidR="00B56487" w:rsidRDefault="00B56487" w:rsidP="00B56487">
      <w:pPr>
        <w:numPr>
          <w:ilvl w:val="0"/>
          <w:numId w:val="33"/>
        </w:numPr>
        <w:spacing w:after="0"/>
      </w:pPr>
      <w:r>
        <w:t>suggested next action</w:t>
      </w:r>
    </w:p>
    <w:p w14:paraId="3D583366" w14:textId="77777777" w:rsidR="00B56487" w:rsidRDefault="00B56487" w:rsidP="00B56487">
      <w:pPr>
        <w:numPr>
          <w:ilvl w:val="0"/>
          <w:numId w:val="33"/>
        </w:numPr>
        <w:spacing w:after="0"/>
      </w:pPr>
      <w:r>
        <w:lastRenderedPageBreak/>
        <w:t>cluster-level alerts</w:t>
      </w:r>
    </w:p>
    <w:p w14:paraId="7BB89429" w14:textId="77777777" w:rsidR="00B56487" w:rsidRDefault="00B56487" w:rsidP="00B56487">
      <w:pPr>
        <w:numPr>
          <w:ilvl w:val="0"/>
          <w:numId w:val="33"/>
        </w:numPr>
        <w:spacing w:after="0"/>
      </w:pPr>
      <w:r>
        <w:t>cluster risk score</w:t>
      </w:r>
    </w:p>
    <w:p w14:paraId="7318ED5D" w14:textId="77777777" w:rsidR="00B56487" w:rsidRDefault="00B56487" w:rsidP="00B56487">
      <w:pPr>
        <w:numPr>
          <w:ilvl w:val="0"/>
          <w:numId w:val="33"/>
        </w:numPr>
        <w:spacing w:after="0"/>
      </w:pPr>
      <w:r>
        <w:t>matched supplier group view</w:t>
      </w:r>
    </w:p>
    <w:p w14:paraId="1E570E62" w14:textId="77777777" w:rsidR="00B56487" w:rsidRDefault="00B56487" w:rsidP="00B56487">
      <w:pPr>
        <w:numPr>
          <w:ilvl w:val="0"/>
          <w:numId w:val="33"/>
        </w:numPr>
        <w:spacing w:after="0"/>
      </w:pPr>
      <w:r>
        <w:t>similarity-based cluster explanation</w:t>
      </w:r>
    </w:p>
    <w:p w14:paraId="0CCF9A59" w14:textId="77777777" w:rsidR="00B56487" w:rsidRDefault="00B56487" w:rsidP="00B56487">
      <w:pPr>
        <w:numPr>
          <w:ilvl w:val="0"/>
          <w:numId w:val="33"/>
        </w:numPr>
        <w:spacing w:after="0"/>
      </w:pPr>
      <w:r>
        <w:t>investigator-defined pattern results</w:t>
      </w:r>
    </w:p>
    <w:p w14:paraId="13610C85" w14:textId="77777777" w:rsidR="00B56487" w:rsidRDefault="00B56487" w:rsidP="00B56487">
      <w:pPr>
        <w:numPr>
          <w:ilvl w:val="0"/>
          <w:numId w:val="33"/>
        </w:numPr>
        <w:spacing w:after="0"/>
      </w:pPr>
      <w:r>
        <w:t>threshold-adjusted alert views</w:t>
      </w:r>
    </w:p>
    <w:p w14:paraId="472B0D04" w14:textId="77777777" w:rsidR="00FD6964" w:rsidRPr="00FD6964" w:rsidRDefault="00FD6964" w:rsidP="00B56487">
      <w:pPr>
        <w:pStyle w:val="Heading3"/>
      </w:pPr>
      <w:r w:rsidRPr="00FD6964">
        <w:t>10. MVP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FD6964" w:rsidRPr="00FD6964" w14:paraId="2AD97C67" w14:textId="77777777" w:rsidTr="00F22C8B">
        <w:trPr>
          <w:tblHeader/>
          <w:tblCellSpacing w:w="15" w:type="dxa"/>
        </w:trPr>
        <w:tc>
          <w:tcPr>
            <w:tcW w:w="0" w:type="auto"/>
            <w:vAlign w:val="center"/>
          </w:tcPr>
          <w:tbl>
            <w:tblPr>
              <w:tblW w:w="9118" w:type="dxa"/>
              <w:tblLook w:val="04A0" w:firstRow="1" w:lastRow="0" w:firstColumn="1" w:lastColumn="0" w:noHBand="0" w:noVBand="1"/>
            </w:tblPr>
            <w:tblGrid>
              <w:gridCol w:w="488"/>
              <w:gridCol w:w="2556"/>
              <w:gridCol w:w="5145"/>
              <w:gridCol w:w="929"/>
            </w:tblGrid>
            <w:tr w:rsidR="00DC01D4" w:rsidRPr="00DC01D4" w14:paraId="1C5F16E1" w14:textId="77777777" w:rsidTr="00DC01D4">
              <w:trPr>
                <w:trHeight w:val="300"/>
              </w:trPr>
              <w:tc>
                <w:tcPr>
                  <w:tcW w:w="488" w:type="dxa"/>
                  <w:tcBorders>
                    <w:top w:val="single" w:sz="8" w:space="0" w:color="44B3E1"/>
                    <w:left w:val="single" w:sz="8" w:space="0" w:color="44B3E1"/>
                    <w:bottom w:val="single" w:sz="8" w:space="0" w:color="44B3E1"/>
                    <w:right w:val="nil"/>
                  </w:tcBorders>
                  <w:shd w:val="clear" w:color="000000" w:fill="156082"/>
                  <w:noWrap/>
                  <w:vAlign w:val="center"/>
                  <w:hideMark/>
                </w:tcPr>
                <w:p w14:paraId="080E1B63" w14:textId="77777777" w:rsidR="00DC01D4" w:rsidRPr="00DC01D4" w:rsidRDefault="00DC01D4" w:rsidP="00DC01D4">
                  <w:pPr>
                    <w:spacing w:after="0" w:line="240" w:lineRule="auto"/>
                    <w:rPr>
                      <w:rFonts w:ascii="Aptos Narrow" w:eastAsia="Times New Roman" w:hAnsi="Aptos Narrow" w:cs="Times New Roman"/>
                      <w:b/>
                      <w:bCs/>
                      <w:color w:val="FFFFFF"/>
                      <w:kern w:val="0"/>
                      <w:sz w:val="22"/>
                      <w:szCs w:val="22"/>
                      <w14:ligatures w14:val="none"/>
                    </w:rPr>
                  </w:pPr>
                  <w:r w:rsidRPr="00DC01D4">
                    <w:rPr>
                      <w:rFonts w:ascii="Aptos Narrow" w:eastAsia="Times New Roman" w:hAnsi="Aptos Narrow" w:cs="Times New Roman"/>
                      <w:b/>
                      <w:bCs/>
                      <w:color w:val="FFFFFF"/>
                      <w:kern w:val="0"/>
                      <w:sz w:val="22"/>
                      <w:szCs w:val="22"/>
                      <w14:ligatures w14:val="none"/>
                    </w:rPr>
                    <w:t>#</w:t>
                  </w:r>
                </w:p>
              </w:tc>
              <w:tc>
                <w:tcPr>
                  <w:tcW w:w="2556" w:type="dxa"/>
                  <w:tcBorders>
                    <w:top w:val="single" w:sz="8" w:space="0" w:color="44B3E1"/>
                    <w:left w:val="single" w:sz="8" w:space="0" w:color="44B3E1"/>
                    <w:bottom w:val="single" w:sz="8" w:space="0" w:color="44B3E1"/>
                    <w:right w:val="nil"/>
                  </w:tcBorders>
                  <w:shd w:val="clear" w:color="000000" w:fill="156082"/>
                  <w:noWrap/>
                  <w:vAlign w:val="center"/>
                  <w:hideMark/>
                </w:tcPr>
                <w:p w14:paraId="203D4A0E" w14:textId="77777777" w:rsidR="00DC01D4" w:rsidRPr="00DC01D4" w:rsidRDefault="00DC01D4" w:rsidP="00DC01D4">
                  <w:pPr>
                    <w:spacing w:after="0" w:line="240" w:lineRule="auto"/>
                    <w:rPr>
                      <w:rFonts w:ascii="Aptos Narrow" w:eastAsia="Times New Roman" w:hAnsi="Aptos Narrow" w:cs="Times New Roman"/>
                      <w:b/>
                      <w:bCs/>
                      <w:color w:val="FFFFFF"/>
                      <w:kern w:val="0"/>
                      <w:sz w:val="22"/>
                      <w:szCs w:val="22"/>
                      <w14:ligatures w14:val="none"/>
                    </w:rPr>
                  </w:pPr>
                  <w:r w:rsidRPr="00DC01D4">
                    <w:rPr>
                      <w:rFonts w:ascii="Aptos Narrow" w:eastAsia="Times New Roman" w:hAnsi="Aptos Narrow" w:cs="Times New Roman"/>
                      <w:b/>
                      <w:bCs/>
                      <w:color w:val="FFFFFF"/>
                      <w:kern w:val="0"/>
                      <w:sz w:val="22"/>
                      <w:szCs w:val="22"/>
                      <w14:ligatures w14:val="none"/>
                    </w:rPr>
                    <w:t>Feature</w:t>
                  </w:r>
                </w:p>
              </w:tc>
              <w:tc>
                <w:tcPr>
                  <w:tcW w:w="5145" w:type="dxa"/>
                  <w:tcBorders>
                    <w:top w:val="single" w:sz="8" w:space="0" w:color="44B3E1"/>
                    <w:left w:val="nil"/>
                    <w:bottom w:val="single" w:sz="8" w:space="0" w:color="44B3E1"/>
                    <w:right w:val="nil"/>
                  </w:tcBorders>
                  <w:shd w:val="clear" w:color="000000" w:fill="156082"/>
                  <w:noWrap/>
                  <w:vAlign w:val="center"/>
                  <w:hideMark/>
                </w:tcPr>
                <w:p w14:paraId="6A4ED18D" w14:textId="77777777" w:rsidR="00DC01D4" w:rsidRPr="00DC01D4" w:rsidRDefault="00DC01D4" w:rsidP="00DC01D4">
                  <w:pPr>
                    <w:spacing w:after="0" w:line="240" w:lineRule="auto"/>
                    <w:rPr>
                      <w:rFonts w:ascii="Aptos Narrow" w:eastAsia="Times New Roman" w:hAnsi="Aptos Narrow" w:cs="Times New Roman"/>
                      <w:b/>
                      <w:bCs/>
                      <w:color w:val="FFFFFF"/>
                      <w:kern w:val="0"/>
                      <w:sz w:val="22"/>
                      <w:szCs w:val="22"/>
                      <w14:ligatures w14:val="none"/>
                    </w:rPr>
                  </w:pPr>
                  <w:r w:rsidRPr="00DC01D4">
                    <w:rPr>
                      <w:rFonts w:ascii="Aptos Narrow" w:eastAsia="Times New Roman" w:hAnsi="Aptos Narrow" w:cs="Times New Roman"/>
                      <w:b/>
                      <w:bCs/>
                      <w:color w:val="FFFFFF"/>
                      <w:kern w:val="0"/>
                      <w:sz w:val="22"/>
                      <w:szCs w:val="22"/>
                      <w14:ligatures w14:val="none"/>
                    </w:rPr>
                    <w:t>Description</w:t>
                  </w:r>
                </w:p>
              </w:tc>
              <w:tc>
                <w:tcPr>
                  <w:tcW w:w="929" w:type="dxa"/>
                  <w:tcBorders>
                    <w:top w:val="single" w:sz="8" w:space="0" w:color="44B3E1"/>
                    <w:left w:val="nil"/>
                    <w:bottom w:val="single" w:sz="8" w:space="0" w:color="44B3E1"/>
                    <w:right w:val="single" w:sz="8" w:space="0" w:color="44B3E1"/>
                  </w:tcBorders>
                  <w:shd w:val="clear" w:color="000000" w:fill="156082"/>
                  <w:noWrap/>
                  <w:vAlign w:val="center"/>
                  <w:hideMark/>
                </w:tcPr>
                <w:p w14:paraId="6CC9FF96" w14:textId="77777777" w:rsidR="00DC01D4" w:rsidRPr="00DC01D4" w:rsidRDefault="00DC01D4" w:rsidP="00DC01D4">
                  <w:pPr>
                    <w:spacing w:after="0" w:line="240" w:lineRule="auto"/>
                    <w:rPr>
                      <w:rFonts w:ascii="Aptos Narrow" w:eastAsia="Times New Roman" w:hAnsi="Aptos Narrow" w:cs="Times New Roman"/>
                      <w:b/>
                      <w:bCs/>
                      <w:color w:val="FFFFFF"/>
                      <w:kern w:val="0"/>
                      <w:sz w:val="22"/>
                      <w:szCs w:val="22"/>
                      <w14:ligatures w14:val="none"/>
                    </w:rPr>
                  </w:pPr>
                  <w:r w:rsidRPr="00DC01D4">
                    <w:rPr>
                      <w:rFonts w:ascii="Aptos Narrow" w:eastAsia="Times New Roman" w:hAnsi="Aptos Narrow" w:cs="Times New Roman"/>
                      <w:b/>
                      <w:bCs/>
                      <w:color w:val="FFFFFF"/>
                      <w:kern w:val="0"/>
                      <w:sz w:val="22"/>
                      <w:szCs w:val="22"/>
                      <w14:ligatures w14:val="none"/>
                    </w:rPr>
                    <w:t>Priority</w:t>
                  </w:r>
                </w:p>
              </w:tc>
            </w:tr>
            <w:tr w:rsidR="00DC01D4" w:rsidRPr="00DC01D4" w14:paraId="1FDB624F" w14:textId="77777777" w:rsidTr="00DC01D4">
              <w:trPr>
                <w:trHeight w:val="300"/>
              </w:trPr>
              <w:tc>
                <w:tcPr>
                  <w:tcW w:w="488" w:type="dxa"/>
                  <w:tcBorders>
                    <w:top w:val="nil"/>
                    <w:left w:val="single" w:sz="8" w:space="0" w:color="44B3E1"/>
                    <w:bottom w:val="single" w:sz="8" w:space="0" w:color="44B3E1"/>
                    <w:right w:val="nil"/>
                  </w:tcBorders>
                  <w:shd w:val="clear" w:color="000000" w:fill="C0E6F5"/>
                  <w:noWrap/>
                  <w:vAlign w:val="center"/>
                  <w:hideMark/>
                </w:tcPr>
                <w:p w14:paraId="06FD731C"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w:t>
                  </w:r>
                </w:p>
              </w:tc>
              <w:tc>
                <w:tcPr>
                  <w:tcW w:w="2556" w:type="dxa"/>
                  <w:tcBorders>
                    <w:top w:val="single" w:sz="8" w:space="0" w:color="44B3E1"/>
                    <w:left w:val="single" w:sz="8" w:space="0" w:color="44B3E1"/>
                    <w:bottom w:val="single" w:sz="8" w:space="0" w:color="44B3E1"/>
                    <w:right w:val="nil"/>
                  </w:tcBorders>
                  <w:shd w:val="clear" w:color="000000" w:fill="C0E6F5"/>
                  <w:noWrap/>
                  <w:vAlign w:val="center"/>
                  <w:hideMark/>
                </w:tcPr>
                <w:p w14:paraId="4435A395"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Supplier Risk Scoring</w:t>
                  </w:r>
                </w:p>
              </w:tc>
              <w:tc>
                <w:tcPr>
                  <w:tcW w:w="5145" w:type="dxa"/>
                  <w:tcBorders>
                    <w:top w:val="single" w:sz="8" w:space="0" w:color="44B3E1"/>
                    <w:left w:val="nil"/>
                    <w:bottom w:val="single" w:sz="8" w:space="0" w:color="44B3E1"/>
                    <w:right w:val="nil"/>
                  </w:tcBorders>
                  <w:shd w:val="clear" w:color="000000" w:fill="C0E6F5"/>
                  <w:noWrap/>
                  <w:vAlign w:val="center"/>
                  <w:hideMark/>
                </w:tcPr>
                <w:p w14:paraId="58D15DA0"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Composite score for DME supplier risk</w:t>
                  </w:r>
                </w:p>
              </w:tc>
              <w:tc>
                <w:tcPr>
                  <w:tcW w:w="929" w:type="dxa"/>
                  <w:tcBorders>
                    <w:top w:val="single" w:sz="8" w:space="0" w:color="44B3E1"/>
                    <w:left w:val="nil"/>
                    <w:bottom w:val="single" w:sz="8" w:space="0" w:color="44B3E1"/>
                    <w:right w:val="single" w:sz="8" w:space="0" w:color="44B3E1"/>
                  </w:tcBorders>
                  <w:shd w:val="clear" w:color="000000" w:fill="C0E6F5"/>
                  <w:noWrap/>
                  <w:vAlign w:val="center"/>
                  <w:hideMark/>
                </w:tcPr>
                <w:p w14:paraId="73019C70"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3FE6A2A8"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3E5740A6"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2</w:t>
                  </w:r>
                </w:p>
              </w:tc>
              <w:tc>
                <w:tcPr>
                  <w:tcW w:w="2556" w:type="dxa"/>
                  <w:tcBorders>
                    <w:top w:val="single" w:sz="4" w:space="0" w:color="44B3E1"/>
                    <w:left w:val="single" w:sz="8" w:space="0" w:color="44B3E1"/>
                    <w:bottom w:val="single" w:sz="8" w:space="0" w:color="44B3E1"/>
                    <w:right w:val="nil"/>
                  </w:tcBorders>
                  <w:noWrap/>
                  <w:vAlign w:val="center"/>
                  <w:hideMark/>
                </w:tcPr>
                <w:p w14:paraId="3457F2E0"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Anomaly Detection Engine</w:t>
                  </w:r>
                </w:p>
              </w:tc>
              <w:tc>
                <w:tcPr>
                  <w:tcW w:w="5145" w:type="dxa"/>
                  <w:tcBorders>
                    <w:top w:val="single" w:sz="4" w:space="0" w:color="44B3E1"/>
                    <w:left w:val="nil"/>
                    <w:bottom w:val="single" w:sz="8" w:space="0" w:color="44B3E1"/>
                    <w:right w:val="nil"/>
                  </w:tcBorders>
                  <w:noWrap/>
                  <w:vAlign w:val="center"/>
                  <w:hideMark/>
                </w:tcPr>
                <w:p w14:paraId="2D0D5BA9"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Detects billing spikes and peer outliers</w:t>
                  </w:r>
                </w:p>
              </w:tc>
              <w:tc>
                <w:tcPr>
                  <w:tcW w:w="929" w:type="dxa"/>
                  <w:tcBorders>
                    <w:top w:val="single" w:sz="4" w:space="0" w:color="44B3E1"/>
                    <w:left w:val="nil"/>
                    <w:bottom w:val="single" w:sz="8" w:space="0" w:color="44B3E1"/>
                    <w:right w:val="single" w:sz="8" w:space="0" w:color="44B3E1"/>
                  </w:tcBorders>
                  <w:noWrap/>
                  <w:vAlign w:val="center"/>
                  <w:hideMark/>
                </w:tcPr>
                <w:p w14:paraId="74822587"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51B912AD"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0DFACF31"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3</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69EB3B34"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Alert Dashboard</w:t>
                  </w:r>
                </w:p>
              </w:tc>
              <w:tc>
                <w:tcPr>
                  <w:tcW w:w="5145" w:type="dxa"/>
                  <w:tcBorders>
                    <w:top w:val="single" w:sz="4" w:space="0" w:color="44B3E1"/>
                    <w:left w:val="nil"/>
                    <w:bottom w:val="single" w:sz="8" w:space="0" w:color="44B3E1"/>
                    <w:right w:val="nil"/>
                  </w:tcBorders>
                  <w:shd w:val="clear" w:color="000000" w:fill="C0E6F5"/>
                  <w:noWrap/>
                  <w:vAlign w:val="center"/>
                  <w:hideMark/>
                </w:tcPr>
                <w:p w14:paraId="004B20C5"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Shows prioritized flagged suppliers</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5D34E81A"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58F89036"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440E47EC"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4</w:t>
                  </w:r>
                </w:p>
              </w:tc>
              <w:tc>
                <w:tcPr>
                  <w:tcW w:w="2556" w:type="dxa"/>
                  <w:tcBorders>
                    <w:top w:val="single" w:sz="4" w:space="0" w:color="44B3E1"/>
                    <w:left w:val="single" w:sz="8" w:space="0" w:color="44B3E1"/>
                    <w:bottom w:val="single" w:sz="8" w:space="0" w:color="44B3E1"/>
                    <w:right w:val="nil"/>
                  </w:tcBorders>
                  <w:noWrap/>
                  <w:vAlign w:val="center"/>
                  <w:hideMark/>
                </w:tcPr>
                <w:p w14:paraId="72E9F0BD"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Explainable Insights</w:t>
                  </w:r>
                </w:p>
              </w:tc>
              <w:tc>
                <w:tcPr>
                  <w:tcW w:w="5145" w:type="dxa"/>
                  <w:tcBorders>
                    <w:top w:val="single" w:sz="4" w:space="0" w:color="44B3E1"/>
                    <w:left w:val="nil"/>
                    <w:bottom w:val="single" w:sz="8" w:space="0" w:color="44B3E1"/>
                    <w:right w:val="nil"/>
                  </w:tcBorders>
                  <w:noWrap/>
                  <w:vAlign w:val="center"/>
                  <w:hideMark/>
                </w:tcPr>
                <w:p w14:paraId="13C571DB"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Displays why a supplier was flagged</w:t>
                  </w:r>
                </w:p>
              </w:tc>
              <w:tc>
                <w:tcPr>
                  <w:tcW w:w="929" w:type="dxa"/>
                  <w:tcBorders>
                    <w:top w:val="single" w:sz="4" w:space="0" w:color="44B3E1"/>
                    <w:left w:val="nil"/>
                    <w:bottom w:val="single" w:sz="8" w:space="0" w:color="44B3E1"/>
                    <w:right w:val="single" w:sz="8" w:space="0" w:color="44B3E1"/>
                  </w:tcBorders>
                  <w:noWrap/>
                  <w:vAlign w:val="center"/>
                  <w:hideMark/>
                </w:tcPr>
                <w:p w14:paraId="18ADA751"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311FC6FE"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52C153E3"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5</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5DBC175C"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Cross-NPI Pattern Detection</w:t>
                  </w:r>
                </w:p>
              </w:tc>
              <w:tc>
                <w:tcPr>
                  <w:tcW w:w="5145" w:type="dxa"/>
                  <w:tcBorders>
                    <w:top w:val="single" w:sz="4" w:space="0" w:color="44B3E1"/>
                    <w:left w:val="nil"/>
                    <w:bottom w:val="single" w:sz="8" w:space="0" w:color="44B3E1"/>
                    <w:right w:val="nil"/>
                  </w:tcBorders>
                  <w:shd w:val="clear" w:color="000000" w:fill="C0E6F5"/>
                  <w:noWrap/>
                  <w:vAlign w:val="center"/>
                  <w:hideMark/>
                </w:tcPr>
                <w:p w14:paraId="13D913D8"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Detects suspicious behavior fragmented across multiple suppliers</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09DAFCC5"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3F563FC2"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2B21C54F"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6</w:t>
                  </w:r>
                </w:p>
              </w:tc>
              <w:tc>
                <w:tcPr>
                  <w:tcW w:w="2556" w:type="dxa"/>
                  <w:tcBorders>
                    <w:top w:val="single" w:sz="4" w:space="0" w:color="44B3E1"/>
                    <w:left w:val="single" w:sz="8" w:space="0" w:color="44B3E1"/>
                    <w:bottom w:val="single" w:sz="8" w:space="0" w:color="44B3E1"/>
                    <w:right w:val="nil"/>
                  </w:tcBorders>
                  <w:noWrap/>
                  <w:vAlign w:val="center"/>
                  <w:hideMark/>
                </w:tcPr>
                <w:p w14:paraId="499B22AB"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Behavioral Clustering</w:t>
                  </w:r>
                </w:p>
              </w:tc>
              <w:tc>
                <w:tcPr>
                  <w:tcW w:w="5145" w:type="dxa"/>
                  <w:tcBorders>
                    <w:top w:val="single" w:sz="4" w:space="0" w:color="44B3E1"/>
                    <w:left w:val="nil"/>
                    <w:bottom w:val="single" w:sz="8" w:space="0" w:color="44B3E1"/>
                    <w:right w:val="nil"/>
                  </w:tcBorders>
                  <w:noWrap/>
                  <w:vAlign w:val="center"/>
                  <w:hideMark/>
                </w:tcPr>
                <w:p w14:paraId="5F8DD216"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Groups suppliers with similar billing behavior</w:t>
                  </w:r>
                </w:p>
              </w:tc>
              <w:tc>
                <w:tcPr>
                  <w:tcW w:w="929" w:type="dxa"/>
                  <w:tcBorders>
                    <w:top w:val="single" w:sz="4" w:space="0" w:color="44B3E1"/>
                    <w:left w:val="nil"/>
                    <w:bottom w:val="single" w:sz="8" w:space="0" w:color="44B3E1"/>
                    <w:right w:val="single" w:sz="8" w:space="0" w:color="44B3E1"/>
                  </w:tcBorders>
                  <w:noWrap/>
                  <w:vAlign w:val="center"/>
                  <w:hideMark/>
                </w:tcPr>
                <w:p w14:paraId="5EC17945"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5E006B70"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6AD8BA55"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7</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17714C50"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Cluster Risk Score</w:t>
                  </w:r>
                </w:p>
              </w:tc>
              <w:tc>
                <w:tcPr>
                  <w:tcW w:w="5145" w:type="dxa"/>
                  <w:tcBorders>
                    <w:top w:val="single" w:sz="4" w:space="0" w:color="44B3E1"/>
                    <w:left w:val="nil"/>
                    <w:bottom w:val="single" w:sz="8" w:space="0" w:color="44B3E1"/>
                    <w:right w:val="nil"/>
                  </w:tcBorders>
                  <w:shd w:val="clear" w:color="000000" w:fill="C0E6F5"/>
                  <w:noWrap/>
                  <w:vAlign w:val="center"/>
                  <w:hideMark/>
                </w:tcPr>
                <w:p w14:paraId="70894F3C"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Scores suspicious supplier groups, not just individual suppliers</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5EB19726"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71D2E1C5"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51269156"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8</w:t>
                  </w:r>
                </w:p>
              </w:tc>
              <w:tc>
                <w:tcPr>
                  <w:tcW w:w="2556" w:type="dxa"/>
                  <w:tcBorders>
                    <w:top w:val="single" w:sz="4" w:space="0" w:color="44B3E1"/>
                    <w:left w:val="single" w:sz="8" w:space="0" w:color="44B3E1"/>
                    <w:bottom w:val="single" w:sz="8" w:space="0" w:color="44B3E1"/>
                    <w:right w:val="nil"/>
                  </w:tcBorders>
                  <w:noWrap/>
                  <w:vAlign w:val="center"/>
                  <w:hideMark/>
                </w:tcPr>
                <w:p w14:paraId="4FA26E6D"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Investigator Pattern Builder</w:t>
                  </w:r>
                </w:p>
              </w:tc>
              <w:tc>
                <w:tcPr>
                  <w:tcW w:w="5145" w:type="dxa"/>
                  <w:tcBorders>
                    <w:top w:val="single" w:sz="4" w:space="0" w:color="44B3E1"/>
                    <w:left w:val="nil"/>
                    <w:bottom w:val="single" w:sz="8" w:space="0" w:color="44B3E1"/>
                    <w:right w:val="nil"/>
                  </w:tcBorders>
                  <w:noWrap/>
                  <w:vAlign w:val="center"/>
                  <w:hideMark/>
                </w:tcPr>
                <w:p w14:paraId="257331CD"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Allows investigators to define suspicious billing patterns</w:t>
                  </w:r>
                </w:p>
              </w:tc>
              <w:tc>
                <w:tcPr>
                  <w:tcW w:w="929" w:type="dxa"/>
                  <w:tcBorders>
                    <w:top w:val="single" w:sz="4" w:space="0" w:color="44B3E1"/>
                    <w:left w:val="nil"/>
                    <w:bottom w:val="single" w:sz="8" w:space="0" w:color="44B3E1"/>
                    <w:right w:val="single" w:sz="8" w:space="0" w:color="44B3E1"/>
                  </w:tcBorders>
                  <w:noWrap/>
                  <w:vAlign w:val="center"/>
                  <w:hideMark/>
                </w:tcPr>
                <w:p w14:paraId="4F4A5605"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0156941D"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422C283F"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9</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3310BF18"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Threshold Tuning</w:t>
                  </w:r>
                </w:p>
              </w:tc>
              <w:tc>
                <w:tcPr>
                  <w:tcW w:w="5145" w:type="dxa"/>
                  <w:tcBorders>
                    <w:top w:val="single" w:sz="4" w:space="0" w:color="44B3E1"/>
                    <w:left w:val="nil"/>
                    <w:bottom w:val="single" w:sz="8" w:space="0" w:color="44B3E1"/>
                    <w:right w:val="nil"/>
                  </w:tcBorders>
                  <w:shd w:val="clear" w:color="000000" w:fill="C0E6F5"/>
                  <w:noWrap/>
                  <w:vAlign w:val="center"/>
                  <w:hideMark/>
                </w:tcPr>
                <w:p w14:paraId="247FDD21"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Allows investigators to refine anomaly thresholds</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5852F38F"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6D5EBF88"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717CC3DF"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10</w:t>
                  </w:r>
                </w:p>
              </w:tc>
              <w:tc>
                <w:tcPr>
                  <w:tcW w:w="2556" w:type="dxa"/>
                  <w:tcBorders>
                    <w:top w:val="single" w:sz="4" w:space="0" w:color="44B3E1"/>
                    <w:left w:val="single" w:sz="8" w:space="0" w:color="44B3E1"/>
                    <w:bottom w:val="single" w:sz="8" w:space="0" w:color="44B3E1"/>
                    <w:right w:val="nil"/>
                  </w:tcBorders>
                  <w:noWrap/>
                  <w:vAlign w:val="center"/>
                  <w:hideMark/>
                </w:tcPr>
                <w:p w14:paraId="5A7329B6"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Multi-Supplier Hypothesis Testing</w:t>
                  </w:r>
                </w:p>
              </w:tc>
              <w:tc>
                <w:tcPr>
                  <w:tcW w:w="5145" w:type="dxa"/>
                  <w:tcBorders>
                    <w:top w:val="single" w:sz="4" w:space="0" w:color="44B3E1"/>
                    <w:left w:val="nil"/>
                    <w:bottom w:val="single" w:sz="8" w:space="0" w:color="44B3E1"/>
                    <w:right w:val="nil"/>
                  </w:tcBorders>
                  <w:noWrap/>
                  <w:vAlign w:val="center"/>
                  <w:hideMark/>
                </w:tcPr>
                <w:p w14:paraId="0F141F7C"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Allows investigators to test coordinated supplier scenarios</w:t>
                  </w:r>
                </w:p>
              </w:tc>
              <w:tc>
                <w:tcPr>
                  <w:tcW w:w="929" w:type="dxa"/>
                  <w:tcBorders>
                    <w:top w:val="single" w:sz="4" w:space="0" w:color="44B3E1"/>
                    <w:left w:val="nil"/>
                    <w:bottom w:val="single" w:sz="8" w:space="0" w:color="44B3E1"/>
                    <w:right w:val="single" w:sz="8" w:space="0" w:color="44B3E1"/>
                  </w:tcBorders>
                  <w:noWrap/>
                  <w:vAlign w:val="center"/>
                  <w:hideMark/>
                </w:tcPr>
                <w:p w14:paraId="12088EE6"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4DE1EFB0"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66E6A42A"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11</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3934BE7E"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Human Review Workflow</w:t>
                  </w:r>
                </w:p>
              </w:tc>
              <w:tc>
                <w:tcPr>
                  <w:tcW w:w="5145" w:type="dxa"/>
                  <w:tcBorders>
                    <w:top w:val="single" w:sz="4" w:space="0" w:color="44B3E1"/>
                    <w:left w:val="nil"/>
                    <w:bottom w:val="single" w:sz="8" w:space="0" w:color="44B3E1"/>
                    <w:right w:val="nil"/>
                  </w:tcBorders>
                  <w:shd w:val="clear" w:color="000000" w:fill="C0E6F5"/>
                  <w:noWrap/>
                  <w:vAlign w:val="center"/>
                  <w:hideMark/>
                </w:tcPr>
                <w:p w14:paraId="377CBC71"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Supports validation and final analyst action</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47561EA1"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High</w:t>
                  </w:r>
                </w:p>
              </w:tc>
            </w:tr>
            <w:tr w:rsidR="00DC01D4" w:rsidRPr="00DC01D4" w14:paraId="7BBEBA5E"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6FB50DAC"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12</w:t>
                  </w:r>
                </w:p>
              </w:tc>
              <w:tc>
                <w:tcPr>
                  <w:tcW w:w="2556" w:type="dxa"/>
                  <w:tcBorders>
                    <w:top w:val="single" w:sz="4" w:space="0" w:color="44B3E1"/>
                    <w:left w:val="single" w:sz="8" w:space="0" w:color="44B3E1"/>
                    <w:bottom w:val="single" w:sz="8" w:space="0" w:color="44B3E1"/>
                    <w:right w:val="nil"/>
                  </w:tcBorders>
                  <w:noWrap/>
                  <w:vAlign w:val="center"/>
                  <w:hideMark/>
                </w:tcPr>
                <w:p w14:paraId="0FDA7E6B"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Supplier Detail View</w:t>
                  </w:r>
                </w:p>
              </w:tc>
              <w:tc>
                <w:tcPr>
                  <w:tcW w:w="5145" w:type="dxa"/>
                  <w:tcBorders>
                    <w:top w:val="single" w:sz="4" w:space="0" w:color="44B3E1"/>
                    <w:left w:val="nil"/>
                    <w:bottom w:val="single" w:sz="8" w:space="0" w:color="44B3E1"/>
                    <w:right w:val="nil"/>
                  </w:tcBorders>
                  <w:noWrap/>
                  <w:vAlign w:val="center"/>
                  <w:hideMark/>
                </w:tcPr>
                <w:p w14:paraId="4C3076F5"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Trend and peer comparison breakdown</w:t>
                  </w:r>
                </w:p>
              </w:tc>
              <w:tc>
                <w:tcPr>
                  <w:tcW w:w="929" w:type="dxa"/>
                  <w:tcBorders>
                    <w:top w:val="single" w:sz="4" w:space="0" w:color="44B3E1"/>
                    <w:left w:val="nil"/>
                    <w:bottom w:val="single" w:sz="8" w:space="0" w:color="44B3E1"/>
                    <w:right w:val="single" w:sz="8" w:space="0" w:color="44B3E1"/>
                  </w:tcBorders>
                  <w:noWrap/>
                  <w:vAlign w:val="center"/>
                  <w:hideMark/>
                </w:tcPr>
                <w:p w14:paraId="7A5075A8"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Medium</w:t>
                  </w:r>
                </w:p>
              </w:tc>
            </w:tr>
            <w:tr w:rsidR="00DC01D4" w:rsidRPr="00DC01D4" w14:paraId="7842D0F7"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5F00B097"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13</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38838838"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Investigator Summary</w:t>
                  </w:r>
                </w:p>
              </w:tc>
              <w:tc>
                <w:tcPr>
                  <w:tcW w:w="5145" w:type="dxa"/>
                  <w:tcBorders>
                    <w:top w:val="single" w:sz="4" w:space="0" w:color="44B3E1"/>
                    <w:left w:val="nil"/>
                    <w:bottom w:val="single" w:sz="8" w:space="0" w:color="44B3E1"/>
                    <w:right w:val="nil"/>
                  </w:tcBorders>
                  <w:shd w:val="clear" w:color="000000" w:fill="C0E6F5"/>
                  <w:noWrap/>
                  <w:vAlign w:val="center"/>
                  <w:hideMark/>
                </w:tcPr>
                <w:p w14:paraId="290D8D62"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Short analyst-friendly summary</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07F5B58F"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Medium</w:t>
                  </w:r>
                </w:p>
              </w:tc>
            </w:tr>
            <w:tr w:rsidR="00DC01D4" w:rsidRPr="00DC01D4" w14:paraId="02DF0AEC" w14:textId="77777777" w:rsidTr="00DC01D4">
              <w:trPr>
                <w:trHeight w:val="300"/>
              </w:trPr>
              <w:tc>
                <w:tcPr>
                  <w:tcW w:w="488" w:type="dxa"/>
                  <w:tcBorders>
                    <w:top w:val="single" w:sz="4" w:space="0" w:color="44B3E1"/>
                    <w:left w:val="single" w:sz="8" w:space="0" w:color="44B3E1"/>
                    <w:bottom w:val="single" w:sz="8" w:space="0" w:color="44B3E1"/>
                    <w:right w:val="nil"/>
                  </w:tcBorders>
                  <w:noWrap/>
                  <w:vAlign w:val="center"/>
                  <w:hideMark/>
                </w:tcPr>
                <w:p w14:paraId="36577F67"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14</w:t>
                  </w:r>
                </w:p>
              </w:tc>
              <w:tc>
                <w:tcPr>
                  <w:tcW w:w="2556" w:type="dxa"/>
                  <w:tcBorders>
                    <w:top w:val="single" w:sz="4" w:space="0" w:color="44B3E1"/>
                    <w:left w:val="single" w:sz="8" w:space="0" w:color="44B3E1"/>
                    <w:bottom w:val="single" w:sz="8" w:space="0" w:color="44B3E1"/>
                    <w:right w:val="nil"/>
                  </w:tcBorders>
                  <w:noWrap/>
                  <w:vAlign w:val="center"/>
                  <w:hideMark/>
                </w:tcPr>
                <w:p w14:paraId="55BF6D01"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Recommended Action</w:t>
                  </w:r>
                </w:p>
              </w:tc>
              <w:tc>
                <w:tcPr>
                  <w:tcW w:w="5145" w:type="dxa"/>
                  <w:tcBorders>
                    <w:top w:val="single" w:sz="4" w:space="0" w:color="44B3E1"/>
                    <w:left w:val="nil"/>
                    <w:bottom w:val="single" w:sz="8" w:space="0" w:color="44B3E1"/>
                    <w:right w:val="nil"/>
                  </w:tcBorders>
                  <w:noWrap/>
                  <w:vAlign w:val="center"/>
                  <w:hideMark/>
                </w:tcPr>
                <w:p w14:paraId="2BC5B05B"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Review, monitor, or escalate suggestion</w:t>
                  </w:r>
                </w:p>
              </w:tc>
              <w:tc>
                <w:tcPr>
                  <w:tcW w:w="929" w:type="dxa"/>
                  <w:tcBorders>
                    <w:top w:val="single" w:sz="4" w:space="0" w:color="44B3E1"/>
                    <w:left w:val="nil"/>
                    <w:bottom w:val="single" w:sz="8" w:space="0" w:color="44B3E1"/>
                    <w:right w:val="single" w:sz="8" w:space="0" w:color="44B3E1"/>
                  </w:tcBorders>
                  <w:noWrap/>
                  <w:vAlign w:val="center"/>
                  <w:hideMark/>
                </w:tcPr>
                <w:p w14:paraId="5A0B6999"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Medium</w:t>
                  </w:r>
                </w:p>
              </w:tc>
            </w:tr>
            <w:tr w:rsidR="00DC01D4" w:rsidRPr="00DC01D4" w14:paraId="31CF4016" w14:textId="77777777" w:rsidTr="00DC01D4">
              <w:trPr>
                <w:trHeight w:val="300"/>
              </w:trPr>
              <w:tc>
                <w:tcPr>
                  <w:tcW w:w="488" w:type="dxa"/>
                  <w:tcBorders>
                    <w:top w:val="single" w:sz="4" w:space="0" w:color="44B3E1"/>
                    <w:left w:val="single" w:sz="8" w:space="0" w:color="44B3E1"/>
                    <w:bottom w:val="single" w:sz="8" w:space="0" w:color="44B3E1"/>
                    <w:right w:val="nil"/>
                  </w:tcBorders>
                  <w:shd w:val="clear" w:color="000000" w:fill="C0E6F5"/>
                  <w:noWrap/>
                  <w:vAlign w:val="center"/>
                  <w:hideMark/>
                </w:tcPr>
                <w:p w14:paraId="41B2A845" w14:textId="77777777" w:rsidR="00DC01D4" w:rsidRPr="00DC01D4" w:rsidRDefault="00DC01D4" w:rsidP="00DC01D4">
                  <w:pPr>
                    <w:spacing w:after="0" w:line="240" w:lineRule="auto"/>
                    <w:jc w:val="right"/>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15</w:t>
                  </w:r>
                </w:p>
              </w:tc>
              <w:tc>
                <w:tcPr>
                  <w:tcW w:w="2556" w:type="dxa"/>
                  <w:tcBorders>
                    <w:top w:val="single" w:sz="4" w:space="0" w:color="44B3E1"/>
                    <w:left w:val="single" w:sz="8" w:space="0" w:color="44B3E1"/>
                    <w:bottom w:val="single" w:sz="8" w:space="0" w:color="44B3E1"/>
                    <w:right w:val="nil"/>
                  </w:tcBorders>
                  <w:shd w:val="clear" w:color="000000" w:fill="C0E6F5"/>
                  <w:noWrap/>
                  <w:vAlign w:val="center"/>
                  <w:hideMark/>
                </w:tcPr>
                <w:p w14:paraId="7DEE432B"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Feedback Loop</w:t>
                  </w:r>
                </w:p>
              </w:tc>
              <w:tc>
                <w:tcPr>
                  <w:tcW w:w="5145" w:type="dxa"/>
                  <w:tcBorders>
                    <w:top w:val="single" w:sz="4" w:space="0" w:color="44B3E1"/>
                    <w:left w:val="nil"/>
                    <w:bottom w:val="single" w:sz="8" w:space="0" w:color="44B3E1"/>
                    <w:right w:val="nil"/>
                  </w:tcBorders>
                  <w:shd w:val="clear" w:color="000000" w:fill="C0E6F5"/>
                  <w:noWrap/>
                  <w:vAlign w:val="center"/>
                  <w:hideMark/>
                </w:tcPr>
                <w:p w14:paraId="3893D33D"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Captures investigator decisions for refinement</w:t>
                  </w:r>
                </w:p>
              </w:tc>
              <w:tc>
                <w:tcPr>
                  <w:tcW w:w="929" w:type="dxa"/>
                  <w:tcBorders>
                    <w:top w:val="single" w:sz="4" w:space="0" w:color="44B3E1"/>
                    <w:left w:val="nil"/>
                    <w:bottom w:val="single" w:sz="8" w:space="0" w:color="44B3E1"/>
                    <w:right w:val="single" w:sz="8" w:space="0" w:color="44B3E1"/>
                  </w:tcBorders>
                  <w:shd w:val="clear" w:color="000000" w:fill="C0E6F5"/>
                  <w:noWrap/>
                  <w:vAlign w:val="center"/>
                  <w:hideMark/>
                </w:tcPr>
                <w:p w14:paraId="1A1BA680" w14:textId="77777777" w:rsidR="00DC01D4" w:rsidRPr="00DC01D4" w:rsidRDefault="00DC01D4" w:rsidP="00DC01D4">
                  <w:pPr>
                    <w:spacing w:after="0" w:line="240" w:lineRule="auto"/>
                    <w:rPr>
                      <w:rFonts w:ascii="Aptos Narrow" w:eastAsia="Times New Roman" w:hAnsi="Aptos Narrow" w:cs="Times New Roman"/>
                      <w:color w:val="000000"/>
                      <w:kern w:val="0"/>
                      <w:sz w:val="22"/>
                      <w:szCs w:val="22"/>
                      <w14:ligatures w14:val="none"/>
                    </w:rPr>
                  </w:pPr>
                  <w:r w:rsidRPr="00DC01D4">
                    <w:rPr>
                      <w:rFonts w:ascii="Aptos Narrow" w:eastAsia="Times New Roman" w:hAnsi="Aptos Narrow" w:cs="Times New Roman"/>
                      <w:color w:val="000000"/>
                      <w:kern w:val="0"/>
                      <w:sz w:val="22"/>
                      <w:szCs w:val="22"/>
                      <w14:ligatures w14:val="none"/>
                    </w:rPr>
                    <w:t>Medium</w:t>
                  </w:r>
                </w:p>
              </w:tc>
            </w:tr>
          </w:tbl>
          <w:p w14:paraId="599F2A91" w14:textId="2240517C" w:rsidR="00FD6964" w:rsidRPr="00FD6964" w:rsidRDefault="00FD6964" w:rsidP="00FD6964">
            <w:pPr>
              <w:rPr>
                <w:b/>
                <w:bCs/>
              </w:rPr>
            </w:pPr>
          </w:p>
        </w:tc>
        <w:tc>
          <w:tcPr>
            <w:tcW w:w="0" w:type="auto"/>
            <w:vAlign w:val="center"/>
          </w:tcPr>
          <w:p w14:paraId="4A30EDE4" w14:textId="64C63085" w:rsidR="00FD6964" w:rsidRPr="00FD6964" w:rsidRDefault="00FD6964" w:rsidP="00FD6964">
            <w:pPr>
              <w:rPr>
                <w:b/>
                <w:bCs/>
              </w:rPr>
            </w:pPr>
          </w:p>
        </w:tc>
        <w:tc>
          <w:tcPr>
            <w:tcW w:w="0" w:type="auto"/>
            <w:vAlign w:val="center"/>
          </w:tcPr>
          <w:p w14:paraId="52232F46" w14:textId="0D5DDBCE" w:rsidR="00FD6964" w:rsidRPr="00FD6964" w:rsidRDefault="00FD6964" w:rsidP="00FD6964">
            <w:pPr>
              <w:rPr>
                <w:b/>
                <w:bCs/>
              </w:rPr>
            </w:pPr>
          </w:p>
        </w:tc>
      </w:tr>
    </w:tbl>
    <w:p w14:paraId="2DAE0CD4" w14:textId="77777777" w:rsidR="00FD6964" w:rsidRPr="00FD6964" w:rsidRDefault="00FD6964" w:rsidP="00226C8B">
      <w:pPr>
        <w:pStyle w:val="Heading3"/>
      </w:pPr>
      <w:r w:rsidRPr="00FD6964">
        <w:t>11. Project Work Plan</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279"/>
        <w:gridCol w:w="81"/>
      </w:tblGrid>
      <w:tr w:rsidR="00FD6964" w:rsidRPr="00FD6964" w14:paraId="1052619D" w14:textId="77777777" w:rsidTr="008B69E1">
        <w:trPr>
          <w:trHeight w:val="506"/>
          <w:tblHeader/>
          <w:tblCellSpacing w:w="15" w:type="dxa"/>
        </w:trPr>
        <w:tc>
          <w:tcPr>
            <w:tcW w:w="0" w:type="auto"/>
            <w:vAlign w:val="center"/>
          </w:tcPr>
          <w:tbl>
            <w:tblPr>
              <w:tblW w:w="9640" w:type="dxa"/>
              <w:tblLook w:val="04A0" w:firstRow="1" w:lastRow="0" w:firstColumn="1" w:lastColumn="0" w:noHBand="0" w:noVBand="1"/>
            </w:tblPr>
            <w:tblGrid>
              <w:gridCol w:w="3260"/>
              <w:gridCol w:w="6380"/>
            </w:tblGrid>
            <w:tr w:rsidR="008B69E1" w:rsidRPr="008B69E1" w14:paraId="407D48D8" w14:textId="77777777" w:rsidTr="008B69E1">
              <w:trPr>
                <w:trHeight w:val="312"/>
              </w:trPr>
              <w:tc>
                <w:tcPr>
                  <w:tcW w:w="3260" w:type="dxa"/>
                  <w:tcBorders>
                    <w:top w:val="single" w:sz="4" w:space="0" w:color="44B3E1"/>
                    <w:left w:val="single" w:sz="4" w:space="0" w:color="44B3E1"/>
                    <w:bottom w:val="single" w:sz="4" w:space="0" w:color="44B3E1"/>
                    <w:right w:val="nil"/>
                  </w:tcBorders>
                  <w:shd w:val="clear" w:color="156082" w:fill="156082"/>
                  <w:vAlign w:val="center"/>
                  <w:hideMark/>
                </w:tcPr>
                <w:p w14:paraId="6C0EB9FC" w14:textId="77777777" w:rsidR="008B69E1" w:rsidRPr="008B69E1" w:rsidRDefault="008B69E1" w:rsidP="008B69E1">
                  <w:pPr>
                    <w:spacing w:after="0" w:line="240" w:lineRule="auto"/>
                    <w:rPr>
                      <w:rFonts w:ascii="Aptos" w:eastAsia="Times New Roman" w:hAnsi="Aptos" w:cs="Times New Roman"/>
                      <w:b/>
                      <w:bCs/>
                      <w:color w:val="FFFFFF"/>
                      <w:kern w:val="0"/>
                      <w14:ligatures w14:val="none"/>
                    </w:rPr>
                  </w:pPr>
                  <w:r w:rsidRPr="008B69E1">
                    <w:rPr>
                      <w:rFonts w:ascii="Aptos" w:eastAsia="Times New Roman" w:hAnsi="Aptos" w:cs="Times New Roman"/>
                      <w:b/>
                      <w:bCs/>
                      <w:color w:val="FFFFFF"/>
                      <w:kern w:val="0"/>
                      <w14:ligatures w14:val="none"/>
                    </w:rPr>
                    <w:t>Workstream</w:t>
                  </w:r>
                </w:p>
              </w:tc>
              <w:tc>
                <w:tcPr>
                  <w:tcW w:w="6380" w:type="dxa"/>
                  <w:tcBorders>
                    <w:top w:val="single" w:sz="4" w:space="0" w:color="44B3E1"/>
                    <w:left w:val="nil"/>
                    <w:bottom w:val="single" w:sz="4" w:space="0" w:color="44B3E1"/>
                    <w:right w:val="nil"/>
                  </w:tcBorders>
                  <w:shd w:val="clear" w:color="156082" w:fill="156082"/>
                  <w:vAlign w:val="center"/>
                  <w:hideMark/>
                </w:tcPr>
                <w:p w14:paraId="0C01EA11" w14:textId="77777777" w:rsidR="008B69E1" w:rsidRPr="008B69E1" w:rsidRDefault="008B69E1" w:rsidP="008B69E1">
                  <w:pPr>
                    <w:spacing w:after="0" w:line="240" w:lineRule="auto"/>
                    <w:rPr>
                      <w:rFonts w:ascii="Aptos" w:eastAsia="Times New Roman" w:hAnsi="Aptos" w:cs="Times New Roman"/>
                      <w:b/>
                      <w:bCs/>
                      <w:color w:val="FFFFFF"/>
                      <w:kern w:val="0"/>
                      <w14:ligatures w14:val="none"/>
                    </w:rPr>
                  </w:pPr>
                  <w:r w:rsidRPr="008B69E1">
                    <w:rPr>
                      <w:rFonts w:ascii="Aptos" w:eastAsia="Times New Roman" w:hAnsi="Aptos" w:cs="Times New Roman"/>
                      <w:b/>
                      <w:bCs/>
                      <w:color w:val="FFFFFF"/>
                      <w:kern w:val="0"/>
                      <w14:ligatures w14:val="none"/>
                    </w:rPr>
                    <w:t>Key Activities</w:t>
                  </w:r>
                </w:p>
              </w:tc>
            </w:tr>
            <w:tr w:rsidR="008B69E1" w:rsidRPr="008B69E1" w14:paraId="212D0F54" w14:textId="77777777" w:rsidTr="008B69E1">
              <w:trPr>
                <w:trHeight w:val="312"/>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216068ED"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Use Case Definition</w:t>
                  </w:r>
                </w:p>
              </w:tc>
              <w:tc>
                <w:tcPr>
                  <w:tcW w:w="6380" w:type="dxa"/>
                  <w:tcBorders>
                    <w:top w:val="single" w:sz="4" w:space="0" w:color="44B3E1"/>
                    <w:left w:val="nil"/>
                    <w:bottom w:val="single" w:sz="4" w:space="0" w:color="44B3E1"/>
                    <w:right w:val="nil"/>
                  </w:tcBorders>
                  <w:shd w:val="clear" w:color="C0E6F5" w:fill="C0E6F5"/>
                  <w:vAlign w:val="center"/>
                  <w:hideMark/>
                </w:tcPr>
                <w:p w14:paraId="0AA61981"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finalize DME scenario, success criteria, story</w:t>
                  </w:r>
                </w:p>
              </w:tc>
            </w:tr>
            <w:tr w:rsidR="008B69E1" w:rsidRPr="008B69E1" w14:paraId="14F13063" w14:textId="77777777" w:rsidTr="008B69E1">
              <w:trPr>
                <w:trHeight w:val="312"/>
              </w:trPr>
              <w:tc>
                <w:tcPr>
                  <w:tcW w:w="3260" w:type="dxa"/>
                  <w:tcBorders>
                    <w:top w:val="single" w:sz="4" w:space="0" w:color="44B3E1"/>
                    <w:left w:val="single" w:sz="4" w:space="0" w:color="44B3E1"/>
                    <w:bottom w:val="single" w:sz="4" w:space="0" w:color="44B3E1"/>
                    <w:right w:val="nil"/>
                  </w:tcBorders>
                  <w:vAlign w:val="center"/>
                  <w:hideMark/>
                </w:tcPr>
                <w:p w14:paraId="58B1DC76"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Data Preparation</w:t>
                  </w:r>
                </w:p>
              </w:tc>
              <w:tc>
                <w:tcPr>
                  <w:tcW w:w="6380" w:type="dxa"/>
                  <w:tcBorders>
                    <w:top w:val="single" w:sz="4" w:space="0" w:color="44B3E1"/>
                    <w:left w:val="nil"/>
                    <w:bottom w:val="single" w:sz="4" w:space="0" w:color="44B3E1"/>
                    <w:right w:val="nil"/>
                  </w:tcBorders>
                  <w:vAlign w:val="center"/>
                  <w:hideMark/>
                </w:tcPr>
                <w:p w14:paraId="3A6377A1"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identify fields, clean dataset, create peer cohorts</w:t>
                  </w:r>
                </w:p>
              </w:tc>
            </w:tr>
            <w:tr w:rsidR="008B69E1" w:rsidRPr="008B69E1" w14:paraId="3B1C38DC" w14:textId="77777777" w:rsidTr="008B69E1">
              <w:trPr>
                <w:trHeight w:val="312"/>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03D9F1BA"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Synthetic Scenario Design</w:t>
                  </w:r>
                </w:p>
              </w:tc>
              <w:tc>
                <w:tcPr>
                  <w:tcW w:w="6380" w:type="dxa"/>
                  <w:tcBorders>
                    <w:top w:val="single" w:sz="4" w:space="0" w:color="44B3E1"/>
                    <w:left w:val="nil"/>
                    <w:bottom w:val="single" w:sz="4" w:space="0" w:color="44B3E1"/>
                    <w:right w:val="nil"/>
                  </w:tcBorders>
                  <w:shd w:val="clear" w:color="C0E6F5" w:fill="C0E6F5"/>
                  <w:vAlign w:val="center"/>
                  <w:hideMark/>
                </w:tcPr>
                <w:p w14:paraId="5B1B230B"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seed suspicious supplier patterns for demo</w:t>
                  </w:r>
                </w:p>
              </w:tc>
            </w:tr>
            <w:tr w:rsidR="008B69E1" w:rsidRPr="008B69E1" w14:paraId="1BFFF342" w14:textId="77777777" w:rsidTr="008B69E1">
              <w:trPr>
                <w:trHeight w:val="312"/>
              </w:trPr>
              <w:tc>
                <w:tcPr>
                  <w:tcW w:w="3260" w:type="dxa"/>
                  <w:tcBorders>
                    <w:top w:val="single" w:sz="4" w:space="0" w:color="44B3E1"/>
                    <w:left w:val="single" w:sz="4" w:space="0" w:color="44B3E1"/>
                    <w:bottom w:val="single" w:sz="4" w:space="0" w:color="44B3E1"/>
                    <w:right w:val="nil"/>
                  </w:tcBorders>
                  <w:vAlign w:val="center"/>
                  <w:hideMark/>
                </w:tcPr>
                <w:p w14:paraId="44BE1DEC"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Model Logic</w:t>
                  </w:r>
                </w:p>
              </w:tc>
              <w:tc>
                <w:tcPr>
                  <w:tcW w:w="6380" w:type="dxa"/>
                  <w:tcBorders>
                    <w:top w:val="single" w:sz="4" w:space="0" w:color="44B3E1"/>
                    <w:left w:val="nil"/>
                    <w:bottom w:val="single" w:sz="4" w:space="0" w:color="44B3E1"/>
                    <w:right w:val="nil"/>
                  </w:tcBorders>
                  <w:vAlign w:val="center"/>
                  <w:hideMark/>
                </w:tcPr>
                <w:p w14:paraId="4C8EC3F2"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build anomaly indicators and risk score</w:t>
                  </w:r>
                </w:p>
              </w:tc>
            </w:tr>
            <w:tr w:rsidR="008B69E1" w:rsidRPr="008B69E1" w14:paraId="5E808750" w14:textId="77777777" w:rsidTr="008B69E1">
              <w:trPr>
                <w:trHeight w:val="312"/>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4523E45F"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Dashboard Development</w:t>
                  </w:r>
                </w:p>
              </w:tc>
              <w:tc>
                <w:tcPr>
                  <w:tcW w:w="6380" w:type="dxa"/>
                  <w:tcBorders>
                    <w:top w:val="single" w:sz="4" w:space="0" w:color="44B3E1"/>
                    <w:left w:val="nil"/>
                    <w:bottom w:val="single" w:sz="4" w:space="0" w:color="44B3E1"/>
                    <w:right w:val="nil"/>
                  </w:tcBorders>
                  <w:shd w:val="clear" w:color="C0E6F5" w:fill="C0E6F5"/>
                  <w:vAlign w:val="center"/>
                  <w:hideMark/>
                </w:tcPr>
                <w:p w14:paraId="0CFCEF99"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create alert list and supplier drill-down view</w:t>
                  </w:r>
                </w:p>
              </w:tc>
            </w:tr>
            <w:tr w:rsidR="008B69E1" w:rsidRPr="008B69E1" w14:paraId="3554BC01" w14:textId="77777777" w:rsidTr="008B69E1">
              <w:trPr>
                <w:trHeight w:val="312"/>
              </w:trPr>
              <w:tc>
                <w:tcPr>
                  <w:tcW w:w="3260" w:type="dxa"/>
                  <w:tcBorders>
                    <w:top w:val="single" w:sz="4" w:space="0" w:color="44B3E1"/>
                    <w:left w:val="single" w:sz="4" w:space="0" w:color="44B3E1"/>
                    <w:bottom w:val="single" w:sz="4" w:space="0" w:color="44B3E1"/>
                    <w:right w:val="nil"/>
                  </w:tcBorders>
                  <w:vAlign w:val="center"/>
                  <w:hideMark/>
                </w:tcPr>
                <w:p w14:paraId="03D3F3E3"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Pitch Preparation</w:t>
                  </w:r>
                </w:p>
              </w:tc>
              <w:tc>
                <w:tcPr>
                  <w:tcW w:w="6380" w:type="dxa"/>
                  <w:tcBorders>
                    <w:top w:val="single" w:sz="4" w:space="0" w:color="44B3E1"/>
                    <w:left w:val="nil"/>
                    <w:bottom w:val="single" w:sz="4" w:space="0" w:color="44B3E1"/>
                    <w:right w:val="nil"/>
                  </w:tcBorders>
                  <w:vAlign w:val="center"/>
                  <w:hideMark/>
                </w:tcPr>
                <w:p w14:paraId="75400D8C" w14:textId="77777777" w:rsidR="008B69E1" w:rsidRPr="008B69E1" w:rsidRDefault="008B69E1" w:rsidP="008B69E1">
                  <w:pPr>
                    <w:spacing w:after="0" w:line="240" w:lineRule="auto"/>
                    <w:rPr>
                      <w:rFonts w:ascii="Aptos" w:eastAsia="Times New Roman" w:hAnsi="Aptos" w:cs="Times New Roman"/>
                      <w:color w:val="000000"/>
                      <w:kern w:val="0"/>
                      <w14:ligatures w14:val="none"/>
                    </w:rPr>
                  </w:pPr>
                  <w:r w:rsidRPr="008B69E1">
                    <w:rPr>
                      <w:rFonts w:ascii="Aptos" w:eastAsia="Times New Roman" w:hAnsi="Aptos" w:cs="Times New Roman"/>
                      <w:color w:val="000000"/>
                      <w:kern w:val="0"/>
                      <w14:ligatures w14:val="none"/>
                    </w:rPr>
                    <w:t>prepare story, value proposition, demo script</w:t>
                  </w:r>
                </w:p>
              </w:tc>
            </w:tr>
          </w:tbl>
          <w:p w14:paraId="092EE3B5" w14:textId="58836930" w:rsidR="00FD6964" w:rsidRPr="00FD6964" w:rsidRDefault="00FD6964" w:rsidP="00FD6964">
            <w:pPr>
              <w:rPr>
                <w:b/>
                <w:bCs/>
              </w:rPr>
            </w:pPr>
          </w:p>
        </w:tc>
        <w:tc>
          <w:tcPr>
            <w:tcW w:w="0" w:type="auto"/>
            <w:vAlign w:val="center"/>
          </w:tcPr>
          <w:p w14:paraId="66E23D31" w14:textId="69395BCB" w:rsidR="00FD6964" w:rsidRPr="00FD6964" w:rsidRDefault="00FD6964" w:rsidP="00FD6964">
            <w:pPr>
              <w:rPr>
                <w:b/>
                <w:bCs/>
              </w:rPr>
            </w:pPr>
          </w:p>
        </w:tc>
      </w:tr>
    </w:tbl>
    <w:p w14:paraId="1ABC3D62" w14:textId="77777777" w:rsidR="00FD6964" w:rsidRDefault="00FD6964" w:rsidP="008B69E1">
      <w:pPr>
        <w:pStyle w:val="Heading3"/>
      </w:pPr>
      <w:r w:rsidRPr="00FD6964">
        <w:t>12. Timeline</w:t>
      </w:r>
    </w:p>
    <w:p w14:paraId="60D3ED15" w14:textId="471FEE7F" w:rsidR="007E62F0" w:rsidRPr="00383023" w:rsidRDefault="00383023" w:rsidP="007E62F0">
      <w:r w:rsidRPr="00383023">
        <w:t>1 Sprint / 14 days</w:t>
      </w:r>
    </w:p>
    <w:tbl>
      <w:tblPr>
        <w:tblW w:w="4580" w:type="dxa"/>
        <w:tblLook w:val="04A0" w:firstRow="1" w:lastRow="0" w:firstColumn="1" w:lastColumn="0" w:noHBand="0" w:noVBand="1"/>
      </w:tblPr>
      <w:tblGrid>
        <w:gridCol w:w="3260"/>
        <w:gridCol w:w="1320"/>
      </w:tblGrid>
      <w:tr w:rsidR="000C6E46" w:rsidRPr="000C6E46" w14:paraId="37FCF4D2" w14:textId="77777777" w:rsidTr="000C6E46">
        <w:trPr>
          <w:trHeight w:val="312"/>
        </w:trPr>
        <w:tc>
          <w:tcPr>
            <w:tcW w:w="3260" w:type="dxa"/>
            <w:tcBorders>
              <w:top w:val="single" w:sz="4" w:space="0" w:color="44B3E1"/>
              <w:left w:val="single" w:sz="4" w:space="0" w:color="44B3E1"/>
              <w:bottom w:val="single" w:sz="4" w:space="0" w:color="44B3E1"/>
              <w:right w:val="nil"/>
            </w:tcBorders>
            <w:shd w:val="clear" w:color="156082" w:fill="156082"/>
            <w:vAlign w:val="center"/>
            <w:hideMark/>
          </w:tcPr>
          <w:p w14:paraId="4A1D2719" w14:textId="77777777" w:rsidR="000C6E46" w:rsidRPr="000C6E46" w:rsidRDefault="000C6E46" w:rsidP="000C6E46">
            <w:pPr>
              <w:spacing w:after="0" w:line="240" w:lineRule="auto"/>
              <w:rPr>
                <w:rFonts w:ascii="Aptos" w:eastAsia="Times New Roman" w:hAnsi="Aptos" w:cs="Times New Roman"/>
                <w:b/>
                <w:bCs/>
                <w:color w:val="FFFFFF"/>
                <w:kern w:val="0"/>
                <w14:ligatures w14:val="none"/>
              </w:rPr>
            </w:pPr>
            <w:r w:rsidRPr="000C6E46">
              <w:rPr>
                <w:rFonts w:ascii="Aptos" w:eastAsia="Times New Roman" w:hAnsi="Aptos" w:cs="Times New Roman"/>
                <w:b/>
                <w:bCs/>
                <w:color w:val="FFFFFF"/>
                <w:kern w:val="0"/>
                <w14:ligatures w14:val="none"/>
              </w:rPr>
              <w:lastRenderedPageBreak/>
              <w:t>Task</w:t>
            </w:r>
          </w:p>
        </w:tc>
        <w:tc>
          <w:tcPr>
            <w:tcW w:w="1320" w:type="dxa"/>
            <w:tcBorders>
              <w:top w:val="single" w:sz="4" w:space="0" w:color="44B3E1"/>
              <w:left w:val="nil"/>
              <w:bottom w:val="single" w:sz="4" w:space="0" w:color="44B3E1"/>
              <w:right w:val="nil"/>
            </w:tcBorders>
            <w:shd w:val="clear" w:color="156082" w:fill="156082"/>
            <w:vAlign w:val="center"/>
            <w:hideMark/>
          </w:tcPr>
          <w:p w14:paraId="5B71CE1C" w14:textId="77777777" w:rsidR="000C6E46" w:rsidRPr="000C6E46" w:rsidRDefault="000C6E46" w:rsidP="000C6E46">
            <w:pPr>
              <w:spacing w:after="0" w:line="240" w:lineRule="auto"/>
              <w:rPr>
                <w:rFonts w:ascii="Aptos" w:eastAsia="Times New Roman" w:hAnsi="Aptos" w:cs="Times New Roman"/>
                <w:b/>
                <w:bCs/>
                <w:color w:val="FFFFFF"/>
                <w:kern w:val="0"/>
                <w14:ligatures w14:val="none"/>
              </w:rPr>
            </w:pPr>
            <w:r w:rsidRPr="000C6E46">
              <w:rPr>
                <w:rFonts w:ascii="Aptos" w:eastAsia="Times New Roman" w:hAnsi="Aptos" w:cs="Times New Roman"/>
                <w:b/>
                <w:bCs/>
                <w:color w:val="FFFFFF"/>
                <w:kern w:val="0"/>
                <w14:ligatures w14:val="none"/>
              </w:rPr>
              <w:t>Duration</w:t>
            </w:r>
          </w:p>
        </w:tc>
      </w:tr>
      <w:tr w:rsidR="000C6E46" w:rsidRPr="000C6E46" w14:paraId="26FBA08E" w14:textId="77777777" w:rsidTr="000C6E46">
        <w:trPr>
          <w:trHeight w:val="312"/>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7E48DE4C"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Finalize problem and scope</w:t>
            </w:r>
          </w:p>
        </w:tc>
        <w:tc>
          <w:tcPr>
            <w:tcW w:w="1320" w:type="dxa"/>
            <w:tcBorders>
              <w:top w:val="single" w:sz="4" w:space="0" w:color="44B3E1"/>
              <w:left w:val="nil"/>
              <w:bottom w:val="single" w:sz="4" w:space="0" w:color="44B3E1"/>
              <w:right w:val="nil"/>
            </w:tcBorders>
            <w:shd w:val="clear" w:color="C0E6F5" w:fill="C0E6F5"/>
            <w:vAlign w:val="center"/>
            <w:hideMark/>
          </w:tcPr>
          <w:p w14:paraId="4C850AC9"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2 hours</w:t>
            </w:r>
          </w:p>
        </w:tc>
      </w:tr>
      <w:tr w:rsidR="000C6E46" w:rsidRPr="000C6E46" w14:paraId="180EF14F" w14:textId="77777777" w:rsidTr="000C6E46">
        <w:trPr>
          <w:trHeight w:val="624"/>
        </w:trPr>
        <w:tc>
          <w:tcPr>
            <w:tcW w:w="3260" w:type="dxa"/>
            <w:tcBorders>
              <w:top w:val="single" w:sz="4" w:space="0" w:color="44B3E1"/>
              <w:left w:val="single" w:sz="4" w:space="0" w:color="44B3E1"/>
              <w:bottom w:val="single" w:sz="4" w:space="0" w:color="44B3E1"/>
              <w:right w:val="nil"/>
            </w:tcBorders>
            <w:vAlign w:val="center"/>
            <w:hideMark/>
          </w:tcPr>
          <w:p w14:paraId="1E4B31C4"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Prepare CMS DME supplier dataset</w:t>
            </w:r>
          </w:p>
        </w:tc>
        <w:tc>
          <w:tcPr>
            <w:tcW w:w="1320" w:type="dxa"/>
            <w:tcBorders>
              <w:top w:val="single" w:sz="4" w:space="0" w:color="44B3E1"/>
              <w:left w:val="nil"/>
              <w:bottom w:val="single" w:sz="4" w:space="0" w:color="44B3E1"/>
              <w:right w:val="nil"/>
            </w:tcBorders>
            <w:vAlign w:val="center"/>
            <w:hideMark/>
          </w:tcPr>
          <w:p w14:paraId="45C0FF4C"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4 hours</w:t>
            </w:r>
          </w:p>
        </w:tc>
      </w:tr>
      <w:tr w:rsidR="000C6E46" w:rsidRPr="000C6E46" w14:paraId="36ACF378" w14:textId="77777777" w:rsidTr="000C6E46">
        <w:trPr>
          <w:trHeight w:val="624"/>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104C305B"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Define anomaly features and cohorts</w:t>
            </w:r>
          </w:p>
        </w:tc>
        <w:tc>
          <w:tcPr>
            <w:tcW w:w="1320" w:type="dxa"/>
            <w:tcBorders>
              <w:top w:val="single" w:sz="4" w:space="0" w:color="44B3E1"/>
              <w:left w:val="nil"/>
              <w:bottom w:val="single" w:sz="4" w:space="0" w:color="44B3E1"/>
              <w:right w:val="nil"/>
            </w:tcBorders>
            <w:shd w:val="clear" w:color="C0E6F5" w:fill="C0E6F5"/>
            <w:vAlign w:val="center"/>
            <w:hideMark/>
          </w:tcPr>
          <w:p w14:paraId="55E7BF91"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3 hours</w:t>
            </w:r>
          </w:p>
        </w:tc>
      </w:tr>
      <w:tr w:rsidR="000C6E46" w:rsidRPr="000C6E46" w14:paraId="08A0463C" w14:textId="77777777" w:rsidTr="000C6E46">
        <w:trPr>
          <w:trHeight w:val="312"/>
        </w:trPr>
        <w:tc>
          <w:tcPr>
            <w:tcW w:w="3260" w:type="dxa"/>
            <w:tcBorders>
              <w:top w:val="single" w:sz="4" w:space="0" w:color="44B3E1"/>
              <w:left w:val="single" w:sz="4" w:space="0" w:color="44B3E1"/>
              <w:bottom w:val="single" w:sz="4" w:space="0" w:color="44B3E1"/>
              <w:right w:val="nil"/>
            </w:tcBorders>
            <w:vAlign w:val="center"/>
            <w:hideMark/>
          </w:tcPr>
          <w:p w14:paraId="24051B9C"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Add synthetic anomaly cases</w:t>
            </w:r>
          </w:p>
        </w:tc>
        <w:tc>
          <w:tcPr>
            <w:tcW w:w="1320" w:type="dxa"/>
            <w:tcBorders>
              <w:top w:val="single" w:sz="4" w:space="0" w:color="44B3E1"/>
              <w:left w:val="nil"/>
              <w:bottom w:val="single" w:sz="4" w:space="0" w:color="44B3E1"/>
              <w:right w:val="nil"/>
            </w:tcBorders>
            <w:vAlign w:val="center"/>
            <w:hideMark/>
          </w:tcPr>
          <w:p w14:paraId="7301016A"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3 hours</w:t>
            </w:r>
          </w:p>
        </w:tc>
      </w:tr>
      <w:tr w:rsidR="000C6E46" w:rsidRPr="000C6E46" w14:paraId="3992BF94" w14:textId="77777777" w:rsidTr="000C6E46">
        <w:trPr>
          <w:trHeight w:val="312"/>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07B30FB1"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Build scoring logic</w:t>
            </w:r>
          </w:p>
        </w:tc>
        <w:tc>
          <w:tcPr>
            <w:tcW w:w="1320" w:type="dxa"/>
            <w:tcBorders>
              <w:top w:val="single" w:sz="4" w:space="0" w:color="44B3E1"/>
              <w:left w:val="nil"/>
              <w:bottom w:val="single" w:sz="4" w:space="0" w:color="44B3E1"/>
              <w:right w:val="nil"/>
            </w:tcBorders>
            <w:shd w:val="clear" w:color="C0E6F5" w:fill="C0E6F5"/>
            <w:vAlign w:val="center"/>
            <w:hideMark/>
          </w:tcPr>
          <w:p w14:paraId="7B6DACFF"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4 hours</w:t>
            </w:r>
          </w:p>
        </w:tc>
      </w:tr>
      <w:tr w:rsidR="000C6E46" w:rsidRPr="000C6E46" w14:paraId="2BEB5E29" w14:textId="77777777" w:rsidTr="000C6E46">
        <w:trPr>
          <w:trHeight w:val="312"/>
        </w:trPr>
        <w:tc>
          <w:tcPr>
            <w:tcW w:w="3260" w:type="dxa"/>
            <w:tcBorders>
              <w:top w:val="single" w:sz="4" w:space="0" w:color="44B3E1"/>
              <w:left w:val="single" w:sz="4" w:space="0" w:color="44B3E1"/>
              <w:bottom w:val="single" w:sz="4" w:space="0" w:color="44B3E1"/>
              <w:right w:val="nil"/>
            </w:tcBorders>
            <w:vAlign w:val="center"/>
            <w:hideMark/>
          </w:tcPr>
          <w:p w14:paraId="4DCC5DDE"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Build dashboard / UI</w:t>
            </w:r>
          </w:p>
        </w:tc>
        <w:tc>
          <w:tcPr>
            <w:tcW w:w="1320" w:type="dxa"/>
            <w:tcBorders>
              <w:top w:val="single" w:sz="4" w:space="0" w:color="44B3E1"/>
              <w:left w:val="nil"/>
              <w:bottom w:val="single" w:sz="4" w:space="0" w:color="44B3E1"/>
              <w:right w:val="nil"/>
            </w:tcBorders>
            <w:vAlign w:val="center"/>
            <w:hideMark/>
          </w:tcPr>
          <w:p w14:paraId="3439E3F8" w14:textId="77777777" w:rsidR="000C6E46" w:rsidRPr="000C6E46" w:rsidRDefault="000C6E46" w:rsidP="000C6E46">
            <w:pPr>
              <w:spacing w:after="0" w:line="240" w:lineRule="auto"/>
              <w:rPr>
                <w:rFonts w:ascii="Aptos" w:eastAsia="Times New Roman" w:hAnsi="Aptos" w:cs="Times New Roman"/>
                <w:color w:val="000000"/>
                <w:kern w:val="0"/>
                <w14:ligatures w14:val="none"/>
              </w:rPr>
            </w:pPr>
            <w:r w:rsidRPr="000C6E46">
              <w:rPr>
                <w:rFonts w:ascii="Aptos" w:eastAsia="Times New Roman" w:hAnsi="Aptos" w:cs="Times New Roman"/>
                <w:color w:val="000000"/>
                <w:kern w:val="0"/>
                <w14:ligatures w14:val="none"/>
              </w:rPr>
              <w:t>5 hours</w:t>
            </w:r>
          </w:p>
        </w:tc>
      </w:tr>
    </w:tbl>
    <w:p w14:paraId="2045F856" w14:textId="77777777" w:rsidR="007E62F0" w:rsidRPr="007E62F0" w:rsidRDefault="007E62F0" w:rsidP="007E62F0"/>
    <w:p w14:paraId="7280044E" w14:textId="77777777" w:rsidR="00FD6964" w:rsidRDefault="00FD6964" w:rsidP="00383023">
      <w:pPr>
        <w:pStyle w:val="Heading3"/>
      </w:pPr>
      <w:r w:rsidRPr="00FD6964">
        <w:t>13. Risks and Mitigation</w:t>
      </w:r>
    </w:p>
    <w:tbl>
      <w:tblPr>
        <w:tblW w:w="8140" w:type="dxa"/>
        <w:tblLook w:val="04A0" w:firstRow="1" w:lastRow="0" w:firstColumn="1" w:lastColumn="0" w:noHBand="0" w:noVBand="1"/>
      </w:tblPr>
      <w:tblGrid>
        <w:gridCol w:w="3260"/>
        <w:gridCol w:w="1320"/>
        <w:gridCol w:w="3560"/>
      </w:tblGrid>
      <w:tr w:rsidR="005C637A" w:rsidRPr="005C637A" w14:paraId="7B8F747E" w14:textId="77777777" w:rsidTr="005C637A">
        <w:trPr>
          <w:trHeight w:val="624"/>
        </w:trPr>
        <w:tc>
          <w:tcPr>
            <w:tcW w:w="3260" w:type="dxa"/>
            <w:tcBorders>
              <w:top w:val="single" w:sz="4" w:space="0" w:color="44B3E1"/>
              <w:left w:val="single" w:sz="4" w:space="0" w:color="44B3E1"/>
              <w:bottom w:val="single" w:sz="4" w:space="0" w:color="44B3E1"/>
              <w:right w:val="nil"/>
            </w:tcBorders>
            <w:shd w:val="clear" w:color="156082" w:fill="156082"/>
            <w:vAlign w:val="center"/>
            <w:hideMark/>
          </w:tcPr>
          <w:p w14:paraId="030C0A9D" w14:textId="77777777" w:rsidR="005C637A" w:rsidRPr="005C637A" w:rsidRDefault="005C637A" w:rsidP="005C637A">
            <w:pPr>
              <w:spacing w:after="0" w:line="240" w:lineRule="auto"/>
              <w:rPr>
                <w:rFonts w:ascii="Aptos" w:eastAsia="Times New Roman" w:hAnsi="Aptos" w:cs="Times New Roman"/>
                <w:b/>
                <w:bCs/>
                <w:color w:val="FFFFFF"/>
                <w:kern w:val="0"/>
                <w14:ligatures w14:val="none"/>
              </w:rPr>
            </w:pPr>
            <w:r w:rsidRPr="005C637A">
              <w:rPr>
                <w:rFonts w:ascii="Aptos" w:eastAsia="Times New Roman" w:hAnsi="Aptos" w:cs="Times New Roman"/>
                <w:b/>
                <w:bCs/>
                <w:color w:val="FFFFFF"/>
                <w:kern w:val="0"/>
                <w14:ligatures w14:val="none"/>
              </w:rPr>
              <w:t>Risk</w:t>
            </w:r>
          </w:p>
        </w:tc>
        <w:tc>
          <w:tcPr>
            <w:tcW w:w="1320" w:type="dxa"/>
            <w:tcBorders>
              <w:top w:val="single" w:sz="4" w:space="0" w:color="44B3E1"/>
              <w:left w:val="nil"/>
              <w:bottom w:val="single" w:sz="4" w:space="0" w:color="44B3E1"/>
              <w:right w:val="nil"/>
            </w:tcBorders>
            <w:shd w:val="clear" w:color="156082" w:fill="156082"/>
            <w:vAlign w:val="center"/>
            <w:hideMark/>
          </w:tcPr>
          <w:p w14:paraId="7FFFDD68" w14:textId="77777777" w:rsidR="005C637A" w:rsidRPr="005C637A" w:rsidRDefault="005C637A" w:rsidP="005C637A">
            <w:pPr>
              <w:spacing w:after="0" w:line="240" w:lineRule="auto"/>
              <w:rPr>
                <w:rFonts w:ascii="Aptos" w:eastAsia="Times New Roman" w:hAnsi="Aptos" w:cs="Times New Roman"/>
                <w:b/>
                <w:bCs/>
                <w:color w:val="FFFFFF"/>
                <w:kern w:val="0"/>
                <w14:ligatures w14:val="none"/>
              </w:rPr>
            </w:pPr>
            <w:r w:rsidRPr="005C637A">
              <w:rPr>
                <w:rFonts w:ascii="Aptos" w:eastAsia="Times New Roman" w:hAnsi="Aptos" w:cs="Times New Roman"/>
                <w:b/>
                <w:bCs/>
                <w:color w:val="FFFFFF"/>
                <w:kern w:val="0"/>
                <w14:ligatures w14:val="none"/>
              </w:rPr>
              <w:t>Impact</w:t>
            </w:r>
          </w:p>
        </w:tc>
        <w:tc>
          <w:tcPr>
            <w:tcW w:w="3560" w:type="dxa"/>
            <w:tcBorders>
              <w:top w:val="single" w:sz="4" w:space="0" w:color="44B3E1"/>
              <w:left w:val="nil"/>
              <w:bottom w:val="single" w:sz="4" w:space="0" w:color="44B3E1"/>
              <w:right w:val="single" w:sz="4" w:space="0" w:color="44B3E1"/>
            </w:tcBorders>
            <w:shd w:val="clear" w:color="156082" w:fill="156082"/>
            <w:vAlign w:val="center"/>
            <w:hideMark/>
          </w:tcPr>
          <w:p w14:paraId="15DDDDB7" w14:textId="77777777" w:rsidR="005C637A" w:rsidRPr="005C637A" w:rsidRDefault="005C637A" w:rsidP="005C637A">
            <w:pPr>
              <w:spacing w:after="0" w:line="240" w:lineRule="auto"/>
              <w:rPr>
                <w:rFonts w:ascii="Aptos" w:eastAsia="Times New Roman" w:hAnsi="Aptos" w:cs="Times New Roman"/>
                <w:b/>
                <w:bCs/>
                <w:color w:val="FFFFFF"/>
                <w:kern w:val="0"/>
                <w14:ligatures w14:val="none"/>
              </w:rPr>
            </w:pPr>
            <w:r w:rsidRPr="005C637A">
              <w:rPr>
                <w:rFonts w:ascii="Aptos" w:eastAsia="Times New Roman" w:hAnsi="Aptos" w:cs="Times New Roman"/>
                <w:b/>
                <w:bCs/>
                <w:color w:val="FFFFFF"/>
                <w:kern w:val="0"/>
                <w14:ligatures w14:val="none"/>
              </w:rPr>
              <w:t>Mitigation</w:t>
            </w:r>
          </w:p>
        </w:tc>
      </w:tr>
      <w:tr w:rsidR="005C637A" w:rsidRPr="005C637A" w14:paraId="4185208B" w14:textId="77777777" w:rsidTr="005C637A">
        <w:trPr>
          <w:trHeight w:val="624"/>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4974FCC2"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Scope becomes too broad</w:t>
            </w:r>
          </w:p>
        </w:tc>
        <w:tc>
          <w:tcPr>
            <w:tcW w:w="1320" w:type="dxa"/>
            <w:tcBorders>
              <w:top w:val="single" w:sz="4" w:space="0" w:color="44B3E1"/>
              <w:left w:val="nil"/>
              <w:bottom w:val="single" w:sz="4" w:space="0" w:color="44B3E1"/>
              <w:right w:val="nil"/>
            </w:tcBorders>
            <w:shd w:val="clear" w:color="C0E6F5" w:fill="C0E6F5"/>
            <w:vAlign w:val="center"/>
            <w:hideMark/>
          </w:tcPr>
          <w:p w14:paraId="28118967"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High</w:t>
            </w:r>
          </w:p>
        </w:tc>
        <w:tc>
          <w:tcPr>
            <w:tcW w:w="3560" w:type="dxa"/>
            <w:tcBorders>
              <w:top w:val="single" w:sz="4" w:space="0" w:color="44B3E1"/>
              <w:left w:val="nil"/>
              <w:bottom w:val="single" w:sz="4" w:space="0" w:color="44B3E1"/>
              <w:right w:val="single" w:sz="4" w:space="0" w:color="44B3E1"/>
            </w:tcBorders>
            <w:shd w:val="clear" w:color="C0E6F5" w:fill="C0E6F5"/>
            <w:vAlign w:val="center"/>
            <w:hideMark/>
          </w:tcPr>
          <w:p w14:paraId="43D0EF9D"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stay focused on one DME use case</w:t>
            </w:r>
          </w:p>
        </w:tc>
      </w:tr>
      <w:tr w:rsidR="005C637A" w:rsidRPr="005C637A" w14:paraId="73D9BB5E" w14:textId="77777777" w:rsidTr="005C637A">
        <w:trPr>
          <w:trHeight w:val="624"/>
        </w:trPr>
        <w:tc>
          <w:tcPr>
            <w:tcW w:w="3260" w:type="dxa"/>
            <w:tcBorders>
              <w:top w:val="single" w:sz="4" w:space="0" w:color="44B3E1"/>
              <w:left w:val="single" w:sz="4" w:space="0" w:color="44B3E1"/>
              <w:bottom w:val="single" w:sz="4" w:space="0" w:color="44B3E1"/>
              <w:right w:val="nil"/>
            </w:tcBorders>
            <w:vAlign w:val="center"/>
            <w:hideMark/>
          </w:tcPr>
          <w:p w14:paraId="2B3E4B6A"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Data is not demo-friendly</w:t>
            </w:r>
          </w:p>
        </w:tc>
        <w:tc>
          <w:tcPr>
            <w:tcW w:w="1320" w:type="dxa"/>
            <w:tcBorders>
              <w:top w:val="single" w:sz="4" w:space="0" w:color="44B3E1"/>
              <w:left w:val="nil"/>
              <w:bottom w:val="single" w:sz="4" w:space="0" w:color="44B3E1"/>
              <w:right w:val="nil"/>
            </w:tcBorders>
            <w:vAlign w:val="center"/>
            <w:hideMark/>
          </w:tcPr>
          <w:p w14:paraId="0FDFEFF6"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High</w:t>
            </w:r>
          </w:p>
        </w:tc>
        <w:tc>
          <w:tcPr>
            <w:tcW w:w="3560" w:type="dxa"/>
            <w:tcBorders>
              <w:top w:val="single" w:sz="4" w:space="0" w:color="44B3E1"/>
              <w:left w:val="nil"/>
              <w:bottom w:val="single" w:sz="4" w:space="0" w:color="44B3E1"/>
              <w:right w:val="single" w:sz="4" w:space="0" w:color="44B3E1"/>
            </w:tcBorders>
            <w:vAlign w:val="center"/>
            <w:hideMark/>
          </w:tcPr>
          <w:p w14:paraId="1D056AAA"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inject synthetic anomaly scenarios</w:t>
            </w:r>
          </w:p>
        </w:tc>
      </w:tr>
      <w:tr w:rsidR="005C637A" w:rsidRPr="005C637A" w14:paraId="21D5E377" w14:textId="77777777" w:rsidTr="005C637A">
        <w:trPr>
          <w:trHeight w:val="312"/>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02F60D86"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Model is hard to explain</w:t>
            </w:r>
          </w:p>
        </w:tc>
        <w:tc>
          <w:tcPr>
            <w:tcW w:w="1320" w:type="dxa"/>
            <w:tcBorders>
              <w:top w:val="single" w:sz="4" w:space="0" w:color="44B3E1"/>
              <w:left w:val="nil"/>
              <w:bottom w:val="single" w:sz="4" w:space="0" w:color="44B3E1"/>
              <w:right w:val="nil"/>
            </w:tcBorders>
            <w:shd w:val="clear" w:color="C0E6F5" w:fill="C0E6F5"/>
            <w:vAlign w:val="center"/>
            <w:hideMark/>
          </w:tcPr>
          <w:p w14:paraId="34717146"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High</w:t>
            </w:r>
          </w:p>
        </w:tc>
        <w:tc>
          <w:tcPr>
            <w:tcW w:w="3560" w:type="dxa"/>
            <w:tcBorders>
              <w:top w:val="single" w:sz="4" w:space="0" w:color="44B3E1"/>
              <w:left w:val="nil"/>
              <w:bottom w:val="single" w:sz="4" w:space="0" w:color="44B3E1"/>
              <w:right w:val="single" w:sz="4" w:space="0" w:color="44B3E1"/>
            </w:tcBorders>
            <w:shd w:val="clear" w:color="C0E6F5" w:fill="C0E6F5"/>
            <w:vAlign w:val="center"/>
            <w:hideMark/>
          </w:tcPr>
          <w:p w14:paraId="7F13489E"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use simple interpretable signals</w:t>
            </w:r>
          </w:p>
        </w:tc>
      </w:tr>
      <w:tr w:rsidR="005C637A" w:rsidRPr="005C637A" w14:paraId="03544AB1" w14:textId="77777777" w:rsidTr="005C637A">
        <w:trPr>
          <w:trHeight w:val="624"/>
        </w:trPr>
        <w:tc>
          <w:tcPr>
            <w:tcW w:w="3260" w:type="dxa"/>
            <w:tcBorders>
              <w:top w:val="single" w:sz="4" w:space="0" w:color="44B3E1"/>
              <w:left w:val="single" w:sz="4" w:space="0" w:color="44B3E1"/>
              <w:bottom w:val="single" w:sz="4" w:space="0" w:color="44B3E1"/>
              <w:right w:val="nil"/>
            </w:tcBorders>
            <w:vAlign w:val="center"/>
            <w:hideMark/>
          </w:tcPr>
          <w:p w14:paraId="25840EB2"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Dashboard is incomplete</w:t>
            </w:r>
          </w:p>
        </w:tc>
        <w:tc>
          <w:tcPr>
            <w:tcW w:w="1320" w:type="dxa"/>
            <w:tcBorders>
              <w:top w:val="single" w:sz="4" w:space="0" w:color="44B3E1"/>
              <w:left w:val="nil"/>
              <w:bottom w:val="single" w:sz="4" w:space="0" w:color="44B3E1"/>
              <w:right w:val="nil"/>
            </w:tcBorders>
            <w:vAlign w:val="center"/>
            <w:hideMark/>
          </w:tcPr>
          <w:p w14:paraId="56347A8F"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Medium</w:t>
            </w:r>
          </w:p>
        </w:tc>
        <w:tc>
          <w:tcPr>
            <w:tcW w:w="3560" w:type="dxa"/>
            <w:tcBorders>
              <w:top w:val="single" w:sz="4" w:space="0" w:color="44B3E1"/>
              <w:left w:val="nil"/>
              <w:bottom w:val="single" w:sz="4" w:space="0" w:color="44B3E1"/>
              <w:right w:val="single" w:sz="4" w:space="0" w:color="44B3E1"/>
            </w:tcBorders>
            <w:vAlign w:val="center"/>
            <w:hideMark/>
          </w:tcPr>
          <w:p w14:paraId="364EAD1F"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use backup screenshots and slides</w:t>
            </w:r>
          </w:p>
        </w:tc>
      </w:tr>
      <w:tr w:rsidR="005C637A" w:rsidRPr="005C637A" w14:paraId="28DE932C" w14:textId="77777777" w:rsidTr="005C637A">
        <w:trPr>
          <w:trHeight w:val="624"/>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53C22644"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Live demo failure</w:t>
            </w:r>
          </w:p>
        </w:tc>
        <w:tc>
          <w:tcPr>
            <w:tcW w:w="1320" w:type="dxa"/>
            <w:tcBorders>
              <w:top w:val="single" w:sz="4" w:space="0" w:color="44B3E1"/>
              <w:left w:val="nil"/>
              <w:bottom w:val="single" w:sz="4" w:space="0" w:color="44B3E1"/>
              <w:right w:val="nil"/>
            </w:tcBorders>
            <w:shd w:val="clear" w:color="C0E6F5" w:fill="C0E6F5"/>
            <w:vAlign w:val="center"/>
            <w:hideMark/>
          </w:tcPr>
          <w:p w14:paraId="5A42E0DC"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High</w:t>
            </w:r>
          </w:p>
        </w:tc>
        <w:tc>
          <w:tcPr>
            <w:tcW w:w="3560" w:type="dxa"/>
            <w:tcBorders>
              <w:top w:val="single" w:sz="4" w:space="0" w:color="44B3E1"/>
              <w:left w:val="nil"/>
              <w:bottom w:val="single" w:sz="4" w:space="0" w:color="44B3E1"/>
              <w:right w:val="single" w:sz="4" w:space="0" w:color="44B3E1"/>
            </w:tcBorders>
            <w:shd w:val="clear" w:color="C0E6F5" w:fill="C0E6F5"/>
            <w:vAlign w:val="center"/>
            <w:hideMark/>
          </w:tcPr>
          <w:p w14:paraId="52B946D1"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preload outputs and keep backup flow</w:t>
            </w:r>
          </w:p>
        </w:tc>
      </w:tr>
      <w:tr w:rsidR="005C637A" w:rsidRPr="005C637A" w14:paraId="41268B1D" w14:textId="77777777" w:rsidTr="005C637A">
        <w:trPr>
          <w:trHeight w:val="624"/>
        </w:trPr>
        <w:tc>
          <w:tcPr>
            <w:tcW w:w="3260" w:type="dxa"/>
            <w:tcBorders>
              <w:top w:val="single" w:sz="4" w:space="0" w:color="44B3E1"/>
              <w:left w:val="single" w:sz="4" w:space="0" w:color="44B3E1"/>
              <w:bottom w:val="single" w:sz="4" w:space="0" w:color="44B3E1"/>
              <w:right w:val="nil"/>
            </w:tcBorders>
            <w:vAlign w:val="center"/>
            <w:hideMark/>
          </w:tcPr>
          <w:p w14:paraId="7DC0D141"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Business impact is unclear</w:t>
            </w:r>
          </w:p>
        </w:tc>
        <w:tc>
          <w:tcPr>
            <w:tcW w:w="1320" w:type="dxa"/>
            <w:tcBorders>
              <w:top w:val="single" w:sz="4" w:space="0" w:color="44B3E1"/>
              <w:left w:val="nil"/>
              <w:bottom w:val="single" w:sz="4" w:space="0" w:color="44B3E1"/>
              <w:right w:val="nil"/>
            </w:tcBorders>
            <w:vAlign w:val="center"/>
            <w:hideMark/>
          </w:tcPr>
          <w:p w14:paraId="69289562"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High</w:t>
            </w:r>
          </w:p>
        </w:tc>
        <w:tc>
          <w:tcPr>
            <w:tcW w:w="3560" w:type="dxa"/>
            <w:tcBorders>
              <w:top w:val="single" w:sz="4" w:space="0" w:color="44B3E1"/>
              <w:left w:val="nil"/>
              <w:bottom w:val="single" w:sz="4" w:space="0" w:color="44B3E1"/>
              <w:right w:val="single" w:sz="4" w:space="0" w:color="44B3E1"/>
            </w:tcBorders>
            <w:vAlign w:val="center"/>
            <w:hideMark/>
          </w:tcPr>
          <w:p w14:paraId="54F7CAA9" w14:textId="77777777" w:rsidR="005C637A" w:rsidRPr="005C637A" w:rsidRDefault="005C637A" w:rsidP="005C637A">
            <w:pPr>
              <w:spacing w:after="0" w:line="240" w:lineRule="auto"/>
              <w:rPr>
                <w:rFonts w:ascii="Aptos" w:eastAsia="Times New Roman" w:hAnsi="Aptos" w:cs="Times New Roman"/>
                <w:color w:val="000000"/>
                <w:kern w:val="0"/>
                <w14:ligatures w14:val="none"/>
              </w:rPr>
            </w:pPr>
            <w:r w:rsidRPr="005C637A">
              <w:rPr>
                <w:rFonts w:ascii="Aptos" w:eastAsia="Times New Roman" w:hAnsi="Aptos" w:cs="Times New Roman"/>
                <w:color w:val="000000"/>
                <w:kern w:val="0"/>
                <w14:ligatures w14:val="none"/>
              </w:rPr>
              <w:t>tie every output to earlier detection and triage efficiency</w:t>
            </w:r>
          </w:p>
        </w:tc>
      </w:tr>
    </w:tbl>
    <w:p w14:paraId="5EA381AD" w14:textId="77777777" w:rsidR="005C637A" w:rsidRPr="005C637A" w:rsidRDefault="005C637A" w:rsidP="005C637A"/>
    <w:p w14:paraId="344AF428" w14:textId="77777777" w:rsidR="00FD6964" w:rsidRPr="00FD6964" w:rsidRDefault="00FD6964" w:rsidP="00734E17">
      <w:pPr>
        <w:pStyle w:val="Heading3"/>
      </w:pPr>
      <w:r w:rsidRPr="00FD6964">
        <w:t>14. Demo Plan</w:t>
      </w:r>
    </w:p>
    <w:p w14:paraId="29A585A1" w14:textId="77777777" w:rsidR="006B1F1A" w:rsidRDefault="00734E17" w:rsidP="00734E17">
      <w:pPr>
        <w:pStyle w:val="NormalWeb"/>
        <w:rPr>
          <w:rFonts w:asciiTheme="minorHAnsi" w:hAnsiTheme="minorHAnsi" w:cstheme="minorBidi"/>
        </w:rPr>
      </w:pPr>
      <w:r w:rsidRPr="006B1F1A">
        <w:rPr>
          <w:rFonts w:asciiTheme="minorHAnsi" w:hAnsiTheme="minorHAnsi" w:cstheme="minorBidi"/>
        </w:rPr>
        <w:t>The demo will walk judges through both</w:t>
      </w:r>
      <w:r w:rsidR="006B1F1A">
        <w:rPr>
          <w:rFonts w:asciiTheme="minorHAnsi" w:hAnsiTheme="minorHAnsi" w:cstheme="minorBidi"/>
        </w:rPr>
        <w:t xml:space="preserve"> the user cases. </w:t>
      </w:r>
    </w:p>
    <w:p w14:paraId="487F3F2F" w14:textId="77777777" w:rsidR="00734E17" w:rsidRDefault="00734E17" w:rsidP="00D70A7B">
      <w:pPr>
        <w:pStyle w:val="Heading4"/>
      </w:pPr>
      <w:r>
        <w:t>Demo Flow</w:t>
      </w:r>
    </w:p>
    <w:p w14:paraId="54A7BF72" w14:textId="77777777" w:rsidR="00734E17" w:rsidRDefault="00734E17" w:rsidP="00D70A7B">
      <w:pPr>
        <w:numPr>
          <w:ilvl w:val="0"/>
          <w:numId w:val="68"/>
        </w:numPr>
        <w:spacing w:after="0"/>
      </w:pPr>
      <w:r>
        <w:t>explain the challenge of reactive DME fraud detection</w:t>
      </w:r>
    </w:p>
    <w:p w14:paraId="42685C4B" w14:textId="77777777" w:rsidR="00734E17" w:rsidRDefault="00734E17" w:rsidP="00D70A7B">
      <w:pPr>
        <w:numPr>
          <w:ilvl w:val="0"/>
          <w:numId w:val="68"/>
        </w:numPr>
        <w:spacing w:after="0"/>
      </w:pPr>
      <w:r>
        <w:t>show the ranked supplier alert dashboard</w:t>
      </w:r>
    </w:p>
    <w:p w14:paraId="38A987F5" w14:textId="77777777" w:rsidR="00734E17" w:rsidRDefault="00734E17" w:rsidP="00D70A7B">
      <w:pPr>
        <w:numPr>
          <w:ilvl w:val="0"/>
          <w:numId w:val="68"/>
        </w:numPr>
        <w:spacing w:after="0"/>
      </w:pPr>
      <w:r>
        <w:t>highlight a standard high-risk supplier with a visible billing spike</w:t>
      </w:r>
    </w:p>
    <w:p w14:paraId="5AD18C42" w14:textId="77777777" w:rsidR="00734E17" w:rsidRDefault="00734E17" w:rsidP="00D70A7B">
      <w:pPr>
        <w:numPr>
          <w:ilvl w:val="0"/>
          <w:numId w:val="68"/>
        </w:numPr>
        <w:spacing w:after="0"/>
      </w:pPr>
      <w:r>
        <w:t>display the supplier’s trend against historical baseline and peers</w:t>
      </w:r>
    </w:p>
    <w:p w14:paraId="33FE9A0B" w14:textId="77777777" w:rsidR="00734E17" w:rsidRDefault="00734E17" w:rsidP="00D70A7B">
      <w:pPr>
        <w:numPr>
          <w:ilvl w:val="0"/>
          <w:numId w:val="68"/>
        </w:numPr>
        <w:spacing w:after="0"/>
      </w:pPr>
      <w:r>
        <w:t>show the top anomaly reasons and recommended next action</w:t>
      </w:r>
    </w:p>
    <w:p w14:paraId="49685836" w14:textId="77777777" w:rsidR="00734E17" w:rsidRDefault="00734E17" w:rsidP="00D70A7B">
      <w:pPr>
        <w:numPr>
          <w:ilvl w:val="0"/>
          <w:numId w:val="68"/>
        </w:numPr>
        <w:spacing w:after="0"/>
      </w:pPr>
      <w:r>
        <w:t>transition to a second scenario where no single supplier initially appears severe enough to trigger a traditional alert</w:t>
      </w:r>
    </w:p>
    <w:p w14:paraId="430CDCA5" w14:textId="77777777" w:rsidR="00734E17" w:rsidRDefault="00734E17" w:rsidP="00D70A7B">
      <w:pPr>
        <w:numPr>
          <w:ilvl w:val="0"/>
          <w:numId w:val="68"/>
        </w:numPr>
        <w:spacing w:after="0"/>
      </w:pPr>
      <w:r>
        <w:t>show investigator controls to define a suspicious multi-supplier pattern</w:t>
      </w:r>
    </w:p>
    <w:p w14:paraId="5F79754A" w14:textId="77777777" w:rsidR="00734E17" w:rsidRDefault="00734E17" w:rsidP="00D70A7B">
      <w:pPr>
        <w:numPr>
          <w:ilvl w:val="0"/>
          <w:numId w:val="68"/>
        </w:numPr>
        <w:spacing w:after="0"/>
      </w:pPr>
      <w:r>
        <w:t>adjust similarity or anomaly thresholds and test a hypothesis against the data</w:t>
      </w:r>
    </w:p>
    <w:p w14:paraId="51957F6F" w14:textId="77777777" w:rsidR="00734E17" w:rsidRDefault="00734E17" w:rsidP="00D70A7B">
      <w:pPr>
        <w:numPr>
          <w:ilvl w:val="0"/>
          <w:numId w:val="68"/>
        </w:numPr>
        <w:spacing w:after="0"/>
      </w:pPr>
      <w:r>
        <w:lastRenderedPageBreak/>
        <w:t>reveal a behaviorally similar supplier cluster with abnormal overlap in geography, HCPCS categories, and synchronized growth trends</w:t>
      </w:r>
    </w:p>
    <w:p w14:paraId="6F46A036" w14:textId="77777777" w:rsidR="00734E17" w:rsidRDefault="00734E17" w:rsidP="00D70A7B">
      <w:pPr>
        <w:numPr>
          <w:ilvl w:val="0"/>
          <w:numId w:val="68"/>
        </w:numPr>
        <w:spacing w:after="0"/>
      </w:pPr>
      <w:r>
        <w:t>display the cluster risk score and supporting explanation</w:t>
      </w:r>
    </w:p>
    <w:p w14:paraId="037D1E20" w14:textId="77777777" w:rsidR="00734E17" w:rsidRDefault="00734E17" w:rsidP="00D70A7B">
      <w:pPr>
        <w:numPr>
          <w:ilvl w:val="0"/>
          <w:numId w:val="68"/>
        </w:numPr>
        <w:spacing w:after="0"/>
      </w:pPr>
      <w:r>
        <w:t>show the investigator validating the result and selecting the final action</w:t>
      </w:r>
    </w:p>
    <w:p w14:paraId="3EB65AD2" w14:textId="77777777" w:rsidR="00B810A8" w:rsidRDefault="00B810A8" w:rsidP="00734E17">
      <w:pPr>
        <w:pStyle w:val="NormalWeb"/>
      </w:pPr>
    </w:p>
    <w:p w14:paraId="71F95151" w14:textId="2D4B5987" w:rsidR="00734E17" w:rsidRPr="00B810A8" w:rsidRDefault="00734E17" w:rsidP="00734E17">
      <w:pPr>
        <w:pStyle w:val="NormalWeb"/>
        <w:rPr>
          <w:rFonts w:asciiTheme="minorHAnsi" w:hAnsiTheme="minorHAnsi"/>
        </w:rPr>
      </w:pPr>
      <w:r w:rsidRPr="00B810A8">
        <w:rPr>
          <w:rFonts w:asciiTheme="minorHAnsi" w:hAnsiTheme="minorHAnsi"/>
        </w:rPr>
        <w:t>This demo structure shows that the solution can address both simple outlier detection and more evasive suspicious behavior while keeping investigators in control.</w:t>
      </w:r>
    </w:p>
    <w:p w14:paraId="70A309D3" w14:textId="428DA41E" w:rsidR="00FD6964" w:rsidRPr="00FD6964" w:rsidRDefault="00FD6964" w:rsidP="005E7AC0">
      <w:pPr>
        <w:pStyle w:val="Heading3"/>
      </w:pPr>
      <w:r w:rsidRPr="00FD6964">
        <w:t>15. Expected Value</w:t>
      </w:r>
    </w:p>
    <w:p w14:paraId="39BCC489" w14:textId="77777777" w:rsidR="00FD6964" w:rsidRPr="00FD6964" w:rsidRDefault="00FD6964" w:rsidP="00FD6964">
      <w:r w:rsidRPr="00FD6964">
        <w:t>This MVP is designed to show how a focused AI-driven approach can:</w:t>
      </w:r>
    </w:p>
    <w:p w14:paraId="19CC905E" w14:textId="77777777" w:rsidR="00FD6964" w:rsidRPr="00FD6964" w:rsidRDefault="00FD6964" w:rsidP="00FD6964">
      <w:pPr>
        <w:numPr>
          <w:ilvl w:val="0"/>
          <w:numId w:val="36"/>
        </w:numPr>
      </w:pPr>
      <w:r w:rsidRPr="00FD6964">
        <w:t>detect suspicious supplier behavior earlier,</w:t>
      </w:r>
    </w:p>
    <w:p w14:paraId="57CB1C65" w14:textId="77777777" w:rsidR="00FD6964" w:rsidRPr="00FD6964" w:rsidRDefault="00FD6964" w:rsidP="00FD6964">
      <w:pPr>
        <w:numPr>
          <w:ilvl w:val="0"/>
          <w:numId w:val="36"/>
        </w:numPr>
      </w:pPr>
      <w:r w:rsidRPr="00FD6964">
        <w:t>reduce manual triage burden,</w:t>
      </w:r>
    </w:p>
    <w:p w14:paraId="260D3C04" w14:textId="77777777" w:rsidR="00FD6964" w:rsidRPr="00FD6964" w:rsidRDefault="00FD6964" w:rsidP="00FD6964">
      <w:pPr>
        <w:numPr>
          <w:ilvl w:val="0"/>
          <w:numId w:val="36"/>
        </w:numPr>
      </w:pPr>
      <w:r w:rsidRPr="00FD6964">
        <w:t>improve prioritization of analyst review,</w:t>
      </w:r>
    </w:p>
    <w:p w14:paraId="64C41974" w14:textId="77777777" w:rsidR="00FD6964" w:rsidRPr="00FD6964" w:rsidRDefault="00FD6964" w:rsidP="00FD6964">
      <w:pPr>
        <w:numPr>
          <w:ilvl w:val="0"/>
          <w:numId w:val="36"/>
        </w:numPr>
      </w:pPr>
      <w:r w:rsidRPr="00FD6964">
        <w:t>increase explainability of alerts, and</w:t>
      </w:r>
    </w:p>
    <w:p w14:paraId="5211533A" w14:textId="77777777" w:rsidR="00FD6964" w:rsidRPr="00FD6964" w:rsidRDefault="00FD6964" w:rsidP="00FD6964">
      <w:pPr>
        <w:numPr>
          <w:ilvl w:val="0"/>
          <w:numId w:val="36"/>
        </w:numPr>
      </w:pPr>
      <w:r w:rsidRPr="00FD6964">
        <w:t>strengthen efforts to prevent improper payments.</w:t>
      </w:r>
    </w:p>
    <w:p w14:paraId="7DB2BAF9" w14:textId="77777777" w:rsidR="00FD6964" w:rsidRPr="00FD6964" w:rsidRDefault="00FD6964" w:rsidP="005E7AC0">
      <w:pPr>
        <w:pStyle w:val="Heading3"/>
      </w:pPr>
      <w:r w:rsidRPr="00FD6964">
        <w:t>16. Future Roadmap</w:t>
      </w:r>
    </w:p>
    <w:p w14:paraId="4CBBD9AB" w14:textId="77777777" w:rsidR="00FD6964" w:rsidRPr="00FD6964" w:rsidRDefault="00FD6964" w:rsidP="00FD6964">
      <w:r w:rsidRPr="00FD6964">
        <w:t>Future enhancements could include:</w:t>
      </w:r>
    </w:p>
    <w:p w14:paraId="5D9A4EA9" w14:textId="77777777" w:rsidR="00FD6964" w:rsidRPr="00FD6964" w:rsidRDefault="00FD6964" w:rsidP="00FD6964">
      <w:pPr>
        <w:numPr>
          <w:ilvl w:val="0"/>
          <w:numId w:val="37"/>
        </w:numPr>
      </w:pPr>
      <w:r w:rsidRPr="00FD6964">
        <w:t>additional DME anomaly scenarios</w:t>
      </w:r>
    </w:p>
    <w:p w14:paraId="03C8858F" w14:textId="77777777" w:rsidR="00FD6964" w:rsidRPr="00FD6964" w:rsidRDefault="00FD6964" w:rsidP="00FD6964">
      <w:pPr>
        <w:numPr>
          <w:ilvl w:val="0"/>
          <w:numId w:val="37"/>
        </w:numPr>
      </w:pPr>
      <w:r w:rsidRPr="00FD6964">
        <w:t>item-level and beneficiary-level analysis</w:t>
      </w:r>
    </w:p>
    <w:p w14:paraId="3EB88276" w14:textId="77777777" w:rsidR="00FD6964" w:rsidRPr="00FD6964" w:rsidRDefault="00FD6964" w:rsidP="00FD6964">
      <w:pPr>
        <w:numPr>
          <w:ilvl w:val="0"/>
          <w:numId w:val="37"/>
        </w:numPr>
      </w:pPr>
      <w:r w:rsidRPr="00FD6964">
        <w:t>geographic hotspot detection</w:t>
      </w:r>
    </w:p>
    <w:p w14:paraId="4771B598" w14:textId="77777777" w:rsidR="00FD6964" w:rsidRPr="00FD6964" w:rsidRDefault="00FD6964" w:rsidP="00FD6964">
      <w:pPr>
        <w:numPr>
          <w:ilvl w:val="0"/>
          <w:numId w:val="37"/>
        </w:numPr>
      </w:pPr>
      <w:r w:rsidRPr="00FD6964">
        <w:t>investigator feedback loops</w:t>
      </w:r>
    </w:p>
    <w:p w14:paraId="7050620E" w14:textId="77777777" w:rsidR="00FD6964" w:rsidRPr="00FD6964" w:rsidRDefault="00FD6964" w:rsidP="00FD6964">
      <w:pPr>
        <w:numPr>
          <w:ilvl w:val="0"/>
          <w:numId w:val="37"/>
        </w:numPr>
      </w:pPr>
      <w:r w:rsidRPr="00FD6964">
        <w:t>case creation workflow integration</w:t>
      </w:r>
    </w:p>
    <w:p w14:paraId="56CEAB1F" w14:textId="77777777" w:rsidR="00FD6964" w:rsidRPr="00FD6964" w:rsidRDefault="00FD6964" w:rsidP="00FD6964">
      <w:pPr>
        <w:numPr>
          <w:ilvl w:val="0"/>
          <w:numId w:val="37"/>
        </w:numPr>
      </w:pPr>
      <w:r w:rsidRPr="00FD6964">
        <w:t>expansion to broader Medicare provider categories</w:t>
      </w:r>
    </w:p>
    <w:p w14:paraId="51879DCD" w14:textId="77777777" w:rsidR="00FD6964" w:rsidRPr="00FD6964" w:rsidRDefault="00FD6964" w:rsidP="005E7AC0">
      <w:pPr>
        <w:pStyle w:val="Heading3"/>
      </w:pPr>
      <w:r w:rsidRPr="00FD6964">
        <w:t>17. Pitch Positioning</w:t>
      </w:r>
    </w:p>
    <w:p w14:paraId="6D367369" w14:textId="48EE789B" w:rsidR="00497135" w:rsidRDefault="005E7AC0" w:rsidP="00FD6964">
      <w:r w:rsidRPr="005E7AC0">
        <w:t xml:space="preserve">DME Sentinel AI moves program integrity from reactive review to proactive prevention by detecting both </w:t>
      </w:r>
      <w:r w:rsidR="00431D8F" w:rsidRPr="005E7AC0">
        <w:t>obvious</w:t>
      </w:r>
      <w:r w:rsidRPr="005E7AC0">
        <w:t xml:space="preserve"> supplier anomalies </w:t>
      </w:r>
      <w:r w:rsidR="0090396E">
        <w:t xml:space="preserve">pattern </w:t>
      </w:r>
      <w:r w:rsidR="00431D8F">
        <w:t>as well as not so obvious ones</w:t>
      </w:r>
      <w:r w:rsidR="00FA5DA0">
        <w:t xml:space="preserve"> like - </w:t>
      </w:r>
      <w:r w:rsidRPr="005E7AC0">
        <w:t xml:space="preserve">suspicious behavior fragmented across multiple NPIs. </w:t>
      </w:r>
    </w:p>
    <w:p w14:paraId="15AEF082" w14:textId="455F1F09" w:rsidR="00CD627F" w:rsidRDefault="005E7AC0" w:rsidP="00FD6964">
      <w:r w:rsidRPr="005E7AC0">
        <w:t xml:space="preserve">It combines AI-driven anomaly detection, cluster-based pattern identification, and investigator-led hypothesis testing to help program integrity teams uncover hidden risk earlier. Unlike a static black-box model, it keeps investigators in control by allowing them to </w:t>
      </w:r>
      <w:r w:rsidRPr="005E7AC0">
        <w:lastRenderedPageBreak/>
        <w:t>define suspicious patterns, refine thresholds, test scenarios, and make the final decision on next actions.</w:t>
      </w:r>
    </w:p>
    <w:p w14:paraId="4E101C01" w14:textId="3A8071FF" w:rsidR="00431D8F" w:rsidRPr="00431D8F" w:rsidRDefault="00F30E4B" w:rsidP="00F30E4B">
      <w:pPr>
        <w:rPr>
          <w:b/>
          <w:bCs/>
          <w:i/>
          <w:iCs/>
        </w:rPr>
      </w:pPr>
      <w:r w:rsidRPr="00F30E4B">
        <w:rPr>
          <w:b/>
          <w:bCs/>
          <w:i/>
          <w:iCs/>
        </w:rPr>
        <w:t>Our platform can detect obvious supplier anomalies, but its real strength is uncovering coordinated DME billing patterns spread across multiple NPIs that traditional threshold-based monitoring may miss.”</w:t>
      </w:r>
    </w:p>
    <w:sectPr w:rsidR="00431D8F" w:rsidRPr="00431D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569ED" w14:textId="77777777" w:rsidR="002F0E27" w:rsidRDefault="002F0E27" w:rsidP="00AB71E4">
      <w:pPr>
        <w:spacing w:after="0" w:line="240" w:lineRule="auto"/>
      </w:pPr>
      <w:r>
        <w:separator/>
      </w:r>
    </w:p>
  </w:endnote>
  <w:endnote w:type="continuationSeparator" w:id="0">
    <w:p w14:paraId="694900D8" w14:textId="77777777" w:rsidR="002F0E27" w:rsidRDefault="002F0E27" w:rsidP="00AB7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47725" w14:textId="77777777" w:rsidR="002F0E27" w:rsidRDefault="002F0E27" w:rsidP="00AB71E4">
      <w:pPr>
        <w:spacing w:after="0" w:line="240" w:lineRule="auto"/>
      </w:pPr>
      <w:r>
        <w:separator/>
      </w:r>
    </w:p>
  </w:footnote>
  <w:footnote w:type="continuationSeparator" w:id="0">
    <w:p w14:paraId="50BF7233" w14:textId="77777777" w:rsidR="002F0E27" w:rsidRDefault="002F0E27" w:rsidP="00AB7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522"/>
    <w:multiLevelType w:val="multilevel"/>
    <w:tmpl w:val="46F8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F15E7"/>
    <w:multiLevelType w:val="multilevel"/>
    <w:tmpl w:val="0B9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0FF5"/>
    <w:multiLevelType w:val="multilevel"/>
    <w:tmpl w:val="CFE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27C0F"/>
    <w:multiLevelType w:val="multilevel"/>
    <w:tmpl w:val="24623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184C"/>
    <w:multiLevelType w:val="multilevel"/>
    <w:tmpl w:val="A0B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79D1"/>
    <w:multiLevelType w:val="multilevel"/>
    <w:tmpl w:val="2E04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00A83"/>
    <w:multiLevelType w:val="multilevel"/>
    <w:tmpl w:val="030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4369A"/>
    <w:multiLevelType w:val="multilevel"/>
    <w:tmpl w:val="F90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2877"/>
    <w:multiLevelType w:val="multilevel"/>
    <w:tmpl w:val="0AA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E5EFE"/>
    <w:multiLevelType w:val="multilevel"/>
    <w:tmpl w:val="E02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C41C6"/>
    <w:multiLevelType w:val="multilevel"/>
    <w:tmpl w:val="2BA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63520"/>
    <w:multiLevelType w:val="multilevel"/>
    <w:tmpl w:val="BD4A78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76000"/>
    <w:multiLevelType w:val="multilevel"/>
    <w:tmpl w:val="374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F675D"/>
    <w:multiLevelType w:val="multilevel"/>
    <w:tmpl w:val="724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7DC6"/>
    <w:multiLevelType w:val="multilevel"/>
    <w:tmpl w:val="43E87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C2164"/>
    <w:multiLevelType w:val="multilevel"/>
    <w:tmpl w:val="5E1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01302"/>
    <w:multiLevelType w:val="multilevel"/>
    <w:tmpl w:val="B93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C068C"/>
    <w:multiLevelType w:val="multilevel"/>
    <w:tmpl w:val="C1D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855EE"/>
    <w:multiLevelType w:val="multilevel"/>
    <w:tmpl w:val="94D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04096"/>
    <w:multiLevelType w:val="multilevel"/>
    <w:tmpl w:val="E5F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57237"/>
    <w:multiLevelType w:val="multilevel"/>
    <w:tmpl w:val="D74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B3EA3"/>
    <w:multiLevelType w:val="hybridMultilevel"/>
    <w:tmpl w:val="87926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9E3699"/>
    <w:multiLevelType w:val="multilevel"/>
    <w:tmpl w:val="929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02832"/>
    <w:multiLevelType w:val="multilevel"/>
    <w:tmpl w:val="941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E143D"/>
    <w:multiLevelType w:val="multilevel"/>
    <w:tmpl w:val="3EA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D51C2"/>
    <w:multiLevelType w:val="multilevel"/>
    <w:tmpl w:val="7DEEB7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A2989"/>
    <w:multiLevelType w:val="multilevel"/>
    <w:tmpl w:val="84F4F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91A73"/>
    <w:multiLevelType w:val="hybridMultilevel"/>
    <w:tmpl w:val="3086EA28"/>
    <w:lvl w:ilvl="0" w:tplc="EB9666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CD62D9"/>
    <w:multiLevelType w:val="multilevel"/>
    <w:tmpl w:val="C1E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3281C"/>
    <w:multiLevelType w:val="multilevel"/>
    <w:tmpl w:val="1AE63EB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D061E"/>
    <w:multiLevelType w:val="multilevel"/>
    <w:tmpl w:val="A1A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55BDA"/>
    <w:multiLevelType w:val="multilevel"/>
    <w:tmpl w:val="691026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B0D13"/>
    <w:multiLevelType w:val="multilevel"/>
    <w:tmpl w:val="7700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A5968"/>
    <w:multiLevelType w:val="multilevel"/>
    <w:tmpl w:val="8C9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81B4E"/>
    <w:multiLevelType w:val="multilevel"/>
    <w:tmpl w:val="58B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075B4E"/>
    <w:multiLevelType w:val="multilevel"/>
    <w:tmpl w:val="304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5508D"/>
    <w:multiLevelType w:val="multilevel"/>
    <w:tmpl w:val="137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3830DD"/>
    <w:multiLevelType w:val="multilevel"/>
    <w:tmpl w:val="923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64030"/>
    <w:multiLevelType w:val="hybridMultilevel"/>
    <w:tmpl w:val="64384B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08291C"/>
    <w:multiLevelType w:val="multilevel"/>
    <w:tmpl w:val="828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F3DD2"/>
    <w:multiLevelType w:val="multilevel"/>
    <w:tmpl w:val="1AE63EB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7798E"/>
    <w:multiLevelType w:val="multilevel"/>
    <w:tmpl w:val="0CD8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EA1F03"/>
    <w:multiLevelType w:val="multilevel"/>
    <w:tmpl w:val="FEF4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35ED5"/>
    <w:multiLevelType w:val="multilevel"/>
    <w:tmpl w:val="D2A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0C3F10"/>
    <w:multiLevelType w:val="multilevel"/>
    <w:tmpl w:val="21A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1371C"/>
    <w:multiLevelType w:val="multilevel"/>
    <w:tmpl w:val="E92014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1B4FBA"/>
    <w:multiLevelType w:val="multilevel"/>
    <w:tmpl w:val="B54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22B15"/>
    <w:multiLevelType w:val="multilevel"/>
    <w:tmpl w:val="DF9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745B3"/>
    <w:multiLevelType w:val="multilevel"/>
    <w:tmpl w:val="5EE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33A53"/>
    <w:multiLevelType w:val="multilevel"/>
    <w:tmpl w:val="762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A4E78"/>
    <w:multiLevelType w:val="multilevel"/>
    <w:tmpl w:val="429C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2C6C38"/>
    <w:multiLevelType w:val="multilevel"/>
    <w:tmpl w:val="018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E460F"/>
    <w:multiLevelType w:val="multilevel"/>
    <w:tmpl w:val="C050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1D26BE"/>
    <w:multiLevelType w:val="multilevel"/>
    <w:tmpl w:val="122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2D2834"/>
    <w:multiLevelType w:val="multilevel"/>
    <w:tmpl w:val="2DC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B1662E"/>
    <w:multiLevelType w:val="multilevel"/>
    <w:tmpl w:val="6C36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B44A1D"/>
    <w:multiLevelType w:val="multilevel"/>
    <w:tmpl w:val="11B25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B2B02"/>
    <w:multiLevelType w:val="multilevel"/>
    <w:tmpl w:val="690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53757"/>
    <w:multiLevelType w:val="multilevel"/>
    <w:tmpl w:val="9E2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7F3BD4"/>
    <w:multiLevelType w:val="multilevel"/>
    <w:tmpl w:val="CB1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C2F26"/>
    <w:multiLevelType w:val="multilevel"/>
    <w:tmpl w:val="FFF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511186"/>
    <w:multiLevelType w:val="multilevel"/>
    <w:tmpl w:val="C762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8B2FBF"/>
    <w:multiLevelType w:val="multilevel"/>
    <w:tmpl w:val="EFA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E816D7"/>
    <w:multiLevelType w:val="multilevel"/>
    <w:tmpl w:val="C80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2D7DF0"/>
    <w:multiLevelType w:val="multilevel"/>
    <w:tmpl w:val="8602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DC3A2D"/>
    <w:multiLevelType w:val="multilevel"/>
    <w:tmpl w:val="32C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704C40"/>
    <w:multiLevelType w:val="hybridMultilevel"/>
    <w:tmpl w:val="99340D8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78C1118"/>
    <w:multiLevelType w:val="multilevel"/>
    <w:tmpl w:val="E53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917F5B"/>
    <w:multiLevelType w:val="multilevel"/>
    <w:tmpl w:val="537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A24FA1"/>
    <w:multiLevelType w:val="multilevel"/>
    <w:tmpl w:val="402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922467">
    <w:abstractNumId w:val="21"/>
  </w:num>
  <w:num w:numId="2" w16cid:durableId="1710765640">
    <w:abstractNumId w:val="1"/>
  </w:num>
  <w:num w:numId="3" w16cid:durableId="776489897">
    <w:abstractNumId w:val="18"/>
  </w:num>
  <w:num w:numId="4" w16cid:durableId="1313876331">
    <w:abstractNumId w:val="54"/>
  </w:num>
  <w:num w:numId="5" w16cid:durableId="136991840">
    <w:abstractNumId w:val="16"/>
  </w:num>
  <w:num w:numId="6" w16cid:durableId="1339190784">
    <w:abstractNumId w:val="22"/>
  </w:num>
  <w:num w:numId="7" w16cid:durableId="765417683">
    <w:abstractNumId w:val="37"/>
  </w:num>
  <w:num w:numId="8" w16cid:durableId="231427960">
    <w:abstractNumId w:val="57"/>
  </w:num>
  <w:num w:numId="9" w16cid:durableId="719280399">
    <w:abstractNumId w:val="63"/>
  </w:num>
  <w:num w:numId="10" w16cid:durableId="1177186046">
    <w:abstractNumId w:val="41"/>
  </w:num>
  <w:num w:numId="11" w16cid:durableId="177349159">
    <w:abstractNumId w:val="39"/>
  </w:num>
  <w:num w:numId="12" w16cid:durableId="2026132748">
    <w:abstractNumId w:val="67"/>
  </w:num>
  <w:num w:numId="13" w16cid:durableId="1306088395">
    <w:abstractNumId w:val="52"/>
  </w:num>
  <w:num w:numId="14" w16cid:durableId="449589610">
    <w:abstractNumId w:val="53"/>
  </w:num>
  <w:num w:numId="15" w16cid:durableId="173419404">
    <w:abstractNumId w:val="46"/>
  </w:num>
  <w:num w:numId="16" w16cid:durableId="337582818">
    <w:abstractNumId w:val="44"/>
  </w:num>
  <w:num w:numId="17" w16cid:durableId="1317687982">
    <w:abstractNumId w:val="2"/>
  </w:num>
  <w:num w:numId="18" w16cid:durableId="1904177599">
    <w:abstractNumId w:val="17"/>
  </w:num>
  <w:num w:numId="19" w16cid:durableId="1272326323">
    <w:abstractNumId w:val="69"/>
  </w:num>
  <w:num w:numId="20" w16cid:durableId="1972593930">
    <w:abstractNumId w:val="4"/>
  </w:num>
  <w:num w:numId="21" w16cid:durableId="189339695">
    <w:abstractNumId w:val="61"/>
  </w:num>
  <w:num w:numId="22" w16cid:durableId="484128414">
    <w:abstractNumId w:val="60"/>
  </w:num>
  <w:num w:numId="23" w16cid:durableId="1086993787">
    <w:abstractNumId w:val="8"/>
  </w:num>
  <w:num w:numId="24" w16cid:durableId="2069111175">
    <w:abstractNumId w:val="51"/>
  </w:num>
  <w:num w:numId="25" w16cid:durableId="1448889140">
    <w:abstractNumId w:val="7"/>
  </w:num>
  <w:num w:numId="26" w16cid:durableId="1583829332">
    <w:abstractNumId w:val="47"/>
  </w:num>
  <w:num w:numId="27" w16cid:durableId="268901626">
    <w:abstractNumId w:val="28"/>
  </w:num>
  <w:num w:numId="28" w16cid:durableId="1019813977">
    <w:abstractNumId w:val="35"/>
  </w:num>
  <w:num w:numId="29" w16cid:durableId="447742327">
    <w:abstractNumId w:val="15"/>
  </w:num>
  <w:num w:numId="30" w16cid:durableId="208802677">
    <w:abstractNumId w:val="49"/>
  </w:num>
  <w:num w:numId="31" w16cid:durableId="1924996813">
    <w:abstractNumId w:val="20"/>
  </w:num>
  <w:num w:numId="32" w16cid:durableId="244345199">
    <w:abstractNumId w:val="43"/>
  </w:num>
  <w:num w:numId="33" w16cid:durableId="1744721722">
    <w:abstractNumId w:val="10"/>
  </w:num>
  <w:num w:numId="34" w16cid:durableId="1978990845">
    <w:abstractNumId w:val="13"/>
  </w:num>
  <w:num w:numId="35" w16cid:durableId="1591623705">
    <w:abstractNumId w:val="64"/>
  </w:num>
  <w:num w:numId="36" w16cid:durableId="1429931482">
    <w:abstractNumId w:val="32"/>
  </w:num>
  <w:num w:numId="37" w16cid:durableId="1641569516">
    <w:abstractNumId w:val="12"/>
  </w:num>
  <w:num w:numId="38" w16cid:durableId="1250386664">
    <w:abstractNumId w:val="36"/>
  </w:num>
  <w:num w:numId="39" w16cid:durableId="2008554060">
    <w:abstractNumId w:val="29"/>
  </w:num>
  <w:num w:numId="40" w16cid:durableId="894195042">
    <w:abstractNumId w:val="38"/>
  </w:num>
  <w:num w:numId="41" w16cid:durableId="398747917">
    <w:abstractNumId w:val="27"/>
  </w:num>
  <w:num w:numId="42" w16cid:durableId="1498418089">
    <w:abstractNumId w:val="58"/>
  </w:num>
  <w:num w:numId="43" w16cid:durableId="707602608">
    <w:abstractNumId w:val="3"/>
  </w:num>
  <w:num w:numId="44" w16cid:durableId="1943757482">
    <w:abstractNumId w:val="66"/>
  </w:num>
  <w:num w:numId="45" w16cid:durableId="763844795">
    <w:abstractNumId w:val="26"/>
  </w:num>
  <w:num w:numId="46" w16cid:durableId="1362852710">
    <w:abstractNumId w:val="25"/>
  </w:num>
  <w:num w:numId="47" w16cid:durableId="1854878956">
    <w:abstractNumId w:val="56"/>
  </w:num>
  <w:num w:numId="48" w16cid:durableId="1258171109">
    <w:abstractNumId w:val="40"/>
  </w:num>
  <w:num w:numId="49" w16cid:durableId="2104953250">
    <w:abstractNumId w:val="42"/>
  </w:num>
  <w:num w:numId="50" w16cid:durableId="39669008">
    <w:abstractNumId w:val="24"/>
  </w:num>
  <w:num w:numId="51" w16cid:durableId="1028220678">
    <w:abstractNumId w:val="65"/>
  </w:num>
  <w:num w:numId="52" w16cid:durableId="438985383">
    <w:abstractNumId w:val="9"/>
  </w:num>
  <w:num w:numId="53" w16cid:durableId="1822884339">
    <w:abstractNumId w:val="45"/>
  </w:num>
  <w:num w:numId="54" w16cid:durableId="1068187037">
    <w:abstractNumId w:val="11"/>
  </w:num>
  <w:num w:numId="55" w16cid:durableId="1541747179">
    <w:abstractNumId w:val="50"/>
  </w:num>
  <w:num w:numId="56" w16cid:durableId="950013704">
    <w:abstractNumId w:val="23"/>
  </w:num>
  <w:num w:numId="57" w16cid:durableId="1524246321">
    <w:abstractNumId w:val="34"/>
  </w:num>
  <w:num w:numId="58" w16cid:durableId="1994140800">
    <w:abstractNumId w:val="30"/>
  </w:num>
  <w:num w:numId="59" w16cid:durableId="1729261110">
    <w:abstractNumId w:val="55"/>
  </w:num>
  <w:num w:numId="60" w16cid:durableId="612325437">
    <w:abstractNumId w:val="19"/>
  </w:num>
  <w:num w:numId="61" w16cid:durableId="76755800">
    <w:abstractNumId w:val="62"/>
  </w:num>
  <w:num w:numId="62" w16cid:durableId="2072269809">
    <w:abstractNumId w:val="68"/>
  </w:num>
  <w:num w:numId="63" w16cid:durableId="1272589674">
    <w:abstractNumId w:val="6"/>
  </w:num>
  <w:num w:numId="64" w16cid:durableId="1450584654">
    <w:abstractNumId w:val="14"/>
  </w:num>
  <w:num w:numId="65" w16cid:durableId="1350066966">
    <w:abstractNumId w:val="48"/>
  </w:num>
  <w:num w:numId="66" w16cid:durableId="228158429">
    <w:abstractNumId w:val="5"/>
  </w:num>
  <w:num w:numId="67" w16cid:durableId="755395924">
    <w:abstractNumId w:val="0"/>
  </w:num>
  <w:num w:numId="68" w16cid:durableId="248078987">
    <w:abstractNumId w:val="31"/>
  </w:num>
  <w:num w:numId="69" w16cid:durableId="408887750">
    <w:abstractNumId w:val="33"/>
  </w:num>
  <w:num w:numId="70" w16cid:durableId="57982735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7F"/>
    <w:rsid w:val="000057FA"/>
    <w:rsid w:val="00014703"/>
    <w:rsid w:val="0005052B"/>
    <w:rsid w:val="00057E58"/>
    <w:rsid w:val="000A6222"/>
    <w:rsid w:val="000C6E46"/>
    <w:rsid w:val="000D6034"/>
    <w:rsid w:val="000E694C"/>
    <w:rsid w:val="000F7808"/>
    <w:rsid w:val="00105240"/>
    <w:rsid w:val="00121624"/>
    <w:rsid w:val="00140D2E"/>
    <w:rsid w:val="001471EC"/>
    <w:rsid w:val="001F08C7"/>
    <w:rsid w:val="00210D7C"/>
    <w:rsid w:val="00226C8B"/>
    <w:rsid w:val="002509AB"/>
    <w:rsid w:val="00273B60"/>
    <w:rsid w:val="00280C99"/>
    <w:rsid w:val="0028621A"/>
    <w:rsid w:val="002B0976"/>
    <w:rsid w:val="002E7526"/>
    <w:rsid w:val="002F0E27"/>
    <w:rsid w:val="002F28EB"/>
    <w:rsid w:val="003223A3"/>
    <w:rsid w:val="00323A41"/>
    <w:rsid w:val="00383023"/>
    <w:rsid w:val="003A58D7"/>
    <w:rsid w:val="003C3767"/>
    <w:rsid w:val="003C4C77"/>
    <w:rsid w:val="004235D7"/>
    <w:rsid w:val="00431D8F"/>
    <w:rsid w:val="00461266"/>
    <w:rsid w:val="0047088B"/>
    <w:rsid w:val="00497135"/>
    <w:rsid w:val="004C55A8"/>
    <w:rsid w:val="00546715"/>
    <w:rsid w:val="00596F1D"/>
    <w:rsid w:val="005B3BF6"/>
    <w:rsid w:val="005C637A"/>
    <w:rsid w:val="005E3105"/>
    <w:rsid w:val="005E7AC0"/>
    <w:rsid w:val="005F3413"/>
    <w:rsid w:val="005F37A4"/>
    <w:rsid w:val="00661947"/>
    <w:rsid w:val="00674464"/>
    <w:rsid w:val="006863C8"/>
    <w:rsid w:val="006B1F1A"/>
    <w:rsid w:val="006B742D"/>
    <w:rsid w:val="006D5514"/>
    <w:rsid w:val="006F76BA"/>
    <w:rsid w:val="00713925"/>
    <w:rsid w:val="00720FD9"/>
    <w:rsid w:val="00734E17"/>
    <w:rsid w:val="0074201F"/>
    <w:rsid w:val="00787085"/>
    <w:rsid w:val="00790AB6"/>
    <w:rsid w:val="007939DD"/>
    <w:rsid w:val="007E62F0"/>
    <w:rsid w:val="007F1E8F"/>
    <w:rsid w:val="00835E73"/>
    <w:rsid w:val="00887465"/>
    <w:rsid w:val="00892EE2"/>
    <w:rsid w:val="008B69E1"/>
    <w:rsid w:val="008B7338"/>
    <w:rsid w:val="008C2762"/>
    <w:rsid w:val="008F73B1"/>
    <w:rsid w:val="0090396E"/>
    <w:rsid w:val="00954803"/>
    <w:rsid w:val="009828F1"/>
    <w:rsid w:val="009D6A56"/>
    <w:rsid w:val="009E381F"/>
    <w:rsid w:val="00A02912"/>
    <w:rsid w:val="00A575F6"/>
    <w:rsid w:val="00AB71E4"/>
    <w:rsid w:val="00AC42E5"/>
    <w:rsid w:val="00AE2F34"/>
    <w:rsid w:val="00B130FA"/>
    <w:rsid w:val="00B44819"/>
    <w:rsid w:val="00B56487"/>
    <w:rsid w:val="00B647E2"/>
    <w:rsid w:val="00B672F9"/>
    <w:rsid w:val="00B810A8"/>
    <w:rsid w:val="00BB52B4"/>
    <w:rsid w:val="00BE5973"/>
    <w:rsid w:val="00C024A9"/>
    <w:rsid w:val="00C15CFB"/>
    <w:rsid w:val="00C33AFD"/>
    <w:rsid w:val="00C506DC"/>
    <w:rsid w:val="00C80DDA"/>
    <w:rsid w:val="00CB599C"/>
    <w:rsid w:val="00CD627F"/>
    <w:rsid w:val="00CE5B96"/>
    <w:rsid w:val="00CF7154"/>
    <w:rsid w:val="00D70A7B"/>
    <w:rsid w:val="00D75237"/>
    <w:rsid w:val="00D82CFA"/>
    <w:rsid w:val="00DA0FF7"/>
    <w:rsid w:val="00DB1EEF"/>
    <w:rsid w:val="00DB614C"/>
    <w:rsid w:val="00DC01D4"/>
    <w:rsid w:val="00DD1878"/>
    <w:rsid w:val="00E1086A"/>
    <w:rsid w:val="00E70933"/>
    <w:rsid w:val="00EB09E0"/>
    <w:rsid w:val="00EB2ED3"/>
    <w:rsid w:val="00EC584B"/>
    <w:rsid w:val="00EF04EA"/>
    <w:rsid w:val="00F22C8B"/>
    <w:rsid w:val="00F30E4B"/>
    <w:rsid w:val="00F4199A"/>
    <w:rsid w:val="00F4702C"/>
    <w:rsid w:val="00FA5DA0"/>
    <w:rsid w:val="00FD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1D18E"/>
  <w15:chartTrackingRefBased/>
  <w15:docId w15:val="{BBB44A55-87F1-4832-AEFE-E117AFD1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6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6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7F"/>
    <w:rPr>
      <w:rFonts w:eastAsiaTheme="majorEastAsia" w:cstheme="majorBidi"/>
      <w:color w:val="272727" w:themeColor="text1" w:themeTint="D8"/>
    </w:rPr>
  </w:style>
  <w:style w:type="paragraph" w:styleId="Title">
    <w:name w:val="Title"/>
    <w:basedOn w:val="Normal"/>
    <w:next w:val="Normal"/>
    <w:link w:val="TitleChar"/>
    <w:uiPriority w:val="10"/>
    <w:qFormat/>
    <w:rsid w:val="00CD6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7F"/>
    <w:pPr>
      <w:spacing w:before="160"/>
      <w:jc w:val="center"/>
    </w:pPr>
    <w:rPr>
      <w:i/>
      <w:iCs/>
      <w:color w:val="404040" w:themeColor="text1" w:themeTint="BF"/>
    </w:rPr>
  </w:style>
  <w:style w:type="character" w:customStyle="1" w:styleId="QuoteChar">
    <w:name w:val="Quote Char"/>
    <w:basedOn w:val="DefaultParagraphFont"/>
    <w:link w:val="Quote"/>
    <w:uiPriority w:val="29"/>
    <w:rsid w:val="00CD627F"/>
    <w:rPr>
      <w:i/>
      <w:iCs/>
      <w:color w:val="404040" w:themeColor="text1" w:themeTint="BF"/>
    </w:rPr>
  </w:style>
  <w:style w:type="paragraph" w:styleId="ListParagraph">
    <w:name w:val="List Paragraph"/>
    <w:basedOn w:val="Normal"/>
    <w:uiPriority w:val="34"/>
    <w:qFormat/>
    <w:rsid w:val="00CD627F"/>
    <w:pPr>
      <w:ind w:left="720"/>
      <w:contextualSpacing/>
    </w:pPr>
  </w:style>
  <w:style w:type="character" w:styleId="IntenseEmphasis">
    <w:name w:val="Intense Emphasis"/>
    <w:basedOn w:val="DefaultParagraphFont"/>
    <w:uiPriority w:val="21"/>
    <w:qFormat/>
    <w:rsid w:val="00CD627F"/>
    <w:rPr>
      <w:i/>
      <w:iCs/>
      <w:color w:val="0F4761" w:themeColor="accent1" w:themeShade="BF"/>
    </w:rPr>
  </w:style>
  <w:style w:type="paragraph" w:styleId="IntenseQuote">
    <w:name w:val="Intense Quote"/>
    <w:basedOn w:val="Normal"/>
    <w:next w:val="Normal"/>
    <w:link w:val="IntenseQuoteChar"/>
    <w:uiPriority w:val="30"/>
    <w:qFormat/>
    <w:rsid w:val="00CD6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27F"/>
    <w:rPr>
      <w:i/>
      <w:iCs/>
      <w:color w:val="0F4761" w:themeColor="accent1" w:themeShade="BF"/>
    </w:rPr>
  </w:style>
  <w:style w:type="character" w:styleId="IntenseReference">
    <w:name w:val="Intense Reference"/>
    <w:basedOn w:val="DefaultParagraphFont"/>
    <w:uiPriority w:val="32"/>
    <w:qFormat/>
    <w:rsid w:val="00CD627F"/>
    <w:rPr>
      <w:b/>
      <w:bCs/>
      <w:smallCaps/>
      <w:color w:val="0F4761" w:themeColor="accent1" w:themeShade="BF"/>
      <w:spacing w:val="5"/>
    </w:rPr>
  </w:style>
  <w:style w:type="character" w:styleId="Hyperlink">
    <w:name w:val="Hyperlink"/>
    <w:basedOn w:val="DefaultParagraphFont"/>
    <w:uiPriority w:val="99"/>
    <w:unhideWhenUsed/>
    <w:rsid w:val="00FD6964"/>
    <w:rPr>
      <w:color w:val="467886" w:themeColor="hyperlink"/>
      <w:u w:val="single"/>
    </w:rPr>
  </w:style>
  <w:style w:type="character" w:styleId="UnresolvedMention">
    <w:name w:val="Unresolved Mention"/>
    <w:basedOn w:val="DefaultParagraphFont"/>
    <w:uiPriority w:val="99"/>
    <w:semiHidden/>
    <w:unhideWhenUsed/>
    <w:rsid w:val="00FD6964"/>
    <w:rPr>
      <w:color w:val="605E5C"/>
      <w:shd w:val="clear" w:color="auto" w:fill="E1DFDD"/>
    </w:rPr>
  </w:style>
  <w:style w:type="character" w:styleId="SubtleReference">
    <w:name w:val="Subtle Reference"/>
    <w:basedOn w:val="DefaultParagraphFont"/>
    <w:uiPriority w:val="31"/>
    <w:qFormat/>
    <w:rsid w:val="0047088B"/>
    <w:rPr>
      <w:smallCaps/>
      <w:color w:val="5A5A5A" w:themeColor="text1" w:themeTint="A5"/>
    </w:rPr>
  </w:style>
  <w:style w:type="paragraph" w:styleId="NormalWeb">
    <w:name w:val="Normal (Web)"/>
    <w:basedOn w:val="Normal"/>
    <w:uiPriority w:val="99"/>
    <w:semiHidden/>
    <w:unhideWhenUsed/>
    <w:rsid w:val="00EC584B"/>
    <w:rPr>
      <w:rFonts w:ascii="Times New Roman" w:hAnsi="Times New Roman" w:cs="Times New Roman"/>
    </w:rPr>
  </w:style>
  <w:style w:type="paragraph" w:styleId="Header">
    <w:name w:val="header"/>
    <w:basedOn w:val="Normal"/>
    <w:link w:val="HeaderChar"/>
    <w:uiPriority w:val="99"/>
    <w:unhideWhenUsed/>
    <w:rsid w:val="00AB71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1E4"/>
  </w:style>
  <w:style w:type="paragraph" w:styleId="Footer">
    <w:name w:val="footer"/>
    <w:basedOn w:val="Normal"/>
    <w:link w:val="FooterChar"/>
    <w:uiPriority w:val="99"/>
    <w:unhideWhenUsed/>
    <w:rsid w:val="00AB71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B2C45D0518BD49A41F7DD8E89B53F3" ma:contentTypeVersion="4" ma:contentTypeDescription="Create a new document." ma:contentTypeScope="" ma:versionID="298aabb6c34bdc2181441bf2b54dc100">
  <xsd:schema xmlns:xsd="http://www.w3.org/2001/XMLSchema" xmlns:xs="http://www.w3.org/2001/XMLSchema" xmlns:p="http://schemas.microsoft.com/office/2006/metadata/properties" xmlns:ns2="ad98654a-044b-406b-afde-549559df841c" xmlns:ns3="de438e37-8f08-4c52-afc5-327414d036ea" xmlns:ns4="85074e73-bb9e-479b-907d-5569af86a5dc" xmlns:ns5="561edfbc-654d-40c4-8aee-79f2465e0b7e" targetNamespace="http://schemas.microsoft.com/office/2006/metadata/properties" ma:root="true" ma:fieldsID="eca067971aae289862b9d2de5aa64dee" ns2:_="" ns3:_="" ns4:_="" ns5:_="">
    <xsd:import namespace="ad98654a-044b-406b-afde-549559df841c"/>
    <xsd:import namespace="de438e37-8f08-4c52-afc5-327414d036ea"/>
    <xsd:import namespace="85074e73-bb9e-479b-907d-5569af86a5dc"/>
    <xsd:import namespace="561edfbc-654d-40c4-8aee-79f2465e0b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Knowledge_x0020_Tag_x0020_Choice_x0020_Option" minOccurs="0"/>
                <xsd:element ref="ns2:Industry_x0020_Vertical" minOccurs="0"/>
                <xsd:element ref="ns2:Capability" minOccurs="0"/>
                <xsd:element ref="ns2:Governance"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8654a-044b-406b-afde-549559df84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Knowledge_x0020_Tag_x0020_Choice_x0020_Option" ma:index="14" nillable="true" ma:displayName="Solution" ma:default="" ma:description="Vendor Solution" ma:internalName="Knowledge_x0020_Tag_x0020_Choice_x0020_Option">
      <xsd:complexType>
        <xsd:complexContent>
          <xsd:extension base="dms:MultiChoice">
            <xsd:sequence>
              <xsd:element name="Value" maxOccurs="unbounded" minOccurs="0" nillable="true">
                <xsd:simpleType>
                  <xsd:restriction base="dms:Choice">
                    <xsd:enumeration value="Appian"/>
                    <xsd:enumeration value="AWS"/>
                    <xsd:enumeration value="Bizagi"/>
                    <xsd:enumeration value="Camunda"/>
                    <xsd:enumeration value="Microsoft Azure"/>
                    <xsd:enumeration value="Pega"/>
                    <xsd:enumeration value="Salesforce"/>
                    <xsd:enumeration value="ServiceNow"/>
                    <xsd:enumeration value="UiPath"/>
                  </xsd:restriction>
                </xsd:simpleType>
              </xsd:element>
            </xsd:sequence>
          </xsd:extension>
        </xsd:complexContent>
      </xsd:complexType>
    </xsd:element>
    <xsd:element name="Industry_x0020_Vertical" ma:index="15" nillable="true" ma:displayName="Vertical" ma:default="" ma:description="Industry Vertical" ma:internalName="Industry_x0020_Vertical">
      <xsd:complexType>
        <xsd:complexContent>
          <xsd:extension base="dms:MultiChoice">
            <xsd:sequence>
              <xsd:element name="Value" maxOccurs="unbounded" minOccurs="0" nillable="true">
                <xsd:simpleType>
                  <xsd:restriction base="dms:Choice">
                    <xsd:enumeration value="Finance"/>
                    <xsd:enumeration value="Health Care"/>
                    <xsd:enumeration value="Public Sector"/>
                    <xsd:enumeration value="IRS"/>
                  </xsd:restriction>
                </xsd:simpleType>
              </xsd:element>
            </xsd:sequence>
          </xsd:extension>
        </xsd:complexContent>
      </xsd:complexType>
    </xsd:element>
    <xsd:element name="Capability" ma:index="16" nillable="true" ma:displayName="Capability" ma:default="" ma:description="Non-Vendor Capabilities" ma:internalName="Capability">
      <xsd:complexType>
        <xsd:complexContent>
          <xsd:extension base="dms:MultiChoice">
            <xsd:sequence>
              <xsd:element name="Value" maxOccurs="unbounded" minOccurs="0" nillable="true">
                <xsd:simpleType>
                  <xsd:restriction base="dms:Choice">
                    <xsd:enumeration value="AI"/>
                    <xsd:enumeration value="Analytics (Interpretive, Predictive)"/>
                    <xsd:enumeration value="AoA Digital Platforms"/>
                    <xsd:enumeration value="Asset Mgmt."/>
                    <xsd:enumeration value="Blockchain"/>
                    <xsd:enumeration value="Business Intelligence Exchange (BIX)"/>
                    <xsd:enumeration value="Business Mgmt."/>
                    <xsd:enumeration value="Case Management"/>
                    <xsd:enumeration value="Cloud"/>
                    <xsd:enumeration value="CMDB"/>
                    <xsd:enumeration value="DPA"/>
                    <xsd:enumeration value="Emerging Tech"/>
                    <xsd:enumeration value="Grants Management"/>
                    <xsd:enumeration value="Human Centered Design (HCD)"/>
                    <xsd:enumeration value="Low Code No Code Dev."/>
                    <xsd:enumeration value="ML"/>
                    <xsd:enumeration value="Open Source"/>
                    <xsd:enumeration value="Operations Mgmt."/>
                    <xsd:enumeration value="Reporting / Dashboards"/>
                    <xsd:enumeration value="RPA"/>
                    <xsd:enumeration value="Service Mgmt."/>
                    <xsd:enumeration value="Support Services (Help Desk)"/>
                    <xsd:enumeration value="VRAR"/>
                    <xsd:enumeration value="Workflow Mgmt."/>
                  </xsd:restriction>
                </xsd:simpleType>
              </xsd:element>
            </xsd:sequence>
          </xsd:extension>
        </xsd:complexContent>
      </xsd:complexType>
    </xsd:element>
    <xsd:element name="Governance" ma:index="17" nillable="true" ma:displayName="Auxiliary" ma:default="" ma:description="Supplemental Attributes such as Governance Method, Process, Service Offering" ma:internalName="Governance">
      <xsd:complexType>
        <xsd:complexContent>
          <xsd:extension base="dms:MultiChoice">
            <xsd:sequence>
              <xsd:element name="Value" maxOccurs="unbounded" minOccurs="0" nillable="true">
                <xsd:simpleType>
                  <xsd:restriction base="dms:Choice">
                    <xsd:enumeration value="508 Compliance"/>
                    <xsd:enumeration value="Agile Application Dev."/>
                    <xsd:enumeration value="Architecture"/>
                    <xsd:enumeration value="Change Mgmt."/>
                    <xsd:enumeration value="CI/CD"/>
                    <xsd:enumeration value="CMMI"/>
                    <xsd:enumeration value="Contract Mgmt."/>
                    <xsd:enumeration value="Data Mgmt. / Data Migration"/>
                    <xsd:enumeration value="DevOps"/>
                    <xsd:enumeration value="FedRAMP"/>
                    <xsd:enumeration value="Geographic Information System (GIS)"/>
                    <xsd:enumeration value="Information and Communications Technology"/>
                    <xsd:enumeration value="Integration Approach"/>
                    <xsd:enumeration value="ISO"/>
                    <xsd:enumeration value="IT Operations and Maintenance"/>
                    <xsd:enumeration value="IT Security"/>
                    <xsd:enumeration value="Managed Services"/>
                    <xsd:enumeration value="Management Approach"/>
                    <xsd:enumeration value="Past Performance"/>
                    <xsd:enumeration value="Performance Mgmt."/>
                    <xsd:enumeration value="Proposal Template"/>
                    <xsd:enumeration value="Quality"/>
                    <xsd:enumeration value="SIM"/>
                    <xsd:enumeration value="Sky Accelerator"/>
                    <xsd:enumeration value="Sky Executive Summary"/>
                    <xsd:enumeration value="Staff Augmentation"/>
                    <xsd:enumeration value="Task Order Mgmt."/>
                    <xsd:enumeration value="Testing Automation"/>
                    <xsd:enumeration value="Training"/>
                    <xsd:enumeration value="Upgrade"/>
                    <xsd:enumeration value="User Mgmt."/>
                  </xsd:restriction>
                </xsd:simpleType>
              </xsd:element>
            </xsd:sequence>
          </xsd:extension>
        </xsd:complexContent>
      </xsd:complex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438e37-8f08-4c52-afc5-327414d036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074e73-bb9e-479b-907d-5569af86a5dc" elementFormDefault="qualified">
    <xsd:import namespace="http://schemas.microsoft.com/office/2006/documentManagement/types"/>
    <xsd:import namespace="http://schemas.microsoft.com/office/infopath/2007/PartnerControls"/>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3973a93-475d-4d1b-8281-2e694086ed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edfbc-654d-40c4-8aee-79f2465e0b7e"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5f7a5cbd-083f-4f5b-9c12-7fbcc765c038}" ma:internalName="TaxCatchAll" ma:showField="CatchAllData" ma:web="561edfbc-654d-40c4-8aee-79f2465e0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pability xmlns="ad98654a-044b-406b-afde-549559df841c" xsi:nil="true"/>
    <Industry_x0020_Vertical xmlns="ad98654a-044b-406b-afde-549559df841c" xsi:nil="true"/>
    <TaxCatchAll xmlns="561edfbc-654d-40c4-8aee-79f2465e0b7e" xsi:nil="true"/>
    <Governance xmlns="ad98654a-044b-406b-afde-549559df841c" xsi:nil="true"/>
    <Knowledge_x0020_Tag_x0020_Choice_x0020_Option xmlns="ad98654a-044b-406b-afde-549559df841c" xsi:nil="true"/>
    <lcf76f155ced4ddcb4097134ff3c332f xmlns="85074e73-bb9e-479b-907d-5569af86a5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2CA6D3-3C1E-4612-B89C-78102DB92225}"/>
</file>

<file path=customXml/itemProps2.xml><?xml version="1.0" encoding="utf-8"?>
<ds:datastoreItem xmlns:ds="http://schemas.openxmlformats.org/officeDocument/2006/customXml" ds:itemID="{B7524148-BBF7-436C-AE8B-A81F21B3BA28}"/>
</file>

<file path=customXml/itemProps3.xml><?xml version="1.0" encoding="utf-8"?>
<ds:datastoreItem xmlns:ds="http://schemas.openxmlformats.org/officeDocument/2006/customXml" ds:itemID="{CE1255B5-2A71-48DB-894A-58DAA46386C8}"/>
</file>

<file path=docMetadata/LabelInfo.xml><?xml version="1.0" encoding="utf-8"?>
<clbl:labelList xmlns:clbl="http://schemas.microsoft.com/office/2020/mipLabelMetadata">
  <clbl:label id="{ee59de1d-d5c6-4146-8673-0aa0571303b3}" enabled="0" method="" siteId="{ee59de1d-d5c6-4146-8673-0aa0571303b3}" removed="1"/>
</clbl:labelList>
</file>

<file path=docProps/app.xml><?xml version="1.0" encoding="utf-8"?>
<Properties xmlns="http://schemas.openxmlformats.org/officeDocument/2006/extended-properties" xmlns:vt="http://schemas.openxmlformats.org/officeDocument/2006/docPropsVTypes">
  <Template>Normal</Template>
  <TotalTime>3030</TotalTime>
  <Pages>12</Pages>
  <Words>2555</Words>
  <Characters>15513</Characters>
  <Application>Microsoft Office Word</Application>
  <DocSecurity>0</DocSecurity>
  <Lines>816</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Tanu</dc:creator>
  <cp:keywords/>
  <dc:description/>
  <cp:lastModifiedBy>Vandana Tanu</cp:lastModifiedBy>
  <cp:revision>108</cp:revision>
  <dcterms:created xsi:type="dcterms:W3CDTF">2026-02-18T21:39:00Z</dcterms:created>
  <dcterms:modified xsi:type="dcterms:W3CDTF">2026-03-14T02:14:00Z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0x0101001EB2C45D0518BD49A41F7DD8E89B53F3</vt:lpwstr>
  </property>
</Properties>
</file>