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WeighBridge 360</w:t>
      </w:r>
    </w:p>
    <w:p>
      <w:pPr>
        <w:jc w:val="center"/>
      </w:pPr>
      <w:r>
        <w:rPr>
          <w:color w:val="2E74B5"/>
          <w:sz w:val="36"/>
        </w:rPr>
        <w:t>Handoff — Sessão 1 → Sessão 2</w:t>
      </w:r>
    </w:p>
    <w:p>
      <w:pPr>
        <w:jc w:val="center"/>
      </w:pPr>
      <w:r>
        <w:rPr>
          <w:i/>
          <w:sz w:val="24"/>
        </w:rPr>
        <w:t>SLC Agrícola · Spark Sessions · 28 de julho de 2026</w:t>
      </w:r>
    </w:p>
    <w:p/>
    <w:p>
      <w:pPr>
        <w:jc w:val="center"/>
      </w:pPr>
      <w:r>
        <w:rPr>
          <w:i/>
          <w:color w:val="707070"/>
          <w:sz w:val="22"/>
        </w:rPr>
        <w:t>Este documento é o pacote de contexto oficial da Sessão 1.</w:t>
        <w:br/>
        <w:t>A Sessão 2 começa aqui.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Resumo da Sessão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28 de julho de 2026</w:t>
            </w:r>
          </w:p>
        </w:tc>
      </w:tr>
      <w:tr>
        <w:tc>
          <w:tcPr>
            <w:tcW w:type="dxa" w:w="4320"/>
          </w:tcPr>
          <w:p>
            <w:r>
              <w:t>Duração</w:t>
            </w:r>
          </w:p>
        </w:tc>
        <w:tc>
          <w:tcPr>
            <w:tcW w:type="dxa" w:w="4320"/>
          </w:tcPr>
          <w:p>
            <w:r>
              <w:t>~2h30 (13h00 → 15h30)</w:t>
            </w:r>
          </w:p>
        </w:tc>
      </w:tr>
      <w:tr>
        <w:tc>
          <w:tcPr>
            <w:tcW w:type="dxa" w:w="4320"/>
          </w:tcPr>
          <w:p>
            <w:r>
              <w:t>Modo</w:t>
            </w:r>
          </w:p>
        </w:tc>
        <w:tc>
          <w:tcPr>
            <w:tcW w:type="dxa" w:w="4320"/>
          </w:tcPr>
          <w:p>
            <w:r>
              <w:t>Comprimido — problema bem definido pelo time, fases de ideação aceleradas</w:t>
            </w:r>
          </w:p>
        </w:tc>
      </w:tr>
      <w:tr>
        <w:tc>
          <w:tcPr>
            <w:tcW w:type="dxa" w:w="4320"/>
          </w:tcPr>
          <w:p>
            <w:r>
              <w:t>Artefatos gerados</w:t>
            </w:r>
          </w:p>
        </w:tc>
        <w:tc>
          <w:tcPr>
            <w:tcW w:type="dxa" w:w="4320"/>
          </w:tcPr>
          <w:p>
            <w:r>
              <w:t>9 de 9 ✅</w:t>
            </w:r>
          </w:p>
        </w:tc>
      </w:tr>
    </w:tbl>
    <w:p/>
    <w:p>
      <w:pPr>
        <w:pStyle w:val="Heading1"/>
      </w:pPr>
      <w:r>
        <w:rPr>
          <w:color w:val="1F497D"/>
        </w:rPr>
        <w:t>2. O Problema (acordado pelo time)</w:t>
      </w:r>
    </w:p>
    <w:p>
      <w:r>
        <w:rPr>
          <w:b/>
          <w:i w:val="0"/>
          <w:sz w:val="22"/>
        </w:rPr>
        <w:t>HMW (How Might We):</w:t>
      </w:r>
    </w:p>
    <w:p>
      <w:pPr>
        <w:pStyle w:val="Quote"/>
      </w:pPr>
      <w:r>
        <w:t>"Como podemos garantir o registro seguro e em tempo real do peso de produtos e insumos agrícolas — totalmente integrado ao SAP — para prevenir fraudes, reduzir perdas financeiras e aumentar a visibilidade operacional do campo ao ERP?"</w:t>
      </w:r>
    </w:p>
    <w:p>
      <w:r>
        <w:rPr>
          <w:b/>
          <w:i w:val="0"/>
          <w:sz w:val="22"/>
        </w:rPr>
        <w:t>Dor central:</w:t>
      </w:r>
    </w:p>
    <w:p>
      <w:r>
        <w:rPr>
          <w:b w:val="0"/>
          <w:i w:val="0"/>
          <w:sz w:val="22"/>
        </w:rPr>
        <w:t>O processo de pesagem nas fazendas da SLC Agrícola é inteiramente manual — porteiro digita placa, balanceiro digita pesos, fiscal recebe e-mail para emitir DANFe, coordenador monitora por WhatsApp. O sistema legado cai 465 vezes/mês sem fallback. Nenhum dado chega ao SAP automaticamente. O custo é R$ 4,1 milhões/mês em atrasos e risco real de fraude sem rastreabilidade.</w:t>
      </w:r>
    </w:p>
    <w:p>
      <w:pPr>
        <w:pStyle w:val="Heading1"/>
      </w:pPr>
      <w:r>
        <w:rPr>
          <w:color w:val="1F497D"/>
        </w:rPr>
        <w:t>3. A Solução Escolhida</w:t>
      </w:r>
    </w:p>
    <w:p>
      <w:r>
        <w:rPr>
          <w:b/>
          <w:i w:val="0"/>
          <w:sz w:val="22"/>
        </w:rPr>
        <w:t>Nome da solução: WeighBridge 360</w:t>
      </w:r>
    </w:p>
    <w:p>
      <w:pPr>
        <w:pStyle w:val="Quote"/>
      </w:pPr>
      <w:r>
        <w:t>"Plataforma SAP-native que automatiza o fluxo de pesagem agrícola — do campo ao ERP — eliminando trabalho manual, prevenindo fraudes e entregando visibilidade em tempo real para operadores e gestores."</w:t>
      </w:r>
    </w:p>
    <w:p>
      <w:r>
        <w:rPr>
          <w:b/>
          <w:i w:val="0"/>
          <w:sz w:val="22"/>
        </w:rPr>
        <w:t>Arquitetura de alto nível: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Responsabilidade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Operação</w:t>
            </w:r>
          </w:p>
        </w:tc>
        <w:tc>
          <w:tcPr>
            <w:tcW w:type="dxa" w:w="2880"/>
          </w:tcPr>
          <w:p>
            <w:r>
              <w:t>WeighBridge 360 App (SAP BTP)</w:t>
            </w:r>
          </w:p>
        </w:tc>
        <w:tc>
          <w:tcPr>
            <w:tcW w:type="dxa" w:w="2880"/>
          </w:tcPr>
          <w:p>
            <w:r>
              <w:t>OCR de placa, captura automática de peso, emissão DANFe/CTe, modo offline</w:t>
            </w:r>
          </w:p>
        </w:tc>
      </w:tr>
      <w:tr>
        <w:tc>
          <w:tcPr>
            <w:tcW w:type="dxa" w:w="2880"/>
          </w:tcPr>
          <w:p>
            <w:r>
              <w:t>Integração</w:t>
            </w:r>
          </w:p>
        </w:tc>
        <w:tc>
          <w:tcPr>
            <w:tcW w:type="dxa" w:w="2880"/>
          </w:tcPr>
          <w:p>
            <w:r>
              <w:t>SAP Integration Suite (CPI)</w:t>
            </w:r>
          </w:p>
        </w:tc>
        <w:tc>
          <w:tcPr>
            <w:tcW w:type="dxa" w:w="2880"/>
          </w:tcPr>
          <w:p>
            <w:r>
              <w:t>Transporte confiável com retry automático para o SAP HANA</w:t>
            </w:r>
          </w:p>
        </w:tc>
      </w:tr>
      <w:tr>
        <w:tc>
          <w:tcPr>
            <w:tcW w:type="dxa" w:w="2880"/>
          </w:tcPr>
          <w:p>
            <w:r>
              <w:t>Persistência</w:t>
            </w:r>
          </w:p>
        </w:tc>
        <w:tc>
          <w:tcPr>
            <w:tcW w:type="dxa" w:w="2880"/>
          </w:tcPr>
          <w:p>
            <w:r>
              <w:t>SAP HANA</w:t>
            </w:r>
          </w:p>
        </w:tc>
        <w:tc>
          <w:tcPr>
            <w:tcW w:type="dxa" w:w="2880"/>
          </w:tcPr>
          <w:p>
            <w:r>
              <w:t>Banco transacional — fonte de verdade dos tickets</w:t>
            </w:r>
          </w:p>
        </w:tc>
      </w:tr>
      <w:tr>
        <w:tc>
          <w:tcPr>
            <w:tcW w:type="dxa" w:w="2880"/>
          </w:tcPr>
          <w:p>
            <w:r>
              <w:t>Governança</w:t>
            </w:r>
          </w:p>
        </w:tc>
        <w:tc>
          <w:tcPr>
            <w:tcW w:type="dxa" w:w="2880"/>
          </w:tcPr>
          <w:p>
            <w:r>
              <w:t>SAP Datasphere</w:t>
            </w:r>
          </w:p>
        </w:tc>
        <w:tc>
          <w:tcPr>
            <w:tcW w:type="dxa" w:w="2880"/>
          </w:tcPr>
          <w:p>
            <w:r>
              <w:t>Consolidação multi-fazenda, qualidade de dados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SAP Analytics Cloud (SAC)</w:t>
            </w:r>
          </w:p>
        </w:tc>
        <w:tc>
          <w:tcPr>
            <w:tcW w:type="dxa" w:w="2880"/>
          </w:tcPr>
          <w:p>
            <w:r>
              <w:t>Dashboard em tempo real para coordenador</w:t>
            </w:r>
          </w:p>
        </w:tc>
      </w:tr>
    </w:tbl>
    <w:p/>
    <w:p>
      <w:r>
        <w:rPr>
          <w:b/>
          <w:i w:val="0"/>
          <w:sz w:val="22"/>
        </w:rPr>
        <w:t>Foco de prioridade: 70% balanceiro (operação) / 30% coordenador + porteiro</w:t>
      </w:r>
    </w:p>
    <w:p>
      <w:pPr>
        <w:pStyle w:val="Heading1"/>
      </w:pPr>
      <w:r>
        <w:rPr>
          <w:color w:val="1F497D"/>
        </w:rPr>
        <w:t>4. Persona Principal</w:t>
      </w:r>
    </w:p>
    <w:p>
      <w:r>
        <w:rPr>
          <w:b/>
          <w:i w:val="0"/>
          <w:sz w:val="22"/>
        </w:rPr>
        <w:t>Ricardo Mendes Souza — Balanceiro, 34 anos, Fazenda Paiaguás (MT)</w:t>
      </w:r>
    </w:p>
    <w:p>
      <w:pPr>
        <w:pStyle w:val="Quote"/>
      </w:pPr>
      <w:r>
        <w:t>"Eu faço minha parte direito, mas quando o sistema cai, nada que eu fiz antes existiu. Aí a culpa é minha."</w:t>
      </w:r>
    </w:p>
    <w:p>
      <w:r>
        <w:rPr>
          <w:b/>
          <w:i w:val="0"/>
          <w:sz w:val="22"/>
        </w:rPr>
        <w:t>O que Ricardo precisa:</w:t>
      </w:r>
    </w:p>
    <w:p>
      <w:pPr>
        <w:pStyle w:val="ListBullet"/>
      </w:pPr>
      <w:r>
        <w:t>Sistema que salva automaticamente a cada etapa — nunca perde dados</w:t>
      </w:r>
    </w:p>
    <w:p>
      <w:pPr>
        <w:pStyle w:val="ListBullet"/>
      </w:pPr>
      <w:r>
        <w:t>Captura de peso sem digitação — sensor integrado</w:t>
      </w:r>
    </w:p>
    <w:p>
      <w:pPr>
        <w:pStyle w:val="ListBullet"/>
      </w:pPr>
      <w:r>
        <w:t>DANFe/CTe em segundos — sem e-mail, sem espera</w:t>
      </w:r>
    </w:p>
    <w:p>
      <w:pPr>
        <w:pStyle w:val="ListBullet"/>
      </w:pPr>
      <w:r>
        <w:t>Trilha de auditoria que o protege de responsabilizações injustas</w:t>
      </w:r>
    </w:p>
    <w:p>
      <w:pPr>
        <w:pStyle w:val="Heading1"/>
      </w:pPr>
      <w:r>
        <w:rPr>
          <w:color w:val="1F497D"/>
        </w:rPr>
        <w:t>5. Value Proposition</w:t>
      </w:r>
    </w:p>
    <w:p>
      <w:pPr>
        <w:pStyle w:val="Quote"/>
      </w:pPr>
      <w:r>
        <w:t>"WeighBridge 360 permite que o balanceiro registre pesagens sem digitar nada e que o coordenador enxergue o campo em tempo real — eliminando retrabalho, fraude e atraso documental, economizando até R$ 2,9 milhões por mês para a SLC Agrícola."</w:t>
      </w:r>
    </w:p>
    <w:p>
      <w:r>
        <w:rPr>
          <w:b/>
          <w:i w:val="0"/>
          <w:sz w:val="22"/>
        </w:rPr>
        <w:t>Métricas de sucesso: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Hoje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Tempo médio de pesagem</w:t>
            </w:r>
          </w:p>
        </w:tc>
        <w:tc>
          <w:tcPr>
            <w:tcW w:type="dxa" w:w="2880"/>
          </w:tcPr>
          <w:p>
            <w:r>
              <w:t>&gt;50 min</w:t>
            </w:r>
          </w:p>
        </w:tc>
        <w:tc>
          <w:tcPr>
            <w:tcW w:type="dxa" w:w="2880"/>
          </w:tcPr>
          <w:p>
            <w:r>
              <w:t>&lt;15 min</w:t>
            </w:r>
          </w:p>
        </w:tc>
      </w:tr>
      <w:tr>
        <w:tc>
          <w:tcPr>
            <w:tcW w:type="dxa" w:w="2880"/>
          </w:tcPr>
          <w:p>
            <w:r>
              <w:t>Campos digitados por ticket</w:t>
            </w:r>
          </w:p>
        </w:tc>
        <w:tc>
          <w:tcPr>
            <w:tcW w:type="dxa" w:w="2880"/>
          </w:tcPr>
          <w:p>
            <w:r>
              <w:t>~12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Tempo de emissão DANFe</w:t>
            </w:r>
          </w:p>
        </w:tc>
        <w:tc>
          <w:tcPr>
            <w:tcW w:type="dxa" w:w="2880"/>
          </w:tcPr>
          <w:p>
            <w:r>
              <w:t>até 2h</w:t>
            </w:r>
          </w:p>
        </w:tc>
        <w:tc>
          <w:tcPr>
            <w:tcW w:type="dxa" w:w="2880"/>
          </w:tcPr>
          <w:p>
            <w:r>
              <w:t>&lt;30 segundos</w:t>
            </w:r>
          </w:p>
        </w:tc>
      </w:tr>
      <w:tr>
        <w:tc>
          <w:tcPr>
            <w:tcW w:type="dxa" w:w="2880"/>
          </w:tcPr>
          <w:p>
            <w:r>
              <w:t>Sincronização SAP</w:t>
            </w:r>
          </w:p>
        </w:tc>
        <w:tc>
          <w:tcPr>
            <w:tcW w:type="dxa" w:w="2880"/>
          </w:tcPr>
          <w:p>
            <w:r>
              <w:t>Manual após o processo</w:t>
            </w:r>
          </w:p>
        </w:tc>
        <w:tc>
          <w:tcPr>
            <w:tcW w:type="dxa" w:w="2880"/>
          </w:tcPr>
          <w:p>
            <w:r>
              <w:t>100% automático em tempo real</w:t>
            </w:r>
          </w:p>
        </w:tc>
      </w:tr>
      <w:tr>
        <w:tc>
          <w:tcPr>
            <w:tcW w:type="dxa" w:w="2880"/>
          </w:tcPr>
          <w:p>
            <w:r>
              <w:t>Monitoramento do coordenador</w:t>
            </w:r>
          </w:p>
        </w:tc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Dashboard SAC em tempo real</w:t>
            </w:r>
          </w:p>
        </w:tc>
      </w:tr>
    </w:tbl>
    <w:p/>
    <w:p>
      <w:pPr>
        <w:pStyle w:val="Heading1"/>
      </w:pPr>
      <w:r>
        <w:rPr>
          <w:color w:val="1F497D"/>
        </w:rPr>
        <w:t>6. Decisões Tomadas pelo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O que foi decidido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Automação do check-in</w:t>
            </w:r>
          </w:p>
        </w:tc>
        <w:tc>
          <w:tcPr>
            <w:tcW w:type="dxa" w:w="4320"/>
          </w:tcPr>
          <w:p>
            <w:r>
              <w:t>OCR de placa (confiança ≥ 0.85; abaixo → confirmação manual)</w:t>
            </w:r>
          </w:p>
        </w:tc>
      </w:tr>
      <w:tr>
        <w:tc>
          <w:tcPr>
            <w:tcW w:type="dxa" w:w="4320"/>
          </w:tcPr>
          <w:p>
            <w:r>
              <w:t>Captura de peso</w:t>
            </w:r>
          </w:p>
        </w:tc>
        <w:tc>
          <w:tcPr>
            <w:tcW w:type="dxa" w:w="4320"/>
          </w:tcPr>
          <w:p>
            <w:r>
              <w:t>Sensor automático; entrada manual apenas como fallback com justificativa</w:t>
            </w:r>
          </w:p>
        </w:tc>
      </w:tr>
      <w:tr>
        <w:tc>
          <w:tcPr>
            <w:tcW w:type="dxa" w:w="4320"/>
          </w:tcPr>
          <w:p>
            <w:r>
              <w:t>Emissão fiscal</w:t>
            </w:r>
          </w:p>
        </w:tc>
        <w:tc>
          <w:tcPr>
            <w:tcW w:type="dxa" w:w="4320"/>
          </w:tcPr>
          <w:p>
            <w:r>
              <w:t>DANFe e CTe disparados automaticamente ao registrar Pesagem 2</w:t>
            </w:r>
          </w:p>
        </w:tc>
      </w:tr>
      <w:tr>
        <w:tc>
          <w:tcPr>
            <w:tcW w:type="dxa" w:w="4320"/>
          </w:tcPr>
          <w:p>
            <w:r>
              <w:t>Integração SAP</w:t>
            </w:r>
          </w:p>
        </w:tc>
        <w:tc>
          <w:tcPr>
            <w:tcW w:type="dxa" w:w="4320"/>
          </w:tcPr>
          <w:p>
            <w:r>
              <w:t>CPI → SAP HANA → Datasphere → SAC</w:t>
            </w:r>
          </w:p>
        </w:tc>
      </w:tr>
      <w:tr>
        <w:tc>
          <w:tcPr>
            <w:tcW w:type="dxa" w:w="4320"/>
          </w:tcPr>
          <w:p>
            <w:r>
              <w:t>Resiliência</w:t>
            </w:r>
          </w:p>
        </w:tc>
        <w:tc>
          <w:tcPr>
            <w:tcW w:type="dxa" w:w="4320"/>
          </w:tcPr>
          <w:p>
            <w:r>
              <w:t>Modo offline obrigatório com sincronização automática ao reconectar</w:t>
            </w:r>
          </w:p>
        </w:tc>
      </w:tr>
      <w:tr>
        <w:tc>
          <w:tcPr>
            <w:tcW w:type="dxa" w:w="4320"/>
          </w:tcPr>
          <w:p>
            <w:r>
              <w:t>Governança</w:t>
            </w:r>
          </w:p>
        </w:tc>
        <w:tc>
          <w:tcPr>
            <w:tcW w:type="dxa" w:w="4320"/>
          </w:tcPr>
          <w:p>
            <w:r>
              <w:t>Trilha de auditoria imutável (append-only) em todo ticket</w:t>
            </w:r>
          </w:p>
        </w:tc>
      </w:tr>
      <w:tr>
        <w:tc>
          <w:tcPr>
            <w:tcW w:type="dxa" w:w="4320"/>
          </w:tcPr>
          <w:p>
            <w:r>
              <w:t>Divergência de peso</w:t>
            </w:r>
          </w:p>
        </w:tc>
        <w:tc>
          <w:tcPr>
            <w:tcW w:type="dxa" w:w="4320"/>
          </w:tcPr>
          <w:p>
            <w:r>
              <w:t>Ticket bloqueado automaticamente → aprovação exclusiva do coordenador</w:t>
            </w:r>
          </w:p>
        </w:tc>
      </w:tr>
      <w:tr>
        <w:tc>
          <w:tcPr>
            <w:tcW w:type="dxa" w:w="4320"/>
          </w:tcPr>
          <w:p>
            <w:r>
              <w:t>Padronização</w:t>
            </w:r>
          </w:p>
        </w:tc>
        <w:tc>
          <w:tcPr>
            <w:tcW w:type="dxa" w:w="4320"/>
          </w:tcPr>
          <w:p>
            <w:r>
              <w:t>Mesmo fluxo para as 25 fazendas — configuração por fazenda, não customização</w:t>
            </w:r>
          </w:p>
        </w:tc>
      </w:tr>
    </w:tbl>
    <w:p/>
    <w:p>
      <w:pPr>
        <w:pStyle w:val="Heading1"/>
      </w:pPr>
      <w:r>
        <w:rPr>
          <w:color w:val="1F497D"/>
        </w:rPr>
        <w:t>7. Fora do Escopo</w:t>
      </w:r>
    </w:p>
    <w:p>
      <w:pPr>
        <w:pStyle w:val="ListBullet"/>
      </w:pPr>
      <w:r>
        <w:t>Automação do carregamento físico (silos, armazéns)</w:t>
      </w:r>
    </w:p>
    <w:p>
      <w:pPr>
        <w:pStyle w:val="ListBullet"/>
      </w:pPr>
      <w:r>
        <w:t>Integração com sistemas de transportadoras externas</w:t>
      </w:r>
    </w:p>
    <w:p>
      <w:pPr>
        <w:pStyle w:val="ListBullet"/>
      </w:pPr>
      <w:r>
        <w:t>Substituição ou migração do SAP ERP</w:t>
      </w:r>
    </w:p>
    <w:p>
      <w:pPr>
        <w:pStyle w:val="ListBullet"/>
      </w:pPr>
      <w:r>
        <w:t>Gestão de contratos de fornecedores</w:t>
      </w:r>
    </w:p>
    <w:p>
      <w:pPr>
        <w:pStyle w:val="ListBullet"/>
      </w:pPr>
      <w:r>
        <w:t>Outros processos agrícolas (plantio, colheita, irrigação)</w:t>
      </w:r>
    </w:p>
    <w:p>
      <w:pPr>
        <w:pStyle w:val="ListBullet"/>
      </w:pPr>
      <w:r>
        <w:t>App mobile nativo (o app do balanceiro é web responsivo no BTP)</w:t>
      </w:r>
    </w:p>
    <w:p>
      <w:pPr>
        <w:pStyle w:val="Heading1"/>
      </w:pPr>
      <w:r>
        <w:rPr>
          <w:color w:val="1F497D"/>
        </w:rPr>
        <w:t>8. Artefatos Gerados — Sessão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Artefato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projeto/sessao1/problem-statement.md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Persona (Ricardo)</w:t>
            </w:r>
          </w:p>
        </w:tc>
        <w:tc>
          <w:tcPr>
            <w:tcW w:type="dxa" w:w="2880"/>
          </w:tcPr>
          <w:p>
            <w:r>
              <w:t>projeto/sessao1/persona.md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Interview Simulation</w:t>
            </w:r>
          </w:p>
        </w:tc>
        <w:tc>
          <w:tcPr>
            <w:tcW w:type="dxa" w:w="2880"/>
          </w:tcPr>
          <w:p>
            <w:r>
              <w:t>projeto/sessao1/interview-simulation.md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User Journey (As-Is / To-Be)</w:t>
            </w:r>
          </w:p>
        </w:tc>
        <w:tc>
          <w:tcPr>
            <w:tcW w:type="dxa" w:w="2880"/>
          </w:tcPr>
          <w:p>
            <w:r>
              <w:t>projeto/sessao1/user-journey.md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Insights Cluster + Solução</w:t>
            </w:r>
          </w:p>
        </w:tc>
        <w:tc>
          <w:tcPr>
            <w:tcW w:type="dxa" w:w="2880"/>
          </w:tcPr>
          <w:p>
            <w:r>
              <w:t>projeto/sessao1/insights-cluster.md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Value Proposition</w:t>
            </w:r>
          </w:p>
        </w:tc>
        <w:tc>
          <w:tcPr>
            <w:tcW w:type="dxa" w:w="2880"/>
          </w:tcPr>
          <w:p>
            <w:r>
              <w:t>projeto/sessao1/value-proposition.md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Domain Glossary (19 termos)</w:t>
            </w:r>
          </w:p>
        </w:tc>
        <w:tc>
          <w:tcPr>
            <w:tcW w:type="dxa" w:w="2880"/>
          </w:tcPr>
          <w:p>
            <w:r>
              <w:t>projeto/sessao1/domain-glossary.md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Domain Model (14 BR + 5 contextos)</w:t>
            </w:r>
          </w:p>
        </w:tc>
        <w:tc>
          <w:tcPr>
            <w:tcW w:type="dxa" w:w="2880"/>
          </w:tcPr>
          <w:p>
            <w:r>
              <w:t>projeto/sessao1/domain-model.md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Handoff para Sessão 2</w:t>
            </w:r>
          </w:p>
        </w:tc>
        <w:tc>
          <w:tcPr>
            <w:tcW w:type="dxa" w:w="2880"/>
          </w:tcPr>
          <w:p>
            <w:r>
              <w:t>projeto/sessao1/handoff-para-sessao2.md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1"/>
      </w:pPr>
      <w:r>
        <w:rPr>
          <w:color w:val="1F497D"/>
        </w:rPr>
        <w:t>9. Termos Críticos para a Sessão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</w:rPr>
              <w:t>Significado rápido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TicketPesagem</w:t>
            </w:r>
          </w:p>
        </w:tc>
        <w:tc>
          <w:tcPr>
            <w:tcW w:type="dxa" w:w="4320"/>
          </w:tcPr>
          <w:p>
            <w:r>
              <w:t>Unidade de rastreabilidade — um ciclo completo de pesagem</w:t>
            </w:r>
          </w:p>
        </w:tc>
      </w:tr>
      <w:tr>
        <w:tc>
          <w:tcPr>
            <w:tcW w:type="dxa" w:w="4320"/>
          </w:tcPr>
          <w:p>
            <w:r>
              <w:t>Tara</w:t>
            </w:r>
          </w:p>
        </w:tc>
        <w:tc>
          <w:tcPr>
            <w:tcW w:type="dxa" w:w="4320"/>
          </w:tcPr>
          <w:p>
            <w:r>
              <w:t>Peso do caminhão vazio (Pesagem 1)</w:t>
            </w:r>
          </w:p>
        </w:tc>
      </w:tr>
      <w:tr>
        <w:tc>
          <w:tcPr>
            <w:tcW w:type="dxa" w:w="4320"/>
          </w:tcPr>
          <w:p>
            <w:r>
              <w:t>PesoBruto</w:t>
            </w:r>
          </w:p>
        </w:tc>
        <w:tc>
          <w:tcPr>
            <w:tcW w:type="dxa" w:w="4320"/>
          </w:tcPr>
          <w:p>
            <w:r>
              <w:t>Peso do caminhão cheio (Pesagem 2)</w:t>
            </w:r>
          </w:p>
        </w:tc>
      </w:tr>
      <w:tr>
        <w:tc>
          <w:tcPr>
            <w:tcW w:type="dxa" w:w="4320"/>
          </w:tcPr>
          <w:p>
            <w:r>
              <w:t>PesoLiquido</w:t>
            </w:r>
          </w:p>
        </w:tc>
        <w:tc>
          <w:tcPr>
            <w:tcW w:type="dxa" w:w="4320"/>
          </w:tcPr>
          <w:p>
            <w:r>
              <w:t>Bruto − Tara — sempre calculado, nunca digitado</w:t>
            </w:r>
          </w:p>
        </w:tc>
      </w:tr>
      <w:tr>
        <w:tc>
          <w:tcPr>
            <w:tcW w:type="dxa" w:w="4320"/>
          </w:tcPr>
          <w:p>
            <w:r>
              <w:t>TrilhaAuditoria</w:t>
            </w:r>
          </w:p>
        </w:tc>
        <w:tc>
          <w:tcPr>
            <w:tcW w:type="dxa" w:w="4320"/>
          </w:tcPr>
          <w:p>
            <w:r>
              <w:t>Log imutável append-only de cada ação no ticket</w:t>
            </w:r>
          </w:p>
        </w:tc>
      </w:tr>
      <w:tr>
        <w:tc>
          <w:tcPr>
            <w:tcW w:type="dxa" w:w="4320"/>
          </w:tcPr>
          <w:p>
            <w:r>
              <w:t>Divergencia</w:t>
            </w:r>
          </w:p>
        </w:tc>
        <w:tc>
          <w:tcPr>
            <w:tcW w:type="dxa" w:w="4320"/>
          </w:tcPr>
          <w:p>
            <w:r>
              <w:t>Status de bloqueio quando peso é inválido ou inconsistente</w:t>
            </w:r>
          </w:p>
        </w:tc>
      </w:tr>
      <w:tr>
        <w:tc>
          <w:tcPr>
            <w:tcW w:type="dxa" w:w="4320"/>
          </w:tcPr>
          <w:p>
            <w:r>
              <w:t>ModoOffline</w:t>
            </w:r>
          </w:p>
        </w:tc>
        <w:tc>
          <w:tcPr>
            <w:tcW w:type="dxa" w:w="4320"/>
          </w:tcPr>
          <w:p>
            <w:r>
              <w:t>Operação local sem internet com sync automático ao reconectar</w:t>
            </w:r>
          </w:p>
        </w:tc>
      </w:tr>
      <w:tr>
        <w:tc>
          <w:tcPr>
            <w:tcW w:type="dxa" w:w="4320"/>
          </w:tcPr>
          <w:p>
            <w:r>
              <w:t>ContratoSAP</w:t>
            </w:r>
          </w:p>
        </w:tc>
        <w:tc>
          <w:tcPr>
            <w:tcW w:type="dxa" w:w="4320"/>
          </w:tcPr>
          <w:p>
            <w:r>
              <w:t>Vínculo que valida placa, produto e quantidade na entrada</w:t>
            </w:r>
          </w:p>
        </w:tc>
      </w:tr>
    </w:tbl>
    <w:p/>
    <w:p>
      <w:pPr>
        <w:pStyle w:val="Heading1"/>
      </w:pPr>
      <w:r>
        <w:rPr>
          <w:color w:val="1F497D"/>
        </w:rPr>
        <w:t>10. Pontos de Atenção para a Sessão 2</w:t>
      </w:r>
    </w:p>
    <w:p>
      <w:r>
        <w:rPr>
          <w:b/>
        </w:rPr>
        <w:t xml:space="preserve">Integração com balança física: </w:t>
      </w:r>
      <w:r>
        <w:t>O protocolo de comunicação com o sensor precisa ser confirmado com a SLC (RS-232, TCP/IP, Modbus?). Marcar como dependência de hardware na especificação.</w:t>
      </w:r>
    </w:p>
    <w:p>
      <w:r>
        <w:rPr>
          <w:b/>
        </w:rPr>
        <w:t xml:space="preserve">Integração SEFAZ para DANFe/CTe: </w:t>
      </w:r>
      <w:r>
        <w:t>Emissão automática depende de certificado digital da SLC no ambiente SEFAZ. Verificar se já está configurado no SAP.</w:t>
      </w:r>
    </w:p>
    <w:p>
      <w:r>
        <w:rPr>
          <w:b/>
        </w:rPr>
        <w:t xml:space="preserve">Contratos SAP como fonte de dados: </w:t>
      </w:r>
      <w:r>
        <w:t>Definir como o sistema busca contratos ativos — API SAP, OData ou replicação para HANA.</w:t>
      </w:r>
    </w:p>
    <w:p>
      <w:r>
        <w:rPr>
          <w:b/>
        </w:rPr>
        <w:t xml:space="preserve">Modo offline — escopo do protótipo: </w:t>
      </w:r>
      <w:r>
        <w:t>Definir o que será implementado vs. simulado no pitch. Sugestão: offline real para Pesagem 1 e 2; sincronização demonstrável.</w:t>
      </w:r>
    </w:p>
    <w:p>
      <w:r>
        <w:rPr>
          <w:b/>
        </w:rPr>
        <w:t xml:space="preserve">Aprovação de divergência: </w:t>
      </w:r>
      <w:r>
        <w:t>Fluxo de divergência é diferencial de governança para o pitch — implementar mesmo que simplificado.</w:t>
      </w:r>
    </w:p>
    <w:p>
      <w:pPr>
        <w:pStyle w:val="Heading1"/>
      </w:pPr>
      <w:r>
        <w:rPr>
          <w:color w:val="1F497D"/>
        </w:rPr>
        <w:t>11. Próximos Passos — Sessão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Artefato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</w:rPr>
              <w:t>Agente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User Stories com critérios de aceite</w:t>
            </w:r>
          </w:p>
        </w:tc>
        <w:tc>
          <w:tcPr>
            <w:tcW w:type="dxa" w:w="2880"/>
          </w:tcPr>
          <w:p>
            <w:r>
              <w:t>NEXUS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API Contracts (endpoints principais)</w:t>
            </w:r>
          </w:p>
        </w:tc>
        <w:tc>
          <w:tcPr>
            <w:tcW w:type="dxa" w:w="2880"/>
          </w:tcPr>
          <w:p>
            <w:r>
              <w:t>NEXUS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Especificação técnica (product spec)</w:t>
            </w:r>
          </w:p>
        </w:tc>
        <w:tc>
          <w:tcPr>
            <w:tcW w:type="dxa" w:w="2880"/>
          </w:tcPr>
          <w:p>
            <w:r>
              <w:t>NEXUS + PRISM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Test Scenarios + Validation Matrix</w:t>
            </w:r>
          </w:p>
        </w:tc>
        <w:tc>
          <w:tcPr>
            <w:tcW w:type="dxa" w:w="2880"/>
          </w:tcPr>
          <w:p>
            <w:r>
              <w:t>FORGE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Revisão S2</w:t>
            </w:r>
          </w:p>
        </w:tc>
        <w:tc>
          <w:tcPr>
            <w:tcW w:type="dxa" w:w="2880"/>
          </w:tcPr>
          <w:p>
            <w:r>
              <w:t>LENS</w:t>
            </w:r>
          </w:p>
        </w:tc>
      </w:tr>
    </w:tbl>
    <w:p/>
    <w:p>
      <w:r>
        <w:rPr>
          <w:b w:val="0"/>
          <w:i/>
          <w:sz w:val="22"/>
        </w:rPr>
        <w:t>Para iniciar a Sessão 2, diga "sessão 2" ou "vamos especificar".</w:t>
      </w:r>
    </w:p>
    <w:p/>
    <w:p>
      <w:pPr>
        <w:jc w:val="center"/>
      </w:pPr>
      <w:r>
        <w:rPr>
          <w:i/>
          <w:color w:val="999999"/>
          <w:sz w:val="18"/>
        </w:rPr>
        <w:t>WeighBridge 360 · SLC Agrícola · Spark Sessions · Sessão 1 de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