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</w:t>
      </w:r>
    </w:p>
    <w:p>
      <w:pPr>
        <w:pStyle w:val="Heading2"/>
      </w:pPr>
      <w:r>
        <w:t>1.1 Demo section</w:t>
      </w:r>
    </w:p>
    <w:p>
      <w:r>
        <w:t>第一章引用本节文献[1-2]。</w:t>
      </w:r>
    </w:p>
    <w:p>
      <w:pPr>
        <w:pStyle w:val="Heading1"/>
      </w:pPr>
      <w:r>
        <w:t>第二章</w:t>
      </w:r>
    </w:p>
    <w:p>
      <w:r>
        <w:t>第二章引用[3-4]，并复用[2]。</w:t>
      </w:r>
    </w:p>
    <w:p>
      <w:r>
        <w:t>组合引用[4][2]需要保留顺序。</w:t>
      </w:r>
    </w:p>
    <w:p>
      <w:pPr>
        <w:pStyle w:val="Heading1"/>
      </w:pPr>
      <w:r>
        <w:t>参考文献</w:t>
      </w:r>
    </w:p>
    <w:p>
      <w:pPr/>
      <w:r>
        <w:t>[1] Demo Org. Alpha sensing route[J]. Demo Journal, 2024.</w:t>
      </w:r>
    </w:p>
    <w:p>
      <w:pPr/>
      <w:r>
        <w:t>[2] ITU-T. Q.4144: Signalling requirements for cross-operator service orchestration in computing power networks[EB/OL]. 2025-04-13.</w:t>
      </w:r>
    </w:p>
    <w:p>
      <w:pPr/>
      <w:r>
        <w:t>[3] Demo Lab. Beta routing[J]. Demo Journal, 2025.</w:t>
      </w:r>
    </w:p>
    <w:p>
      <w:pPr/>
      <w:r>
        <w:t>[4] Demo Alliance. Gamma compute[R/OL]. 2024.</w:t>
      </w:r>
    </w:p>
    <w:p>
      <w:pPr>
        <w:pStyle w:val="Heading1"/>
      </w:pPr>
      <w:r>
        <w:t>致谢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