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2FDC" w14:textId="10D38DDD" w:rsidR="00EC3459" w:rsidRDefault="00CB56EA" w:rsidP="00CB56EA">
      <w:pPr>
        <w:jc w:val="center"/>
        <w:rPr>
          <w:u w:val="single"/>
        </w:rPr>
      </w:pPr>
      <w:r>
        <w:rPr>
          <w:u w:val="single"/>
        </w:rPr>
        <w:t>Write-up Outline</w:t>
      </w:r>
    </w:p>
    <w:p w14:paraId="1EF61E52" w14:textId="394514F4" w:rsidR="00CB56EA" w:rsidRDefault="00EA2962" w:rsidP="00EA2962">
      <w:pPr>
        <w:pStyle w:val="ListParagraph"/>
        <w:numPr>
          <w:ilvl w:val="0"/>
          <w:numId w:val="1"/>
        </w:numPr>
      </w:pPr>
      <w:r>
        <w:t>Why is Wagner important to study?</w:t>
      </w:r>
    </w:p>
    <w:p w14:paraId="2A419EF9" w14:textId="47F0AA68" w:rsidR="00042A71" w:rsidRDefault="00042A71" w:rsidP="00042A71">
      <w:r w:rsidRPr="00042A71">
        <w:t>We selected the Wagner Group as a matter of importance because it represents one of the most influential private military security contractors in the world. Acting as arm of Russia’s geopolitical goals, the Wagner Group remains a consistent actor is numerous states across three different continents. Yet, the identity and classification of the Wagner Group remains largely unexamined across the academic literature. The Wagner Group creates a hole in the literature on how we understand the role of PMSCs by sovereign states. The Central African Republic represents an important case study to understand the Wagner Group’s relationship with Russia as well as an African state on the continent with their greatest influence. For the past decade, Russia has increasingly used the Wagner Group as a means of establishing government relations in CAR and as a means to collect black market resources. Yet, the Wagner Group is responsible for multiple atrocities and failures in duty leading us to ask…..</w:t>
      </w:r>
    </w:p>
    <w:p w14:paraId="6905B92F" w14:textId="4A99988B" w:rsidR="00EA2962" w:rsidRDefault="00EA2962" w:rsidP="00EA2962">
      <w:pPr>
        <w:pStyle w:val="ListParagraph"/>
        <w:numPr>
          <w:ilvl w:val="0"/>
          <w:numId w:val="1"/>
        </w:numPr>
      </w:pPr>
      <w:r>
        <w:t>Research question and interestingness</w:t>
      </w:r>
    </w:p>
    <w:p w14:paraId="017DED4F" w14:textId="07466965" w:rsidR="00B3399F" w:rsidRDefault="00B3399F" w:rsidP="00EA2962">
      <w:pPr>
        <w:pStyle w:val="ListParagraph"/>
        <w:numPr>
          <w:ilvl w:val="0"/>
          <w:numId w:val="1"/>
        </w:numPr>
      </w:pPr>
      <w:r>
        <w:t>Lit review</w:t>
      </w:r>
    </w:p>
    <w:p w14:paraId="33460B47" w14:textId="037B0C20" w:rsidR="00816F27" w:rsidRDefault="00816F27" w:rsidP="00816F27">
      <w:pPr>
        <w:pStyle w:val="ListParagraph"/>
        <w:numPr>
          <w:ilvl w:val="1"/>
          <w:numId w:val="1"/>
        </w:numPr>
      </w:pPr>
      <w:r>
        <w:t>Journal articles</w:t>
      </w:r>
    </w:p>
    <w:p w14:paraId="228CDDF3" w14:textId="62F866A7" w:rsidR="00816F27" w:rsidRDefault="00816F27" w:rsidP="00816F27">
      <w:pPr>
        <w:pStyle w:val="ListParagraph"/>
        <w:numPr>
          <w:ilvl w:val="2"/>
          <w:numId w:val="1"/>
        </w:numPr>
      </w:pPr>
      <w:r>
        <w:t xml:space="preserve">Only one </w:t>
      </w:r>
      <w:r w:rsidR="0044194B">
        <w:t>article really covering Wagner in-depth</w:t>
      </w:r>
    </w:p>
    <w:p w14:paraId="6E86FE77" w14:textId="3C9BAB27" w:rsidR="00061A8E" w:rsidRDefault="003165C4" w:rsidP="00061A8E">
      <w:pPr>
        <w:pStyle w:val="ListParagraph"/>
        <w:numPr>
          <w:ilvl w:val="3"/>
          <w:numId w:val="1"/>
        </w:numPr>
      </w:pPr>
      <w:r>
        <w:fldChar w:fldCharType="begin"/>
      </w:r>
      <w:r>
        <w:instrText xml:space="preserve"> ADDIN ZOTERO_ITEM CSL_CITATION {"citationID":"om5Rh7Sq","properties":{"formattedCitation":"(Marten, 2019)","plainCitation":"(Marten, 2019)","noteIndex":0},"citationItems":[{"id":497,"uris":["http://zotero.org/groups/4422580/items/BEVE38PW"],"uri":["http://zotero.org/groups/4422580/items/BEVE38PW"],"itemData":{"id":497,"type":"article-journal","abstract":"This article provides a deﬁnitive, in-depth case-study, using primarily Russian sources, of Russia’s use of the informal “Wagner Group” private military company (PMC) and its antecedents (from 2012 to 2018) in Nigeria, Crimea and Eastern Ukraine, Syria, Sudan, and the Central African Republic. It explores why Russia has used this group without legalizing its existence or role. While Wagner is sometimes used in the same ways that other rational states use PMCs, corrupt informal networks tied to the Russian regime have also used it in ways that are not typical of other strong states and that potentially undermine Russian security interests. Understanding the Wagner Group is interesting for comparative academic studies of PMCs, because Wagner doesn’t ﬁt well any existing PMC category or template in the literature. It is also crucial for US and allied policy analysts attempting to attribute “Russian” actions in foreign theaters.","container-title":"Post-Soviet Affairs","DOI":"10.1080/1060586X.2019.1591142","ISSN":"1060-586X, 1938-2855","issue":"3","journalAbbreviation":"Post-Soviet Affairs","language":"en","page":"181-204","source":"DOI.org (Crossref)","title":"Russia’s use of semi-state security forces: the case of the Wagner Group","title-short":"Russia’s use of semi-state security forces","volume":"35","author":[{"family":"Marten","given":"Kimberly"}],"issued":{"date-parts":[["2019",5,4]]}}}],"schema":"https://github.com/citation-style-language/schema/raw/master/csl-citation.json"} </w:instrText>
      </w:r>
      <w:r>
        <w:fldChar w:fldCharType="separate"/>
      </w:r>
      <w:r w:rsidRPr="003165C4">
        <w:rPr>
          <w:rFonts w:ascii="Calibri" w:hAnsi="Calibri" w:cs="Calibri"/>
        </w:rPr>
        <w:t>(Marten, 2019)</w:t>
      </w:r>
      <w:r>
        <w:fldChar w:fldCharType="end"/>
      </w:r>
    </w:p>
    <w:p w14:paraId="3B01D820" w14:textId="746DA1BB" w:rsidR="003165C4" w:rsidRDefault="003165C4" w:rsidP="003165C4">
      <w:pPr>
        <w:pStyle w:val="ListParagraph"/>
        <w:numPr>
          <w:ilvl w:val="4"/>
          <w:numId w:val="1"/>
        </w:numPr>
      </w:pPr>
      <w:r>
        <w:t xml:space="preserve">Research question: </w:t>
      </w:r>
      <w:r w:rsidRPr="003165C4">
        <w:t>Why is Russia using the Wagner group without “legalizing its existence or role?” (abs)</w:t>
      </w:r>
    </w:p>
    <w:p w14:paraId="2CE267DD" w14:textId="703C8B72" w:rsidR="00A67EAD" w:rsidRDefault="00AA3C7E" w:rsidP="00A67EAD">
      <w:pPr>
        <w:pStyle w:val="ListParagraph"/>
        <w:numPr>
          <w:ilvl w:val="4"/>
          <w:numId w:val="1"/>
        </w:numPr>
      </w:pPr>
      <w:r>
        <w:t xml:space="preserve">Case-study </w:t>
      </w:r>
      <w:r w:rsidR="00AE3C64">
        <w:t>research</w:t>
      </w:r>
    </w:p>
    <w:p w14:paraId="5DBE8D46" w14:textId="31CB5A8B" w:rsidR="006950AE" w:rsidRDefault="006950AE" w:rsidP="00A67EAD">
      <w:pPr>
        <w:pStyle w:val="ListParagraph"/>
        <w:numPr>
          <w:ilvl w:val="4"/>
          <w:numId w:val="1"/>
        </w:numPr>
      </w:pPr>
      <w:r>
        <w:t>Main argument:</w:t>
      </w:r>
      <w:r w:rsidR="004844DA">
        <w:t xml:space="preserve"> Wagner is often used in the same way that other states use PMCs, “</w:t>
      </w:r>
      <w:r w:rsidR="004844DA" w:rsidRPr="00D12507">
        <w:t>corrupt informal networks tied to the Russian regime have also used it in ways that are not typical of other strong states and that potentially undermine Russian security interests</w:t>
      </w:r>
      <w:r w:rsidR="004844DA">
        <w:t>” (abs)</w:t>
      </w:r>
      <w:r w:rsidR="00C41A10">
        <w:t xml:space="preserve">. Moscow uses Wagner </w:t>
      </w:r>
      <w:r w:rsidR="00E7294A">
        <w:t xml:space="preserve">in the way we expect, i.e., for purposes of plausible deniability, but </w:t>
      </w:r>
      <w:r w:rsidR="00D04F33">
        <w:t xml:space="preserve">this purpose likely no longer works because </w:t>
      </w:r>
      <w:r w:rsidR="00152759">
        <w:t xml:space="preserve">of how much Wagner has been in the news. Instead, Marten argues, Putin uses Wagner because their technical </w:t>
      </w:r>
      <w:r w:rsidR="00E46DF9">
        <w:t>il</w:t>
      </w:r>
      <w:r w:rsidR="00152759">
        <w:t xml:space="preserve">legal status inside of Russia allows him to control the group and impose state sanctions if they do not listen to him. </w:t>
      </w:r>
    </w:p>
    <w:p w14:paraId="615D6521" w14:textId="159CC86A" w:rsidR="0046070E" w:rsidRDefault="0046070E" w:rsidP="00A67EAD">
      <w:pPr>
        <w:pStyle w:val="ListParagraph"/>
        <w:numPr>
          <w:ilvl w:val="4"/>
          <w:numId w:val="1"/>
        </w:numPr>
      </w:pPr>
      <w:r>
        <w:t xml:space="preserve">Mentions constructivism, saying Russia should legalize PMCs and sign the </w:t>
      </w:r>
      <w:proofErr w:type="spellStart"/>
      <w:r>
        <w:t>Montreaux</w:t>
      </w:r>
      <w:proofErr w:type="spellEnd"/>
      <w:r>
        <w:t xml:space="preserve"> document to reinforce its membership in the great power club that uses PMCs legally</w:t>
      </w:r>
    </w:p>
    <w:p w14:paraId="3AC15271" w14:textId="5BA966D2" w:rsidR="00E0099A" w:rsidRDefault="00E0099A" w:rsidP="00A67EAD">
      <w:pPr>
        <w:pStyle w:val="ListParagraph"/>
        <w:numPr>
          <w:ilvl w:val="4"/>
          <w:numId w:val="1"/>
        </w:numPr>
      </w:pPr>
      <w:r>
        <w:t>Sovereignty implications</w:t>
      </w:r>
    </w:p>
    <w:p w14:paraId="19339DB5" w14:textId="5697EFE5" w:rsidR="00190E4E" w:rsidRDefault="00190E4E" w:rsidP="00190E4E">
      <w:pPr>
        <w:pStyle w:val="ListParagraph"/>
        <w:numPr>
          <w:ilvl w:val="5"/>
          <w:numId w:val="1"/>
        </w:numPr>
      </w:pPr>
      <w:r>
        <w:t>“</w:t>
      </w:r>
      <w:r w:rsidRPr="007509DC">
        <w:t>That kind of blurring has been frequently practiced by corrupt post-colonial regimes, but it is not expected of today’s great powers who have strong civilian control over their military forces</w:t>
      </w:r>
      <w:r>
        <w:t>”</w:t>
      </w:r>
      <w:r w:rsidR="00520D20">
        <w:t xml:space="preserve"> (198)</w:t>
      </w:r>
    </w:p>
    <w:p w14:paraId="0CDA73D6" w14:textId="54C02D56" w:rsidR="00A65E13" w:rsidRDefault="00190E4E" w:rsidP="0034700E">
      <w:pPr>
        <w:pStyle w:val="ListParagraph"/>
        <w:numPr>
          <w:ilvl w:val="5"/>
          <w:numId w:val="1"/>
        </w:numPr>
      </w:pPr>
      <w:r>
        <w:rPr>
          <w:b/>
          <w:bCs/>
          <w:i/>
          <w:iCs/>
        </w:rPr>
        <w:t>Maybe we could make the case that Wagner and other are disrupting or hurting Russian sovereignty?</w:t>
      </w:r>
    </w:p>
    <w:p w14:paraId="6B980D3D" w14:textId="7C0194F5" w:rsidR="00AA5AD8" w:rsidRDefault="00AA5AD8" w:rsidP="00AA5AD8">
      <w:pPr>
        <w:pStyle w:val="ListParagraph"/>
        <w:numPr>
          <w:ilvl w:val="2"/>
          <w:numId w:val="1"/>
        </w:numPr>
      </w:pPr>
      <w:r>
        <w:t>Various other articles mentioning Wagner</w:t>
      </w:r>
    </w:p>
    <w:p w14:paraId="63BC7FDA" w14:textId="6943C372" w:rsidR="00AA5AD8" w:rsidRDefault="008A2BD8" w:rsidP="00AA5AD8">
      <w:pPr>
        <w:pStyle w:val="ListParagraph"/>
        <w:numPr>
          <w:ilvl w:val="3"/>
          <w:numId w:val="1"/>
        </w:numPr>
      </w:pPr>
      <w:r>
        <w:t>Poli-sci lens</w:t>
      </w:r>
    </w:p>
    <w:p w14:paraId="67ADD5FC" w14:textId="6352000B" w:rsidR="00A425B6" w:rsidRDefault="00A12087" w:rsidP="00A425B6">
      <w:pPr>
        <w:pStyle w:val="ListParagraph"/>
        <w:numPr>
          <w:ilvl w:val="4"/>
          <w:numId w:val="1"/>
        </w:numPr>
      </w:pPr>
      <w:r>
        <w:fldChar w:fldCharType="begin"/>
      </w:r>
      <w:r>
        <w:instrText xml:space="preserve"> ADDIN ZOTERO_ITEM CSL_CITATION {"citationID":"EZvGbSvi","properties":{"formattedCitation":"(\\uc0\\u216{}stensen &amp; Bukkvoll, 2021)","plainCitation":"(Østensen &amp; Bukkvoll, 2021)","noteIndex":0},"citationItems":[{"id":423,"uris":["http://zotero.org/groups/4422580/items/MRKTQRT9"],"uri":["http://zotero.org/groups/4422580/items/MRKTQRT9"],"itemData":{"id":423,"type":"article-journal","abstract":"In a situation where the Russian national self-image and economic realities fail to add up, this article discusses whether Russian private military companies have become low-cost tools to restore Russian great power status. Our findings suggest that whenever these companies are used in a ‘power as outcome’ way, they appear less successful at adding great power status on the cheap and less useful at elite enrichment. In contrast, PMCs seem well suited to make power contributions, and for a low cost, in a ‘power as prestige’ way. In these settings they are also more suitable instruments for informal elite earnings.","container-title":"Small Wars &amp; Insurgencies","DOI":"10.1080/09592318.2021.1984709","ISSN":"0959-2318","issue":"0","note":"publisher: Routledge\n_eprint: https://doi.org/10.1080/09592318.2021.1984709","page":"1-22","source":"Taylor and Francis+NEJM","title":"Private military companies – Russian great power politics on the cheap?","volume":"0","author":[{"family":"Østensen","given":"Åse Gilje"},{"family":"Bukkvoll","given":"Tor"}],"issued":{"date-parts":[["2021",9,29]]}}}],"schema":"https://github.com/citation-style-language/schema/raw/master/csl-citation.json"} </w:instrText>
      </w:r>
      <w:r>
        <w:fldChar w:fldCharType="separate"/>
      </w:r>
      <w:r w:rsidRPr="00A12087">
        <w:rPr>
          <w:rFonts w:ascii="Calibri" w:hAnsi="Calibri" w:cs="Calibri"/>
          <w:szCs w:val="24"/>
        </w:rPr>
        <w:t>(Østensen &amp; Bukkvoll, 2021)</w:t>
      </w:r>
      <w:r>
        <w:fldChar w:fldCharType="end"/>
      </w:r>
    </w:p>
    <w:p w14:paraId="5BD889E0" w14:textId="05B82EDF" w:rsidR="00372CAB" w:rsidRDefault="009A2574" w:rsidP="00372CAB">
      <w:pPr>
        <w:pStyle w:val="ListParagraph"/>
        <w:numPr>
          <w:ilvl w:val="5"/>
          <w:numId w:val="1"/>
        </w:numPr>
      </w:pPr>
      <w:r>
        <w:t>Research question: Can Russia use PMCs as a tool to “increase respect for its great power status at a low financial cost?” (13)</w:t>
      </w:r>
    </w:p>
    <w:p w14:paraId="05EAC701" w14:textId="2140982B" w:rsidR="0039778F" w:rsidRDefault="0039778F" w:rsidP="0039778F">
      <w:pPr>
        <w:pStyle w:val="ListParagraph"/>
        <w:numPr>
          <w:ilvl w:val="6"/>
          <w:numId w:val="1"/>
        </w:numPr>
      </w:pPr>
      <w:r>
        <w:t>Also asks whether PMCs are just ways for elites to make more money</w:t>
      </w:r>
    </w:p>
    <w:p w14:paraId="461A7526" w14:textId="0ED2723C" w:rsidR="00185B37" w:rsidRDefault="00185B37" w:rsidP="00185B37">
      <w:pPr>
        <w:pStyle w:val="ListParagraph"/>
        <w:numPr>
          <w:ilvl w:val="5"/>
          <w:numId w:val="1"/>
        </w:numPr>
      </w:pPr>
      <w:r>
        <w:t>Answer</w:t>
      </w:r>
      <w:r w:rsidR="00067784">
        <w:t>:</w:t>
      </w:r>
    </w:p>
    <w:p w14:paraId="3A751667" w14:textId="3A284C02" w:rsidR="00067784" w:rsidRDefault="001664D1" w:rsidP="00067784">
      <w:pPr>
        <w:pStyle w:val="ListParagraph"/>
        <w:numPr>
          <w:ilvl w:val="6"/>
          <w:numId w:val="1"/>
        </w:numPr>
      </w:pPr>
      <w:r>
        <w:t>Often not cheaper as “war-fighting state proxies”</w:t>
      </w:r>
      <w:r w:rsidR="00D934EE">
        <w:t xml:space="preserve"> or as grey zone operators</w:t>
      </w:r>
      <w:r w:rsidR="002714A2">
        <w:t xml:space="preserve"> (</w:t>
      </w:r>
      <w:r w:rsidR="00C46C91">
        <w:t>14)</w:t>
      </w:r>
    </w:p>
    <w:p w14:paraId="36F8BE25" w14:textId="4A2A2877" w:rsidR="00C46C91" w:rsidRDefault="00C46C91" w:rsidP="00EE45EE">
      <w:pPr>
        <w:pStyle w:val="ListParagraph"/>
        <w:numPr>
          <w:ilvl w:val="6"/>
          <w:numId w:val="1"/>
        </w:numPr>
      </w:pPr>
      <w:r>
        <w:lastRenderedPageBreak/>
        <w:t xml:space="preserve">However, </w:t>
      </w:r>
      <w:r w:rsidR="00EE45EE">
        <w:t>when Russian PMCs are “engaged as security exports traded for strategic or economic access… their ability to increase Russian great power status on the cheap may be stronger” (</w:t>
      </w:r>
      <w:r w:rsidR="0029770C">
        <w:t>14</w:t>
      </w:r>
      <w:r w:rsidR="00EE45EE">
        <w:t>)</w:t>
      </w:r>
    </w:p>
    <w:p w14:paraId="4E5F421F" w14:textId="770C642A" w:rsidR="00381A12" w:rsidRDefault="00381A12" w:rsidP="00381A12">
      <w:pPr>
        <w:pStyle w:val="ListParagraph"/>
        <w:numPr>
          <w:ilvl w:val="5"/>
          <w:numId w:val="1"/>
        </w:numPr>
      </w:pPr>
      <w:r>
        <w:t>Strengthening Russian power projection?</w:t>
      </w:r>
    </w:p>
    <w:p w14:paraId="316BA35C" w14:textId="59B7D29A" w:rsidR="00381A12" w:rsidRDefault="00381A12" w:rsidP="00381A12">
      <w:pPr>
        <w:pStyle w:val="ListParagraph"/>
        <w:numPr>
          <w:ilvl w:val="6"/>
          <w:numId w:val="1"/>
        </w:numPr>
      </w:pPr>
      <w:r>
        <w:t>“</w:t>
      </w:r>
      <w:r w:rsidRPr="00381A12">
        <w:t>Such an engagement sends the message that Russia may be in the process of resurrecting its ability and will to project power globally, much to the reminiscence of the Soviet Union in the 1970s and 1980s. In this respect, PMCs play a significant and not very expensive part in this wider effort to strengthen Russian ‘power as prestige’</w:t>
      </w:r>
      <w:r>
        <w:t>”</w:t>
      </w:r>
      <w:r w:rsidR="00604CCE">
        <w:t xml:space="preserve"> (14)</w:t>
      </w:r>
    </w:p>
    <w:p w14:paraId="17169C18" w14:textId="439842C2" w:rsidR="00EF5AA6" w:rsidRDefault="00B246EA" w:rsidP="00DC501D">
      <w:pPr>
        <w:pStyle w:val="ListParagraph"/>
        <w:numPr>
          <w:ilvl w:val="4"/>
          <w:numId w:val="1"/>
        </w:numPr>
      </w:pPr>
      <w:r>
        <w:fldChar w:fldCharType="begin"/>
      </w:r>
      <w:r>
        <w:instrText xml:space="preserve"> ADDIN ZOTERO_ITEM CSL_CITATION {"citationID":"nhMy9DqT","properties":{"formattedCitation":"(Karagiannis, 2021)","plainCitation":"(Karagiannis, 2021)","noteIndex":0},"citationItems":[{"id":500,"uris":["http://zotero.org/groups/4422580/items/HHC3D39E"],"uri":["http://zotero.org/groups/4422580/items/HHC3D39E"],"itemData":{"id":500,"type":"article-journal","abstract":"Russia has traditionally maintained a large army to defend its borders. Now there is evidence that the Kremlin has utilized proxy militias and private military companies to launch operations abroad. The article will focus on the Russian interventions in Ukraine and Syria. It will claim that there are three reasons for the use of surrogate forces. Domestic developments, including new social attitudes, can explain why the Kremlin has been keen to hide casualties from the public. Concerns over legal and reputation repercussions mean that Moscow wants to minimize the Russian footprint in both countries. Finally, the use of militias and private contractors has certain military advantages for the Russian side.","container-title":"Journal of Balkan and Near Eastern Studies","DOI":"10.1080/19448953.2021.1888603","ISSN":"1944-8953, 1944-8961","issue":"4","journalAbbreviation":"Journal of Balkan and Near Eastern Studies","language":"en","page":"549-565","source":"DOI.org (Crossref)","title":"Russian Surrogate Warfare in Ukraine and Syria: Understanding the Utility of Militias and Private Military Companies","title-short":"Russian Surrogate Warfare in Ukraine and Syria","volume":"23","author":[{"family":"Karagiannis","given":"Emmanuel"}],"issued":{"date-parts":[["2021",7,4]]}}}],"schema":"https://github.com/citation-style-language/schema/raw/master/csl-citation.json"} </w:instrText>
      </w:r>
      <w:r>
        <w:fldChar w:fldCharType="separate"/>
      </w:r>
      <w:r w:rsidRPr="00B246EA">
        <w:rPr>
          <w:rFonts w:ascii="Calibri" w:hAnsi="Calibri" w:cs="Calibri"/>
        </w:rPr>
        <w:t>(Karagiannis, 2021)</w:t>
      </w:r>
      <w:r>
        <w:fldChar w:fldCharType="end"/>
      </w:r>
    </w:p>
    <w:p w14:paraId="4345E484" w14:textId="71FCA335" w:rsidR="00B246EA" w:rsidRDefault="0015179E" w:rsidP="00B246EA">
      <w:pPr>
        <w:pStyle w:val="ListParagraph"/>
        <w:numPr>
          <w:ilvl w:val="5"/>
          <w:numId w:val="1"/>
        </w:numPr>
      </w:pPr>
      <w:r>
        <w:t>Tries to explain why Russia uses PMCs &amp; militias, specifically in a case study of Ukraine &amp; Syria</w:t>
      </w:r>
    </w:p>
    <w:p w14:paraId="040E101C" w14:textId="649F6FB7" w:rsidR="0029526D" w:rsidRDefault="0029526D" w:rsidP="0029526D">
      <w:pPr>
        <w:pStyle w:val="ListParagraph"/>
        <w:numPr>
          <w:ilvl w:val="6"/>
          <w:numId w:val="1"/>
        </w:numPr>
      </w:pPr>
      <w:r>
        <w:t>Answer: Russia uses them to minimize casualties (since the public is now sensitive to them), concerns over legal and reputational costs of direct Russian interference, and military advantages afforded by PMCs &amp; militias</w:t>
      </w:r>
      <w:r w:rsidR="00AD540E">
        <w:t xml:space="preserve"> </w:t>
      </w:r>
    </w:p>
    <w:p w14:paraId="520C0736" w14:textId="2FE59F22" w:rsidR="00DC501D" w:rsidRDefault="00E677E4" w:rsidP="00DC501D">
      <w:pPr>
        <w:pStyle w:val="ListParagraph"/>
        <w:numPr>
          <w:ilvl w:val="4"/>
          <w:numId w:val="1"/>
        </w:numPr>
      </w:pPr>
      <w:r>
        <w:fldChar w:fldCharType="begin"/>
      </w:r>
      <w:r>
        <w:instrText xml:space="preserve"> ADDIN ZOTERO_ITEM CSL_CITATION {"citationID":"2S29Ugpf","properties":{"formattedCitation":"(Giedraitis, 2020)","plainCitation":"(Giedraitis, 2020)","noteIndex":0},"citationItems":[{"id":499,"uris":["http://zotero.org/groups/4422580/items/CG4635WR"],"uri":["http://zotero.org/groups/4422580/items/CG4635WR"],"itemData":{"id":499,"type":"article-journal","abstract":"Countries are changing their military measures and strategies, thus they increasingly recruit private military and security companies or private military companies to pursue their interests instead of their regular forces. The aim of the research article is to reveal the motives and features of the use of private military companies in Russia’s foreign and security policy of 2014–2019. The novelty and relevance of the research object have prompted the use of the microtheory, i.e., the principal-agent theory, the application of which in political sciences has started just recently. It provides the basis for the assessment of the motives and features which led to recruitment of private military companies for the purposes of Russia’s foreign and security policy. The qualitative research method was selected in order to achieve this aim: the case analysis method was applied for the purpose of selection of the cases, i.e., regions: Syria, North-East and Central Africa, Ukraine, and Venezuela, focussing on the analysis of the factors which led to Russia’s decision to recruit private military companies instead of the regular forces.\nBased on the analysis of the motives for using private military companies and conventional forces, we may claim that they are similar, because the use of both military structures enables achieving somewhat the same interests. Nevertheless, it was noted that, based on the specifics of the forces and the chart encompassing the variety of social deviations, private military and security companies are more similar to the regular forces. Nevertheless, both types of private companies help Russia avoid direct liability for various violations of the law.\nThe factors explained in the microtheory are adjusted, expanded, and correlated by taking into account the case of Russia analysed within the course of the research. The analysis of the case of Russia also has shown that the Kremlin faced only one problem explained by the principal-agent theory, i.e., agency slack. The analysis has shown that not all regions located further away from Russia were useful in terms of finances, but all of them gave Russia advantage over the USA in respect of strategy.","container-title":"Lithuanian Annual Strategic Review","DOI":"10.47459/lasr.2020.18.6","ISSN":"1648-8024, 2335-870X","issue":"1","language":"en","note":"publisher: Generolo Jono Žemaičio Lietuvos karo akademija","page":"123-162","source":"journals.lka.lt","title":"Private Military Companies in the Foreign and Security Policy of the Russian Federation in 2014–2019","volume":"18","author":[{"family":"Giedraitis","given":"Aivaras"}],"issued":{"date-parts":[["2020",12,1]]}}}],"schema":"https://github.com/citation-style-language/schema/raw/master/csl-citation.json"} </w:instrText>
      </w:r>
      <w:r>
        <w:fldChar w:fldCharType="separate"/>
      </w:r>
      <w:r w:rsidRPr="00E677E4">
        <w:rPr>
          <w:rFonts w:ascii="Calibri" w:hAnsi="Calibri" w:cs="Calibri"/>
        </w:rPr>
        <w:t>(Giedraitis, 2020)</w:t>
      </w:r>
      <w:r>
        <w:fldChar w:fldCharType="end"/>
      </w:r>
    </w:p>
    <w:p w14:paraId="1109F434" w14:textId="79301047" w:rsidR="00EC4788" w:rsidRDefault="00EC4788" w:rsidP="00EC4788">
      <w:pPr>
        <w:pStyle w:val="ListParagraph"/>
        <w:numPr>
          <w:ilvl w:val="5"/>
          <w:numId w:val="1"/>
        </w:numPr>
      </w:pPr>
      <w:r>
        <w:t xml:space="preserve">Research question: </w:t>
      </w:r>
      <w:r w:rsidRPr="00EC4788">
        <w:t>Why is Russia using private military companies, especially in the context of 2014-19?</w:t>
      </w:r>
    </w:p>
    <w:p w14:paraId="43ED6AA1" w14:textId="31E1103F" w:rsidR="00744764" w:rsidRDefault="00744764" w:rsidP="00EC4788">
      <w:pPr>
        <w:pStyle w:val="ListParagraph"/>
        <w:numPr>
          <w:ilvl w:val="5"/>
          <w:numId w:val="1"/>
        </w:numPr>
      </w:pPr>
      <w:r>
        <w:t>Uses principal-agent theory to examine agency slack from Wagner group</w:t>
      </w:r>
    </w:p>
    <w:p w14:paraId="223903A6" w14:textId="1C3EEFE0" w:rsidR="00744764" w:rsidRDefault="00744764" w:rsidP="00744764">
      <w:pPr>
        <w:pStyle w:val="ListParagraph"/>
        <w:numPr>
          <w:ilvl w:val="5"/>
          <w:numId w:val="1"/>
        </w:numPr>
      </w:pPr>
      <w:r>
        <w:t xml:space="preserve">Examines the settings and time from </w:t>
      </w:r>
      <w:r w:rsidRPr="00744764">
        <w:t>“2014–2019 in the regions of Syria, North-East and Central Africa, Ukraine, and Venezuela” (125)</w:t>
      </w:r>
    </w:p>
    <w:p w14:paraId="3585305A" w14:textId="06EE4AC7" w:rsidR="006F11C3" w:rsidRDefault="006F11C3" w:rsidP="00744764">
      <w:pPr>
        <w:pStyle w:val="ListParagraph"/>
        <w:numPr>
          <w:ilvl w:val="5"/>
          <w:numId w:val="1"/>
        </w:numPr>
      </w:pPr>
      <w:r>
        <w:t xml:space="preserve">Pretty sloppy article, published in the </w:t>
      </w:r>
      <w:r w:rsidRPr="006F11C3">
        <w:rPr>
          <w:i/>
          <w:iCs/>
        </w:rPr>
        <w:t>Lithuanian Annual Strategic Review</w:t>
      </w:r>
    </w:p>
    <w:p w14:paraId="052F5012" w14:textId="0DE23726" w:rsidR="00AA5AD8" w:rsidRDefault="00AA5AD8" w:rsidP="00AA5AD8">
      <w:pPr>
        <w:pStyle w:val="ListParagraph"/>
        <w:numPr>
          <w:ilvl w:val="3"/>
          <w:numId w:val="1"/>
        </w:numPr>
      </w:pPr>
      <w:r>
        <w:t>Others are strategic comments and policy type papers</w:t>
      </w:r>
    </w:p>
    <w:p w14:paraId="3A6A54AB" w14:textId="3FE3C542" w:rsidR="006F11C3" w:rsidRDefault="00C02FE9" w:rsidP="006F11C3">
      <w:pPr>
        <w:pStyle w:val="ListParagraph"/>
        <w:numPr>
          <w:ilvl w:val="4"/>
          <w:numId w:val="1"/>
        </w:numPr>
      </w:pPr>
      <w:r>
        <w:fldChar w:fldCharType="begin"/>
      </w:r>
      <w:r>
        <w:instrText xml:space="preserve"> ADDIN ZOTERO_ITEM CSL_CITATION {"citationID":"asdFZBSR","properties":{"formattedCitation":"(\\uc0\\u8220{}Russia\\uc0\\u8217{}s Use of Its Private Military Companies,\\uc0\\u8221{} 2020)","plainCitation":"(“Russia’s Use of Its Private Military Companies,” 2020)","noteIndex":0},"citationItems":[{"id":498,"uris":["http://zotero.org/groups/4422580/items/KY9RJCXA"],"uri":["http://zotero.org/groups/4422580/items/KY9RJCXA"],"itemData":{"id":498,"type":"article-journal","container-title":"Strategic Comments","DOI":"10.1080/13567888.2020.1868812","ISSN":"1356-7888","issue":"10","journalAbbreviation":"Strategic Comments","language":"en","page":"vii-viii","source":"DOI.org (Crossref)","title":"Russia’s use of its private military companies","volume":"26","issued":{"date-parts":[["2020",11,25]]}}}],"schema":"https://github.com/citation-style-language/schema/raw/master/csl-citation.json"} </w:instrText>
      </w:r>
      <w:r>
        <w:fldChar w:fldCharType="separate"/>
      </w:r>
      <w:r w:rsidRPr="00C02FE9">
        <w:rPr>
          <w:rFonts w:ascii="Calibri" w:hAnsi="Calibri" w:cs="Calibri"/>
          <w:szCs w:val="24"/>
        </w:rPr>
        <w:t>(“Russia’s Use of Its Private Military Companies,” 2020)</w:t>
      </w:r>
      <w:r>
        <w:fldChar w:fldCharType="end"/>
      </w:r>
    </w:p>
    <w:p w14:paraId="20134D8B" w14:textId="23D6E26C" w:rsidR="00C90808" w:rsidRDefault="00527EBE" w:rsidP="00C90808">
      <w:pPr>
        <w:pStyle w:val="ListParagraph"/>
        <w:numPr>
          <w:ilvl w:val="5"/>
          <w:numId w:val="1"/>
        </w:numPr>
      </w:pPr>
      <w:r>
        <w:t xml:space="preserve">Short paper, </w:t>
      </w:r>
      <w:r w:rsidR="00297E15">
        <w:t>discusses some history and various reasons why they think Russia uses PMCs, i.e., because they’re cheaper, easier to use, and are deniable</w:t>
      </w:r>
    </w:p>
    <w:p w14:paraId="05B8FF90" w14:textId="7F14120C" w:rsidR="002109EB" w:rsidRDefault="008D37A7" w:rsidP="002109EB">
      <w:pPr>
        <w:pStyle w:val="ListParagraph"/>
        <w:numPr>
          <w:ilvl w:val="4"/>
          <w:numId w:val="1"/>
        </w:numPr>
      </w:pPr>
      <w:r>
        <w:fldChar w:fldCharType="begin"/>
      </w:r>
      <w:r>
        <w:instrText xml:space="preserve"> ADDIN ZOTERO_ITEM CSL_CITATION {"citationID":"jUvaMksB","properties":{"formattedCitation":"(Guzansky &amp; Marshall, 2021)","plainCitation":"(Guzansky &amp; Marshall, 2021)","noteIndex":0},"citationItems":[{"id":501,"uris":["http://zotero.org/groups/4422580/items/TA8NAEMQ"],"uri":["http://zotero.org/groups/4422580/items/TA8NAEMQ"],"itemData":{"id":501,"type":"article-journal","abstract":"The growing usage of mercenaries and proxies by Russia, Turkey, and the Arab Gulf states in ongoing Mediterranean conflicts such as the Libyan and Syrian civil wars highlight the changing state of warfare. It is no longer just about who has the most effective artillery, navy, or fighter jets. Instead, the future of warfare consists of battles fought by mercenaries and proxies, and is now a business too as evidenced by the usage of private military companies (PMCs). While it may initially seem appealing for the United States to use mercenaries and proxies in order to protect its regional interests and influence, there are considerable risks in employing both. Instead, other avenues such as establishing regional partners, implementing secur­ ity partnerships, and collaborating with allies may be more pragmatic options. Concerns should be raised regarding the evolving forms, trends, and manifesta­ tions of mercenary and proxy-related activities around the Mediterranean. These developments, we believe, have contributed to the exacerbation of the aforemen­ tioned conflicts and resulted in the Mediterranean becoming the global epicentre of mercenary and proxy warfare. How these intervening countries decide to act moving forward will determine the outcome of the ongoing Mediterranean conflicts.","container-title":"Mediterranean Politics","DOI":"10.1080/13629395.2021.1924402","ISSN":"1362-9395, 1743-9418","journalAbbreviation":"Mediterranean Politics","language":"en","page":"1-10","source":"DOI.org (Crossref)","title":"Outsourcing warfare in the Mediterranean","author":[{"family":"Guzansky","given":"Yoel"},{"family":"Marshall","given":"Zachary A."}],"issued":{"date-parts":[["2021",5,7]]}}}],"schema":"https://github.com/citation-style-language/schema/raw/master/csl-citation.json"} </w:instrText>
      </w:r>
      <w:r>
        <w:fldChar w:fldCharType="separate"/>
      </w:r>
      <w:r w:rsidRPr="008D37A7">
        <w:rPr>
          <w:rFonts w:ascii="Calibri" w:hAnsi="Calibri" w:cs="Calibri"/>
        </w:rPr>
        <w:t>(Guzansky &amp; Marshall, 2021)</w:t>
      </w:r>
      <w:r>
        <w:fldChar w:fldCharType="end"/>
      </w:r>
    </w:p>
    <w:p w14:paraId="40055FDA" w14:textId="56D23292" w:rsidR="008D37A7" w:rsidRDefault="00D45DB7" w:rsidP="00164B5C">
      <w:pPr>
        <w:pStyle w:val="ListParagraph"/>
        <w:numPr>
          <w:ilvl w:val="5"/>
          <w:numId w:val="1"/>
        </w:numPr>
      </w:pPr>
      <w:r>
        <w:t xml:space="preserve">Only slightly mentions Wagner, is mainly discussing the </w:t>
      </w:r>
      <w:proofErr w:type="spellStart"/>
      <w:r>
        <w:t>mediterannean</w:t>
      </w:r>
      <w:proofErr w:type="spellEnd"/>
      <w:r>
        <w:t xml:space="preserve"> and Russia’s role there</w:t>
      </w:r>
      <w:r w:rsidR="00164B5C">
        <w:t xml:space="preserve">, saying Russia uses Wagner because </w:t>
      </w:r>
      <w:r w:rsidR="00164B5C" w:rsidRPr="00164B5C">
        <w:t xml:space="preserve">“Deploying Wagner fighters gave the Russian army decisive ground </w:t>
      </w:r>
      <w:proofErr w:type="spellStart"/>
      <w:r w:rsidR="00164B5C" w:rsidRPr="00164B5C">
        <w:t>offencive</w:t>
      </w:r>
      <w:proofErr w:type="spellEnd"/>
      <w:r w:rsidR="00164B5C" w:rsidRPr="00164B5C">
        <w:t xml:space="preserve"> capabilities without affecting formal casualty statistics” (5)</w:t>
      </w:r>
    </w:p>
    <w:p w14:paraId="43AC5A2B" w14:textId="3152661E" w:rsidR="00816F27" w:rsidRDefault="00816F27" w:rsidP="00816F27">
      <w:pPr>
        <w:pStyle w:val="ListParagraph"/>
        <w:numPr>
          <w:ilvl w:val="1"/>
          <w:numId w:val="1"/>
        </w:numPr>
      </w:pPr>
      <w:r>
        <w:t>Policy articles</w:t>
      </w:r>
    </w:p>
    <w:p w14:paraId="412459A0" w14:textId="55FE8D41" w:rsidR="00AD540E" w:rsidRDefault="00AD540E" w:rsidP="00AD540E">
      <w:pPr>
        <w:pStyle w:val="ListParagraph"/>
        <w:numPr>
          <w:ilvl w:val="2"/>
          <w:numId w:val="1"/>
        </w:numPr>
      </w:pPr>
      <w:r>
        <w:t>These are very fact based and serve more as evidence for research than anything else</w:t>
      </w:r>
    </w:p>
    <w:p w14:paraId="217DD28D" w14:textId="3F58AC06" w:rsidR="00AD540E" w:rsidRDefault="00AD540E" w:rsidP="00AD540E">
      <w:pPr>
        <w:pStyle w:val="ListParagraph"/>
        <w:numPr>
          <w:ilvl w:val="2"/>
          <w:numId w:val="1"/>
        </w:numPr>
      </w:pPr>
      <w:r>
        <w:fldChar w:fldCharType="begin"/>
      </w:r>
      <w:r>
        <w:instrText xml:space="preserve"> ADDIN ZOTERO_ITEM CSL_CITATION {"citationID":"I1WCQ8Bo","properties":{"formattedCitation":"(Marten, 2019)","plainCitation":"(Marten, 2019)","noteIndex":0},"citationItems":[{"id":496,"uris":["http://zotero.org/groups/4422580/items/F8S936V4"],"uri":["http://zotero.org/groups/4422580/items/F8S936V4"],"itemData":{"id":496,"type":"webpage","abstract":"(PONARS Policy Memo) Yevgeny Prigozhin, the corrupt military contractor from St. Petersburg who funds the informal armed organization known as the Wagner Group, expanded his lucrative foreign adventures into Africa in 2018 with Russian state support. His fortunes continued to rise even after scores of his fighters were killed and…","container-title":"https://www.ponarseurasia.org/","language":"en_US","note":"section: Policy Memos | Аналитика","title":"Into Africa: Prigozhin, Wagner, and the Russian Military - PONARS Eurasia","title-short":"Into Africa","URL":"https://www.ponarseurasia.org/into-africa-prigozhin-wagner-and-the-russian-military/","author":[{"family":"Marten","given":"Kimberly"}],"accessed":{"date-parts":[["2022",2,6]]},"issued":{"date-parts":[["2019",1,4]]}}}],"schema":"https://github.com/citation-style-language/schema/raw/master/csl-citation.json"} </w:instrText>
      </w:r>
      <w:r>
        <w:fldChar w:fldCharType="separate"/>
      </w:r>
      <w:r w:rsidRPr="00AD540E">
        <w:rPr>
          <w:rFonts w:ascii="Calibri" w:hAnsi="Calibri" w:cs="Calibri"/>
        </w:rPr>
        <w:t>(Marten, 2019)</w:t>
      </w:r>
      <w:r>
        <w:fldChar w:fldCharType="end"/>
      </w:r>
    </w:p>
    <w:p w14:paraId="47CC4084" w14:textId="0544FCF0" w:rsidR="00A06001" w:rsidRDefault="000F7308" w:rsidP="00A06001">
      <w:pPr>
        <w:pStyle w:val="ListParagraph"/>
        <w:numPr>
          <w:ilvl w:val="3"/>
          <w:numId w:val="1"/>
        </w:numPr>
      </w:pPr>
      <w:r>
        <w:t xml:space="preserve">Article uses evidence from Russian, French, and African media sources about </w:t>
      </w:r>
      <w:proofErr w:type="spellStart"/>
      <w:r>
        <w:t>Prigozhin’s</w:t>
      </w:r>
      <w:proofErr w:type="spellEnd"/>
      <w:r>
        <w:t xml:space="preserve"> and Wagner’s 2018 activities.</w:t>
      </w:r>
    </w:p>
    <w:p w14:paraId="42CCA186" w14:textId="2720AA7E" w:rsidR="004568FB" w:rsidRDefault="006C1FCB" w:rsidP="006C1FCB">
      <w:pPr>
        <w:pStyle w:val="ListParagraph"/>
        <w:numPr>
          <w:ilvl w:val="2"/>
          <w:numId w:val="1"/>
        </w:numPr>
      </w:pPr>
      <w:r>
        <w:fldChar w:fldCharType="begin"/>
      </w:r>
      <w:r>
        <w:instrText xml:space="preserve"> ADDIN ZOTERO_ITEM CSL_CITATION {"citationID":"Wl1HqLE8","properties":{"formattedCitation":"(Rondeaux, 2019)","plainCitation":"(Rondeaux, 2019)","noteIndex":0},"citationItems":[{"id":731,"uris":["http://zotero.org/groups/4422580/items/ZVYXJWVW"],"uri":["http://zotero.org/groups/4422580/items/ZVYXJWVW"],"itemData":{"id":731,"type":"webpage","container-title":"New America","title":"Decoding the Wagner Group: Analyzing the Role of Private Military Security Contractors in Russian Proxy Warfare","URL":"https://d1y8sb8igg2f8e.cloudfront.net/documents/Decoding_the_Wagner_Group.pdf","author":[{"family":"Rondeaux","given":"Candace"}],"accessed":{"date-parts":[["2022",2,10]]},"issued":{"date-parts":[["2019",11]]}}}],"schema":"https://github.com/citation-style-language/schema/raw/master/csl-citation.json"} </w:instrText>
      </w:r>
      <w:r>
        <w:fldChar w:fldCharType="separate"/>
      </w:r>
      <w:r w:rsidRPr="006C1FCB">
        <w:rPr>
          <w:rFonts w:ascii="Calibri" w:hAnsi="Calibri" w:cs="Calibri"/>
        </w:rPr>
        <w:t>(Rondeaux, 2019)</w:t>
      </w:r>
      <w:r>
        <w:fldChar w:fldCharType="end"/>
      </w:r>
    </w:p>
    <w:p w14:paraId="2B397453" w14:textId="05EF0F19" w:rsidR="00FD7F3D" w:rsidRDefault="00DE1005" w:rsidP="00FD7F3D">
      <w:pPr>
        <w:pStyle w:val="ListParagraph"/>
        <w:numPr>
          <w:ilvl w:val="3"/>
          <w:numId w:val="1"/>
        </w:numPr>
      </w:pPr>
      <w:r>
        <w:t>Great article for summary of the functions of Wagner Group and how it fits into PMSCs. Believes Wagner to be a frontline agent of a Russian grand strategy that desires a multipolar world.</w:t>
      </w:r>
    </w:p>
    <w:p w14:paraId="72E0E672" w14:textId="7E5D4652" w:rsidR="00164EC9" w:rsidRDefault="00164EC9" w:rsidP="006C1FCB">
      <w:pPr>
        <w:pStyle w:val="ListParagraph"/>
        <w:numPr>
          <w:ilvl w:val="2"/>
          <w:numId w:val="1"/>
        </w:numPr>
      </w:pPr>
      <w:r>
        <w:fldChar w:fldCharType="begin"/>
      </w:r>
      <w:r>
        <w:instrText xml:space="preserve"> ADDIN ZOTERO_ITEM CSL_CITATION {"citationID":"uajkt43a","properties":{"formattedCitation":"(Marten, 2019)","plainCitation":"(Marten, 2019)","noteIndex":0},"citationItems":[{"id":496,"uris":["http://zotero.org/groups/4422580/items/F8S936V4"],"uri":["http://zotero.org/groups/4422580/items/F8S936V4"],"itemData":{"id":496,"type":"webpage","abstract":"(PONARS Policy Memo) Yevgeny Prigozhin, the corrupt military contractor from St. Petersburg who funds the informal armed organization known as the Wagner Group, expanded his lucrative foreign adventures into Africa in 2018 with Russian state support. His fortunes continued to rise even after scores of his fighters were killed and…","container-title":"https://www.ponarseurasia.org/","language":"en_US","note":"section: Policy Memos | Аналитика","title":"Into Africa: Prigozhin, Wagner, and the Russian Military - PONARS Eurasia","title-short":"Into Africa","URL":"https://www.ponarseurasia.org/into-africa-prigozhin-wagner-and-the-russian-military/","author":[{"family":"Marten","given":"Kimberly"}],"accessed":{"date-parts":[["2022",2,6]]},"issued":{"date-parts":[["2019",1,4]]}}}],"schema":"https://github.com/citation-style-language/schema/raw/master/csl-citation.json"} </w:instrText>
      </w:r>
      <w:r>
        <w:fldChar w:fldCharType="separate"/>
      </w:r>
      <w:r w:rsidRPr="00164EC9">
        <w:rPr>
          <w:rFonts w:ascii="Calibri" w:hAnsi="Calibri" w:cs="Calibri"/>
        </w:rPr>
        <w:t>(Marten, 2019)</w:t>
      </w:r>
      <w:r>
        <w:fldChar w:fldCharType="end"/>
      </w:r>
    </w:p>
    <w:p w14:paraId="5B5FAC4D" w14:textId="5DB64A09" w:rsidR="00276EBC" w:rsidRDefault="00E90489" w:rsidP="00276EBC">
      <w:pPr>
        <w:pStyle w:val="ListParagraph"/>
        <w:numPr>
          <w:ilvl w:val="3"/>
          <w:numId w:val="1"/>
        </w:numPr>
      </w:pPr>
      <w:r>
        <w:t xml:space="preserve">Article states that Putin is concerned in his last legal term that he will lose support by seeming weak. Finds that Putin may have “arranged the collaboration of the Russian </w:t>
      </w:r>
      <w:r>
        <w:lastRenderedPageBreak/>
        <w:t xml:space="preserve">military in </w:t>
      </w:r>
      <w:proofErr w:type="spellStart"/>
      <w:r>
        <w:t>Prigozhin’s</w:t>
      </w:r>
      <w:proofErr w:type="spellEnd"/>
      <w:r>
        <w:t xml:space="preserve"> corrupt deals in Africa in order to mend a dispute within the Kremlin elite.”</w:t>
      </w:r>
    </w:p>
    <w:p w14:paraId="1A6835AC" w14:textId="668296DA" w:rsidR="00CB6C01" w:rsidRDefault="00164EC9" w:rsidP="00CB6C01">
      <w:pPr>
        <w:pStyle w:val="ListParagraph"/>
        <w:numPr>
          <w:ilvl w:val="2"/>
          <w:numId w:val="1"/>
        </w:numPr>
      </w:pPr>
      <w:r>
        <w:fldChar w:fldCharType="begin"/>
      </w:r>
      <w:r>
        <w:instrText xml:space="preserve"> ADDIN ZOTERO_ITEM CSL_CITATION {"citationID":"97lMijoV","properties":{"formattedCitation":"(Grissom et al., 2022)","plainCitation":"(Grissom et al., 2022)","noteIndex":0},"citationItems":[{"id":557,"uris":["http://zotero.org/groups/4422580/items/NG23ZRLH"],"uri":["http://zotero.org/groups/4422580/items/NG23ZRLH"],"itemData":{"id":557,"type":"report","abstract":"&lt;p&gt;Russia is expanding its presence in Africa. U.S. Air Forces Africa (AFAFRICA) has lacked an overall geostrategic picture of this activity and what it means for the command's objectives in the region. This report presents an empirically rigorous description of where Russia is involved in Africa, where it is most likely to become engaged in the future, and what implications this might have for AFAFRICA's regional strategy.&lt;/p&gt;","language":"en","publisher":"RAND Corporation","source":"www.rand.org","title":"Russia's Growing Presence in Africa: A Geostrategic Assessment","title-short":"Russia's Growing Presence in Africa","URL":"https://www.rand.org/pubs/research_reports/RR4399.html","author":[{"family":"Grissom","given":"Adam R."},{"family":"Charap","given":"Samuel"},{"family":"Cheravitch","given":"Joe"},{"family":"Hanson","given":"Russell"},{"family":"Massicot","given":"Dara"},{"family":"Mouton","given":"Christopher A."},{"family":"Reimer","given":"Jordan R."}],"accessed":{"date-parts":[["2022",2,8]]},"issued":{"date-parts":[["2022",1,31]]}}}],"schema":"https://github.com/citation-style-language/schema/raw/master/csl-citation.json"} </w:instrText>
      </w:r>
      <w:r>
        <w:fldChar w:fldCharType="separate"/>
      </w:r>
      <w:r w:rsidRPr="00164EC9">
        <w:rPr>
          <w:rFonts w:ascii="Calibri" w:hAnsi="Calibri" w:cs="Calibri"/>
        </w:rPr>
        <w:t>(Grissom et al., 2022)</w:t>
      </w:r>
      <w:r>
        <w:fldChar w:fldCharType="end"/>
      </w:r>
    </w:p>
    <w:p w14:paraId="3AE21312" w14:textId="40AFD533" w:rsidR="007F615E" w:rsidRDefault="002B6A24" w:rsidP="007F615E">
      <w:pPr>
        <w:pStyle w:val="ListParagraph"/>
        <w:numPr>
          <w:ilvl w:val="3"/>
          <w:numId w:val="1"/>
        </w:numPr>
      </w:pPr>
      <w:r>
        <w:t xml:space="preserve">Geostrategic </w:t>
      </w:r>
      <w:proofErr w:type="spellStart"/>
      <w:r>
        <w:t>assesment</w:t>
      </w:r>
      <w:proofErr w:type="spellEnd"/>
      <w:r>
        <w:t xml:space="preserve"> of Russian activity in Africa that tries to “make sense of the growing mass of often contradictory micro-level reporting on Russian” activities</w:t>
      </w:r>
      <w:r w:rsidR="00D67F90">
        <w:t xml:space="preserve"> (2)</w:t>
      </w:r>
    </w:p>
    <w:p w14:paraId="08362E35" w14:textId="56E33515" w:rsidR="0066243B" w:rsidRDefault="0066243B" w:rsidP="00CB6C01">
      <w:pPr>
        <w:pStyle w:val="ListParagraph"/>
        <w:numPr>
          <w:ilvl w:val="2"/>
          <w:numId w:val="1"/>
        </w:numPr>
      </w:pPr>
      <w:r>
        <w:fldChar w:fldCharType="begin"/>
      </w:r>
      <w:r>
        <w:instrText xml:space="preserve"> ADDIN ZOTERO_ITEM CSL_CITATION {"citationID":"DgmBOITo","properties":{"formattedCitation":"(Sukhankin, n.d.)","plainCitation":"(Sukhankin, n.d.)","noteIndex":0},"citationItems":[{"id":646,"uris":["http://zotero.org/groups/4422580/items/WUENUYMI"],"uri":["http://zotero.org/groups/4422580/items/WUENUYMI"],"itemData":{"id":646,"type":"article-journal","container-title":"Washington: Jamestown Foundation.","language":"en","page":"21","source":"Zotero","title":"Unleashing the PMCs and Irregulars in Ukraine: Crimea and Donbas","author":[{"family":"Sukhankin","given":"Sergey"}]}}],"schema":"https://github.com/citation-style-language/schema/raw/master/csl-citation.json"} </w:instrText>
      </w:r>
      <w:r>
        <w:fldChar w:fldCharType="separate"/>
      </w:r>
      <w:r w:rsidRPr="0066243B">
        <w:rPr>
          <w:rFonts w:ascii="Calibri" w:hAnsi="Calibri" w:cs="Calibri"/>
        </w:rPr>
        <w:t>(Sukhankin, n.d.)</w:t>
      </w:r>
      <w:r>
        <w:fldChar w:fldCharType="end"/>
      </w:r>
    </w:p>
    <w:p w14:paraId="65783D05" w14:textId="065020B0" w:rsidR="004E43B9" w:rsidRDefault="0014338A" w:rsidP="004E43B9">
      <w:pPr>
        <w:pStyle w:val="ListParagraph"/>
        <w:numPr>
          <w:ilvl w:val="3"/>
          <w:numId w:val="1"/>
        </w:numPr>
      </w:pPr>
      <w:r>
        <w:t>History of Russian PMCs and Wagner</w:t>
      </w:r>
    </w:p>
    <w:p w14:paraId="4B02AD92" w14:textId="12F5091B" w:rsidR="00A34976" w:rsidRDefault="008200F6" w:rsidP="004E43B9">
      <w:pPr>
        <w:pStyle w:val="ListParagraph"/>
        <w:numPr>
          <w:ilvl w:val="3"/>
          <w:numId w:val="1"/>
        </w:numPr>
      </w:pPr>
      <w:r>
        <w:t>“</w:t>
      </w:r>
      <w:r w:rsidRPr="008200F6">
        <w:t>During the 2014–2016 interim, several Russian PMCs operated in Ukraine. While some of them disappeared/became invisible, Wagner Group successfully went through the “natural selection” process and assumed a dominant role</w:t>
      </w:r>
      <w:r>
        <w:t>” (1)</w:t>
      </w:r>
    </w:p>
    <w:p w14:paraId="08790B81" w14:textId="2A2584E2" w:rsidR="00B3399F" w:rsidRDefault="00B63E63" w:rsidP="00EA2962">
      <w:pPr>
        <w:pStyle w:val="ListParagraph"/>
        <w:numPr>
          <w:ilvl w:val="0"/>
          <w:numId w:val="1"/>
        </w:numPr>
      </w:pPr>
      <w:r>
        <w:t>Major points (from whiteboard)</w:t>
      </w:r>
    </w:p>
    <w:p w14:paraId="7C67A245" w14:textId="57C34A76" w:rsidR="003764A7" w:rsidRDefault="00B90CFF" w:rsidP="003764A7">
      <w:pPr>
        <w:pStyle w:val="ListParagraph"/>
        <w:numPr>
          <w:ilvl w:val="1"/>
          <w:numId w:val="1"/>
        </w:numPr>
      </w:pPr>
      <w:r>
        <w:t>How does Russia’s use of Wagner affect its sovereignty?</w:t>
      </w:r>
    </w:p>
    <w:p w14:paraId="7A0C7305" w14:textId="083FEBF6" w:rsidR="002D5641" w:rsidRDefault="002D5641" w:rsidP="002D5641">
      <w:pPr>
        <w:pStyle w:val="ListParagraph"/>
        <w:numPr>
          <w:ilvl w:val="2"/>
          <w:numId w:val="1"/>
        </w:numPr>
      </w:pPr>
      <w:r>
        <w:t>Delegated authority from PA lit</w:t>
      </w:r>
    </w:p>
    <w:p w14:paraId="174BF970" w14:textId="74223616" w:rsidR="002D5641" w:rsidRDefault="00392A3E" w:rsidP="002D5641">
      <w:pPr>
        <w:pStyle w:val="ListParagraph"/>
        <w:numPr>
          <w:ilvl w:val="3"/>
          <w:numId w:val="1"/>
        </w:numPr>
      </w:pPr>
      <w:r>
        <w:t>Costs not the same as Blackwater</w:t>
      </w:r>
      <w:r w:rsidR="00CE424C">
        <w:t xml:space="preserve"> &amp; US</w:t>
      </w:r>
    </w:p>
    <w:p w14:paraId="424C03A1" w14:textId="06A62651" w:rsidR="00A053A6" w:rsidRDefault="00A053A6" w:rsidP="00A053A6">
      <w:pPr>
        <w:pStyle w:val="ListParagraph"/>
        <w:numPr>
          <w:ilvl w:val="4"/>
          <w:numId w:val="1"/>
        </w:numPr>
      </w:pPr>
      <w:r>
        <w:t>Blackwater is not seen as state run</w:t>
      </w:r>
    </w:p>
    <w:p w14:paraId="2F18B77C" w14:textId="384CFAAF" w:rsidR="009B4B90" w:rsidRDefault="000C7C4F" w:rsidP="0009284C">
      <w:pPr>
        <w:pStyle w:val="ListParagraph"/>
        <w:numPr>
          <w:ilvl w:val="2"/>
          <w:numId w:val="1"/>
        </w:numPr>
      </w:pPr>
      <w:r>
        <w:t>Hybrid state actor</w:t>
      </w:r>
    </w:p>
    <w:p w14:paraId="7C39EC3A" w14:textId="3D509D78" w:rsidR="000C7C4F" w:rsidRDefault="000A7298" w:rsidP="0009284C">
      <w:pPr>
        <w:pStyle w:val="ListParagraph"/>
        <w:numPr>
          <w:ilvl w:val="3"/>
          <w:numId w:val="1"/>
        </w:numPr>
      </w:pPr>
      <w:r>
        <w:t>Fluid actor, fluctuates almost as between a state and non-state actor</w:t>
      </w:r>
    </w:p>
    <w:p w14:paraId="58B5D8AA" w14:textId="23DD804C" w:rsidR="008A537A" w:rsidRDefault="0009284C" w:rsidP="0009284C">
      <w:pPr>
        <w:pStyle w:val="ListParagraph"/>
        <w:numPr>
          <w:ilvl w:val="3"/>
          <w:numId w:val="1"/>
        </w:numPr>
      </w:pPr>
      <w:r>
        <w:t xml:space="preserve">Deniable </w:t>
      </w:r>
    </w:p>
    <w:p w14:paraId="038FA075" w14:textId="5FB996F9" w:rsidR="00621BAB" w:rsidRDefault="00621BAB" w:rsidP="00621BAB">
      <w:pPr>
        <w:pStyle w:val="ListParagraph"/>
        <w:numPr>
          <w:ilvl w:val="2"/>
          <w:numId w:val="1"/>
        </w:numPr>
      </w:pPr>
      <w:r>
        <w:t xml:space="preserve">No distinction between </w:t>
      </w:r>
      <w:r w:rsidR="00D4288D">
        <w:t>Wagner and the state</w:t>
      </w:r>
    </w:p>
    <w:p w14:paraId="6DE1C1EB" w14:textId="48F95C2B" w:rsidR="00600C5C" w:rsidRDefault="00600C5C" w:rsidP="00600C5C">
      <w:pPr>
        <w:pStyle w:val="ListParagraph"/>
        <w:numPr>
          <w:ilvl w:val="3"/>
          <w:numId w:val="1"/>
        </w:numPr>
      </w:pPr>
      <w:r>
        <w:t>Thus, high sovereignty costs</w:t>
      </w:r>
    </w:p>
    <w:p w14:paraId="2151C746" w14:textId="1A32F002" w:rsidR="00600C5C" w:rsidRDefault="00600C5C" w:rsidP="00600C5C">
      <w:pPr>
        <w:pStyle w:val="ListParagraph"/>
        <w:numPr>
          <w:ilvl w:val="3"/>
          <w:numId w:val="1"/>
        </w:numPr>
      </w:pPr>
      <w:r>
        <w:t xml:space="preserve">Similar to my double delegation </w:t>
      </w:r>
    </w:p>
    <w:p w14:paraId="2F2E2BEF" w14:textId="3DEB5B75" w:rsidR="00744E03" w:rsidRDefault="00744E03" w:rsidP="00744E03">
      <w:pPr>
        <w:pStyle w:val="ListParagraph"/>
        <w:numPr>
          <w:ilvl w:val="2"/>
          <w:numId w:val="1"/>
        </w:numPr>
      </w:pPr>
      <w:r>
        <w:t>Combo of state association and non-state control</w:t>
      </w:r>
    </w:p>
    <w:p w14:paraId="09207877" w14:textId="35330579" w:rsidR="00922021" w:rsidRDefault="00922021" w:rsidP="00744E03">
      <w:pPr>
        <w:pStyle w:val="ListParagraph"/>
        <w:numPr>
          <w:ilvl w:val="2"/>
          <w:numId w:val="1"/>
        </w:numPr>
      </w:pPr>
      <w:r>
        <w:t>Plausible deniability until no longer effective</w:t>
      </w:r>
    </w:p>
    <w:p w14:paraId="0165C4B5" w14:textId="25BB321C" w:rsidR="00A47CBD" w:rsidRDefault="001B0F33" w:rsidP="00744E03">
      <w:pPr>
        <w:pStyle w:val="ListParagraph"/>
        <w:numPr>
          <w:ilvl w:val="2"/>
          <w:numId w:val="1"/>
        </w:numPr>
      </w:pPr>
      <w:r>
        <w:t>Use &amp; abuse</w:t>
      </w:r>
    </w:p>
    <w:p w14:paraId="197E2707" w14:textId="20FD1DB0" w:rsidR="001B0F33" w:rsidRDefault="00B01451" w:rsidP="00744E03">
      <w:pPr>
        <w:pStyle w:val="ListParagraph"/>
        <w:numPr>
          <w:ilvl w:val="2"/>
          <w:numId w:val="1"/>
        </w:numPr>
      </w:pPr>
      <w:r>
        <w:t>Business creates diplomatic ties</w:t>
      </w:r>
    </w:p>
    <w:p w14:paraId="7C5504DA" w14:textId="0EDDB8F3" w:rsidR="00B63E63" w:rsidRDefault="00B63E63" w:rsidP="00EA2962">
      <w:pPr>
        <w:pStyle w:val="ListParagraph"/>
        <w:numPr>
          <w:ilvl w:val="0"/>
          <w:numId w:val="1"/>
        </w:numPr>
      </w:pPr>
      <w:r>
        <w:t>Why is CAR a good case study?</w:t>
      </w:r>
    </w:p>
    <w:p w14:paraId="6B0D0A48" w14:textId="608AD29E" w:rsidR="003A77CF" w:rsidRDefault="003A77CF" w:rsidP="003A77CF"/>
    <w:p w14:paraId="48BED189" w14:textId="5B796250" w:rsidR="003A77CF" w:rsidRDefault="003A77CF" w:rsidP="003A77CF"/>
    <w:p w14:paraId="5ABD8654" w14:textId="33D73A9B" w:rsidR="003A77CF" w:rsidRDefault="003A77CF" w:rsidP="003A77CF"/>
    <w:p w14:paraId="62F009F9" w14:textId="2DBB821B" w:rsidR="003A77CF" w:rsidRDefault="003A77CF" w:rsidP="003A77CF"/>
    <w:p w14:paraId="0D7B07D3" w14:textId="43E7DE1A" w:rsidR="003A77CF" w:rsidRDefault="003A77CF" w:rsidP="003A77CF"/>
    <w:p w14:paraId="31406AFB" w14:textId="13A61452" w:rsidR="003A77CF" w:rsidRDefault="003A77CF" w:rsidP="003A77CF">
      <w:pPr>
        <w:jc w:val="center"/>
      </w:pPr>
      <w:r>
        <w:rPr>
          <w:u w:val="single"/>
        </w:rPr>
        <w:t>Bibliography</w:t>
      </w:r>
    </w:p>
    <w:p w14:paraId="6017D6C5" w14:textId="77777777" w:rsidR="0066243B" w:rsidRPr="0066243B" w:rsidRDefault="00475997" w:rsidP="0066243B">
      <w:pPr>
        <w:pStyle w:val="Bibliography"/>
        <w:rPr>
          <w:rFonts w:ascii="Calibri" w:hAnsi="Calibri" w:cs="Calibri"/>
        </w:rPr>
      </w:pPr>
      <w:r>
        <w:fldChar w:fldCharType="begin"/>
      </w:r>
      <w:r w:rsidR="00AD540E">
        <w:instrText xml:space="preserve"> ADDIN ZOTERO_BIBL {"uncited":[],"omitted":[],"custom":[]} CSL_BIBLIOGRAPHY </w:instrText>
      </w:r>
      <w:r>
        <w:fldChar w:fldCharType="separate"/>
      </w:r>
      <w:r w:rsidR="0066243B" w:rsidRPr="0066243B">
        <w:rPr>
          <w:rFonts w:ascii="Calibri" w:hAnsi="Calibri" w:cs="Calibri"/>
        </w:rPr>
        <w:t xml:space="preserve">Giedraitis, A. (2020). Private Military Companies in the Foreign and Security Policy of the Russian Federation in 2014–2019. </w:t>
      </w:r>
      <w:r w:rsidR="0066243B" w:rsidRPr="0066243B">
        <w:rPr>
          <w:rFonts w:ascii="Calibri" w:hAnsi="Calibri" w:cs="Calibri"/>
          <w:i/>
          <w:iCs/>
        </w:rPr>
        <w:t>Lithuanian Annual Strategic Review</w:t>
      </w:r>
      <w:r w:rsidR="0066243B" w:rsidRPr="0066243B">
        <w:rPr>
          <w:rFonts w:ascii="Calibri" w:hAnsi="Calibri" w:cs="Calibri"/>
        </w:rPr>
        <w:t xml:space="preserve">, </w:t>
      </w:r>
      <w:r w:rsidR="0066243B" w:rsidRPr="0066243B">
        <w:rPr>
          <w:rFonts w:ascii="Calibri" w:hAnsi="Calibri" w:cs="Calibri"/>
          <w:i/>
          <w:iCs/>
        </w:rPr>
        <w:t>18</w:t>
      </w:r>
      <w:r w:rsidR="0066243B" w:rsidRPr="0066243B">
        <w:rPr>
          <w:rFonts w:ascii="Calibri" w:hAnsi="Calibri" w:cs="Calibri"/>
        </w:rPr>
        <w:t>(1), 123–162. https://doi.org/10.47459/lasr.2020.18.6</w:t>
      </w:r>
    </w:p>
    <w:p w14:paraId="0D972700" w14:textId="77777777" w:rsidR="0066243B" w:rsidRPr="0066243B" w:rsidRDefault="0066243B" w:rsidP="0066243B">
      <w:pPr>
        <w:pStyle w:val="Bibliography"/>
        <w:rPr>
          <w:rFonts w:ascii="Calibri" w:hAnsi="Calibri" w:cs="Calibri"/>
        </w:rPr>
      </w:pPr>
      <w:r w:rsidRPr="0066243B">
        <w:rPr>
          <w:rFonts w:ascii="Calibri" w:hAnsi="Calibri" w:cs="Calibri"/>
        </w:rPr>
        <w:t xml:space="preserve">Grissom, A. R., Charap, S., Cheravitch, J., Hanson, R., Massicot, D., Mouton, C. A., &amp; Reimer, J. R. (2022). </w:t>
      </w:r>
      <w:r w:rsidRPr="0066243B">
        <w:rPr>
          <w:rFonts w:ascii="Calibri" w:hAnsi="Calibri" w:cs="Calibri"/>
          <w:i/>
          <w:iCs/>
        </w:rPr>
        <w:t>Russia’s Growing Presence in Africa: A Geostrategic Assessment</w:t>
      </w:r>
      <w:r w:rsidRPr="0066243B">
        <w:rPr>
          <w:rFonts w:ascii="Calibri" w:hAnsi="Calibri" w:cs="Calibri"/>
        </w:rPr>
        <w:t>. RAND Corporation. https://www.rand.org/pubs/research_reports/RR4399.html</w:t>
      </w:r>
    </w:p>
    <w:p w14:paraId="7ABFDFE5" w14:textId="77777777" w:rsidR="0066243B" w:rsidRPr="0066243B" w:rsidRDefault="0066243B" w:rsidP="0066243B">
      <w:pPr>
        <w:pStyle w:val="Bibliography"/>
        <w:rPr>
          <w:rFonts w:ascii="Calibri" w:hAnsi="Calibri" w:cs="Calibri"/>
        </w:rPr>
      </w:pPr>
      <w:r w:rsidRPr="0066243B">
        <w:rPr>
          <w:rFonts w:ascii="Calibri" w:hAnsi="Calibri" w:cs="Calibri"/>
        </w:rPr>
        <w:t xml:space="preserve">Guzansky, Y., &amp; Marshall, Z. A. (2021). Outsourcing warfare in the Mediterranean. </w:t>
      </w:r>
      <w:r w:rsidRPr="0066243B">
        <w:rPr>
          <w:rFonts w:ascii="Calibri" w:hAnsi="Calibri" w:cs="Calibri"/>
          <w:i/>
          <w:iCs/>
        </w:rPr>
        <w:t>Mediterranean Politics</w:t>
      </w:r>
      <w:r w:rsidRPr="0066243B">
        <w:rPr>
          <w:rFonts w:ascii="Calibri" w:hAnsi="Calibri" w:cs="Calibri"/>
        </w:rPr>
        <w:t>, 1–10. https://doi.org/10.1080/13629395.2021.1924402</w:t>
      </w:r>
    </w:p>
    <w:p w14:paraId="2DFD5D89" w14:textId="77777777" w:rsidR="0066243B" w:rsidRPr="0066243B" w:rsidRDefault="0066243B" w:rsidP="0066243B">
      <w:pPr>
        <w:pStyle w:val="Bibliography"/>
        <w:rPr>
          <w:rFonts w:ascii="Calibri" w:hAnsi="Calibri" w:cs="Calibri"/>
        </w:rPr>
      </w:pPr>
      <w:r w:rsidRPr="0066243B">
        <w:rPr>
          <w:rFonts w:ascii="Calibri" w:hAnsi="Calibri" w:cs="Calibri"/>
        </w:rPr>
        <w:lastRenderedPageBreak/>
        <w:t xml:space="preserve">Karagiannis, E. (2021). Russian Surrogate Warfare in Ukraine and Syria: Understanding the Utility of Militias and Private Military Companies. </w:t>
      </w:r>
      <w:r w:rsidRPr="0066243B">
        <w:rPr>
          <w:rFonts w:ascii="Calibri" w:hAnsi="Calibri" w:cs="Calibri"/>
          <w:i/>
          <w:iCs/>
        </w:rPr>
        <w:t>Journal of Balkan and Near Eastern Studies</w:t>
      </w:r>
      <w:r w:rsidRPr="0066243B">
        <w:rPr>
          <w:rFonts w:ascii="Calibri" w:hAnsi="Calibri" w:cs="Calibri"/>
        </w:rPr>
        <w:t xml:space="preserve">, </w:t>
      </w:r>
      <w:r w:rsidRPr="0066243B">
        <w:rPr>
          <w:rFonts w:ascii="Calibri" w:hAnsi="Calibri" w:cs="Calibri"/>
          <w:i/>
          <w:iCs/>
        </w:rPr>
        <w:t>23</w:t>
      </w:r>
      <w:r w:rsidRPr="0066243B">
        <w:rPr>
          <w:rFonts w:ascii="Calibri" w:hAnsi="Calibri" w:cs="Calibri"/>
        </w:rPr>
        <w:t>(4), 549–565. https://doi.org/10.1080/19448953.2021.1888603</w:t>
      </w:r>
    </w:p>
    <w:p w14:paraId="6BFA28A8" w14:textId="77777777" w:rsidR="0066243B" w:rsidRPr="0066243B" w:rsidRDefault="0066243B" w:rsidP="0066243B">
      <w:pPr>
        <w:pStyle w:val="Bibliography"/>
        <w:rPr>
          <w:rFonts w:ascii="Calibri" w:hAnsi="Calibri" w:cs="Calibri"/>
        </w:rPr>
      </w:pPr>
      <w:r w:rsidRPr="0066243B">
        <w:rPr>
          <w:rFonts w:ascii="Calibri" w:hAnsi="Calibri" w:cs="Calibri"/>
        </w:rPr>
        <w:t xml:space="preserve">Marten, K. (2019, January 4). </w:t>
      </w:r>
      <w:r w:rsidRPr="0066243B">
        <w:rPr>
          <w:rFonts w:ascii="Calibri" w:hAnsi="Calibri" w:cs="Calibri"/>
          <w:i/>
          <w:iCs/>
        </w:rPr>
        <w:t>Into Africa: Prigozhin, Wagner, and the Russian Military - PONARS Eurasia</w:t>
      </w:r>
      <w:r w:rsidRPr="0066243B">
        <w:rPr>
          <w:rFonts w:ascii="Calibri" w:hAnsi="Calibri" w:cs="Calibri"/>
        </w:rPr>
        <w:t>. Https://Www.Ponarseurasia.Org/. https://www.ponarseurasia.org/into-africa-prigozhin-wagner-and-the-russian-military/</w:t>
      </w:r>
    </w:p>
    <w:p w14:paraId="76F6B7B4" w14:textId="77777777" w:rsidR="0066243B" w:rsidRPr="0066243B" w:rsidRDefault="0066243B" w:rsidP="0066243B">
      <w:pPr>
        <w:pStyle w:val="Bibliography"/>
        <w:rPr>
          <w:rFonts w:ascii="Calibri" w:hAnsi="Calibri" w:cs="Calibri"/>
        </w:rPr>
      </w:pPr>
      <w:r w:rsidRPr="0066243B">
        <w:rPr>
          <w:rFonts w:ascii="Calibri" w:hAnsi="Calibri" w:cs="Calibri"/>
        </w:rPr>
        <w:t xml:space="preserve">Marten, K. (2019). Russia’s use of semi-state security forces: The case of the Wagner Group. </w:t>
      </w:r>
      <w:r w:rsidRPr="0066243B">
        <w:rPr>
          <w:rFonts w:ascii="Calibri" w:hAnsi="Calibri" w:cs="Calibri"/>
          <w:i/>
          <w:iCs/>
        </w:rPr>
        <w:t>Post-Soviet Affairs</w:t>
      </w:r>
      <w:r w:rsidRPr="0066243B">
        <w:rPr>
          <w:rFonts w:ascii="Calibri" w:hAnsi="Calibri" w:cs="Calibri"/>
        </w:rPr>
        <w:t xml:space="preserve">, </w:t>
      </w:r>
      <w:r w:rsidRPr="0066243B">
        <w:rPr>
          <w:rFonts w:ascii="Calibri" w:hAnsi="Calibri" w:cs="Calibri"/>
          <w:i/>
          <w:iCs/>
        </w:rPr>
        <w:t>35</w:t>
      </w:r>
      <w:r w:rsidRPr="0066243B">
        <w:rPr>
          <w:rFonts w:ascii="Calibri" w:hAnsi="Calibri" w:cs="Calibri"/>
        </w:rPr>
        <w:t>(3), 181–204. https://doi.org/10.1080/1060586X.2019.1591142</w:t>
      </w:r>
    </w:p>
    <w:p w14:paraId="71F26C33" w14:textId="77777777" w:rsidR="0066243B" w:rsidRPr="0066243B" w:rsidRDefault="0066243B" w:rsidP="0066243B">
      <w:pPr>
        <w:pStyle w:val="Bibliography"/>
        <w:rPr>
          <w:rFonts w:ascii="Calibri" w:hAnsi="Calibri" w:cs="Calibri"/>
        </w:rPr>
      </w:pPr>
      <w:r w:rsidRPr="0066243B">
        <w:rPr>
          <w:rFonts w:ascii="Calibri" w:hAnsi="Calibri" w:cs="Calibri"/>
        </w:rPr>
        <w:t xml:space="preserve">Østensen, Å. G., &amp; Bukkvoll, T. (2021). Private military companies – Russian great power politics on the cheap? </w:t>
      </w:r>
      <w:r w:rsidRPr="0066243B">
        <w:rPr>
          <w:rFonts w:ascii="Calibri" w:hAnsi="Calibri" w:cs="Calibri"/>
          <w:i/>
          <w:iCs/>
        </w:rPr>
        <w:t>Small Wars &amp; Insurgencies</w:t>
      </w:r>
      <w:r w:rsidRPr="0066243B">
        <w:rPr>
          <w:rFonts w:ascii="Calibri" w:hAnsi="Calibri" w:cs="Calibri"/>
        </w:rPr>
        <w:t xml:space="preserve">, </w:t>
      </w:r>
      <w:r w:rsidRPr="0066243B">
        <w:rPr>
          <w:rFonts w:ascii="Calibri" w:hAnsi="Calibri" w:cs="Calibri"/>
          <w:i/>
          <w:iCs/>
        </w:rPr>
        <w:t>0</w:t>
      </w:r>
      <w:r w:rsidRPr="0066243B">
        <w:rPr>
          <w:rFonts w:ascii="Calibri" w:hAnsi="Calibri" w:cs="Calibri"/>
        </w:rPr>
        <w:t>(0), 1–22. https://doi.org/10.1080/09592318.2021.1984709</w:t>
      </w:r>
    </w:p>
    <w:p w14:paraId="7C2DCB72" w14:textId="77777777" w:rsidR="0066243B" w:rsidRPr="0066243B" w:rsidRDefault="0066243B" w:rsidP="0066243B">
      <w:pPr>
        <w:pStyle w:val="Bibliography"/>
        <w:rPr>
          <w:rFonts w:ascii="Calibri" w:hAnsi="Calibri" w:cs="Calibri"/>
        </w:rPr>
      </w:pPr>
      <w:r w:rsidRPr="0066243B">
        <w:rPr>
          <w:rFonts w:ascii="Calibri" w:hAnsi="Calibri" w:cs="Calibri"/>
        </w:rPr>
        <w:t xml:space="preserve">Rondeaux, C. (2019, November). </w:t>
      </w:r>
      <w:r w:rsidRPr="0066243B">
        <w:rPr>
          <w:rFonts w:ascii="Calibri" w:hAnsi="Calibri" w:cs="Calibri"/>
          <w:i/>
          <w:iCs/>
        </w:rPr>
        <w:t>Decoding the Wagner Group: Analyzing the Role of Private Military Security Contractors in Russian Proxy Warfare</w:t>
      </w:r>
      <w:r w:rsidRPr="0066243B">
        <w:rPr>
          <w:rFonts w:ascii="Calibri" w:hAnsi="Calibri" w:cs="Calibri"/>
        </w:rPr>
        <w:t>. New America. https://d1y8sb8igg2f8e.cloudfront.net/documents/Decoding_the_Wagner_Group.pdf</w:t>
      </w:r>
    </w:p>
    <w:p w14:paraId="03E2DC6A" w14:textId="77777777" w:rsidR="0066243B" w:rsidRPr="0066243B" w:rsidRDefault="0066243B" w:rsidP="0066243B">
      <w:pPr>
        <w:pStyle w:val="Bibliography"/>
        <w:rPr>
          <w:rFonts w:ascii="Calibri" w:hAnsi="Calibri" w:cs="Calibri"/>
        </w:rPr>
      </w:pPr>
      <w:r w:rsidRPr="0066243B">
        <w:rPr>
          <w:rFonts w:ascii="Calibri" w:hAnsi="Calibri" w:cs="Calibri"/>
        </w:rPr>
        <w:t xml:space="preserve">Russia’s use of its private military companies. (2020). </w:t>
      </w:r>
      <w:r w:rsidRPr="0066243B">
        <w:rPr>
          <w:rFonts w:ascii="Calibri" w:hAnsi="Calibri" w:cs="Calibri"/>
          <w:i/>
          <w:iCs/>
        </w:rPr>
        <w:t>Strategic Comments</w:t>
      </w:r>
      <w:r w:rsidRPr="0066243B">
        <w:rPr>
          <w:rFonts w:ascii="Calibri" w:hAnsi="Calibri" w:cs="Calibri"/>
        </w:rPr>
        <w:t xml:space="preserve">, </w:t>
      </w:r>
      <w:r w:rsidRPr="0066243B">
        <w:rPr>
          <w:rFonts w:ascii="Calibri" w:hAnsi="Calibri" w:cs="Calibri"/>
          <w:i/>
          <w:iCs/>
        </w:rPr>
        <w:t>26</w:t>
      </w:r>
      <w:r w:rsidRPr="0066243B">
        <w:rPr>
          <w:rFonts w:ascii="Calibri" w:hAnsi="Calibri" w:cs="Calibri"/>
        </w:rPr>
        <w:t>(10), vii–viii. https://doi.org/10.1080/13567888.2020.1868812</w:t>
      </w:r>
    </w:p>
    <w:p w14:paraId="312E75B2" w14:textId="77777777" w:rsidR="0066243B" w:rsidRPr="0066243B" w:rsidRDefault="0066243B" w:rsidP="0066243B">
      <w:pPr>
        <w:pStyle w:val="Bibliography"/>
        <w:rPr>
          <w:rFonts w:ascii="Calibri" w:hAnsi="Calibri" w:cs="Calibri"/>
        </w:rPr>
      </w:pPr>
      <w:r w:rsidRPr="0066243B">
        <w:rPr>
          <w:rFonts w:ascii="Calibri" w:hAnsi="Calibri" w:cs="Calibri"/>
        </w:rPr>
        <w:t xml:space="preserve">Sukhankin, S. (n.d.). Unleashing the PMCs and Irregulars in Ukraine: Crimea and Donbas. </w:t>
      </w:r>
      <w:r w:rsidRPr="0066243B">
        <w:rPr>
          <w:rFonts w:ascii="Calibri" w:hAnsi="Calibri" w:cs="Calibri"/>
          <w:i/>
          <w:iCs/>
        </w:rPr>
        <w:t>Washington: Jamestown Foundation.</w:t>
      </w:r>
      <w:r w:rsidRPr="0066243B">
        <w:rPr>
          <w:rFonts w:ascii="Calibri" w:hAnsi="Calibri" w:cs="Calibri"/>
        </w:rPr>
        <w:t>, 21.</w:t>
      </w:r>
    </w:p>
    <w:p w14:paraId="65664A54" w14:textId="77734444" w:rsidR="003A77CF" w:rsidRPr="003A77CF" w:rsidRDefault="00475997" w:rsidP="003A77CF">
      <w:r>
        <w:fldChar w:fldCharType="end"/>
      </w:r>
    </w:p>
    <w:sectPr w:rsidR="003A77CF" w:rsidRPr="003A77CF" w:rsidSect="00484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D7C83"/>
    <w:multiLevelType w:val="hybridMultilevel"/>
    <w:tmpl w:val="EF763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001635"/>
    <w:multiLevelType w:val="hybridMultilevel"/>
    <w:tmpl w:val="3B4A0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MjAzsjS0MDY0MjdT0lEKTi0uzszPAykwqQUAfPyWzCwAAAA="/>
  </w:docVars>
  <w:rsids>
    <w:rsidRoot w:val="00B6120A"/>
    <w:rsid w:val="00042A71"/>
    <w:rsid w:val="00061A8E"/>
    <w:rsid w:val="00067784"/>
    <w:rsid w:val="0009284C"/>
    <w:rsid w:val="000A7298"/>
    <w:rsid w:val="000C7C4F"/>
    <w:rsid w:val="000F7308"/>
    <w:rsid w:val="0014338A"/>
    <w:rsid w:val="0015179E"/>
    <w:rsid w:val="00152759"/>
    <w:rsid w:val="00164B5C"/>
    <w:rsid w:val="00164EC9"/>
    <w:rsid w:val="001664D1"/>
    <w:rsid w:val="00185B37"/>
    <w:rsid w:val="00190E4E"/>
    <w:rsid w:val="001B0F33"/>
    <w:rsid w:val="002109EB"/>
    <w:rsid w:val="002714A2"/>
    <w:rsid w:val="00276EBC"/>
    <w:rsid w:val="0029526D"/>
    <w:rsid w:val="0029770C"/>
    <w:rsid w:val="00297E15"/>
    <w:rsid w:val="002B6A24"/>
    <w:rsid w:val="002D5641"/>
    <w:rsid w:val="003165C4"/>
    <w:rsid w:val="0034700E"/>
    <w:rsid w:val="00372CAB"/>
    <w:rsid w:val="003764A7"/>
    <w:rsid w:val="00381A12"/>
    <w:rsid w:val="00392A3E"/>
    <w:rsid w:val="0039778F"/>
    <w:rsid w:val="003A77CF"/>
    <w:rsid w:val="0044194B"/>
    <w:rsid w:val="004568FB"/>
    <w:rsid w:val="0046070E"/>
    <w:rsid w:val="00475997"/>
    <w:rsid w:val="004844DA"/>
    <w:rsid w:val="004E43B9"/>
    <w:rsid w:val="00520D20"/>
    <w:rsid w:val="00527EBE"/>
    <w:rsid w:val="00582FD5"/>
    <w:rsid w:val="00600C5C"/>
    <w:rsid w:val="00604CCE"/>
    <w:rsid w:val="00613272"/>
    <w:rsid w:val="00621BAB"/>
    <w:rsid w:val="0066243B"/>
    <w:rsid w:val="006950AE"/>
    <w:rsid w:val="006C1FCB"/>
    <w:rsid w:val="006F11C3"/>
    <w:rsid w:val="00744764"/>
    <w:rsid w:val="00744E03"/>
    <w:rsid w:val="007F615E"/>
    <w:rsid w:val="00816F27"/>
    <w:rsid w:val="008200F6"/>
    <w:rsid w:val="008A2BD8"/>
    <w:rsid w:val="008A537A"/>
    <w:rsid w:val="008D37A7"/>
    <w:rsid w:val="008F3E74"/>
    <w:rsid w:val="00922021"/>
    <w:rsid w:val="009A2574"/>
    <w:rsid w:val="009B4B90"/>
    <w:rsid w:val="00A053A6"/>
    <w:rsid w:val="00A06001"/>
    <w:rsid w:val="00A12087"/>
    <w:rsid w:val="00A34976"/>
    <w:rsid w:val="00A425B6"/>
    <w:rsid w:val="00A47CBD"/>
    <w:rsid w:val="00A65E13"/>
    <w:rsid w:val="00A67EAD"/>
    <w:rsid w:val="00AA3C7E"/>
    <w:rsid w:val="00AA5AD8"/>
    <w:rsid w:val="00AD540E"/>
    <w:rsid w:val="00AE3C64"/>
    <w:rsid w:val="00AE5716"/>
    <w:rsid w:val="00B01451"/>
    <w:rsid w:val="00B246EA"/>
    <w:rsid w:val="00B3399F"/>
    <w:rsid w:val="00B6120A"/>
    <w:rsid w:val="00B63E63"/>
    <w:rsid w:val="00B90CFF"/>
    <w:rsid w:val="00BA00A8"/>
    <w:rsid w:val="00C02FE9"/>
    <w:rsid w:val="00C41A10"/>
    <w:rsid w:val="00C46C91"/>
    <w:rsid w:val="00C90808"/>
    <w:rsid w:val="00CB56EA"/>
    <w:rsid w:val="00CB6C01"/>
    <w:rsid w:val="00CE21FC"/>
    <w:rsid w:val="00CE424C"/>
    <w:rsid w:val="00D04F33"/>
    <w:rsid w:val="00D4288D"/>
    <w:rsid w:val="00D45DB7"/>
    <w:rsid w:val="00D67F90"/>
    <w:rsid w:val="00D934EE"/>
    <w:rsid w:val="00DC501D"/>
    <w:rsid w:val="00DE1005"/>
    <w:rsid w:val="00E0099A"/>
    <w:rsid w:val="00E46DF9"/>
    <w:rsid w:val="00E677E4"/>
    <w:rsid w:val="00E7294A"/>
    <w:rsid w:val="00E90489"/>
    <w:rsid w:val="00EA2962"/>
    <w:rsid w:val="00EC3459"/>
    <w:rsid w:val="00EC4788"/>
    <w:rsid w:val="00EE45EE"/>
    <w:rsid w:val="00EF5AA6"/>
    <w:rsid w:val="00F35A7D"/>
    <w:rsid w:val="00FD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7304"/>
  <w15:chartTrackingRefBased/>
  <w15:docId w15:val="{49A55348-4018-4847-97B0-C6F93439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962"/>
    <w:pPr>
      <w:ind w:left="720"/>
      <w:contextualSpacing/>
    </w:pPr>
  </w:style>
  <w:style w:type="paragraph" w:styleId="Bibliography">
    <w:name w:val="Bibliography"/>
    <w:basedOn w:val="Normal"/>
    <w:next w:val="Normal"/>
    <w:uiPriority w:val="37"/>
    <w:unhideWhenUsed/>
    <w:rsid w:val="0047599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Kunkel</dc:creator>
  <cp:keywords/>
  <dc:description/>
  <cp:lastModifiedBy>Ellis, Matthew Kyle</cp:lastModifiedBy>
  <cp:revision>107</cp:revision>
  <dcterms:created xsi:type="dcterms:W3CDTF">2022-03-02T18:50:00Z</dcterms:created>
  <dcterms:modified xsi:type="dcterms:W3CDTF">2022-03-05T18:06:00Z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id="hLvyMz6K"/&gt;&lt;style id="http://www.zotero.org/styles/apa" locale="en-US" hasBibliography="1" bibliographyStyleHasBeenSet="1"/&gt;&lt;prefs&gt;&lt;pref name="fieldType" value="Field"/&gt;&lt;/prefs&gt;&lt;/data&gt;</vt:lpwstr>
  </property>
</Properties>
</file>