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2FDC" w14:textId="10D38DDD" w:rsidR="00EC3459" w:rsidRDefault="00CB56EA" w:rsidP="00CB56EA">
      <w:pPr>
        <w:jc w:val="center"/>
        <w:rPr>
          <w:u w:val="single"/>
        </w:rPr>
      </w:pPr>
      <w:r>
        <w:rPr>
          <w:u w:val="single"/>
        </w:rPr>
        <w:t>Write-up Outline</w:t>
      </w:r>
    </w:p>
    <w:p w14:paraId="1EF61E52" w14:textId="361A34BF" w:rsidR="00CB56EA" w:rsidRDefault="00EA2962" w:rsidP="00EA2962">
      <w:pPr>
        <w:pStyle w:val="ListParagraph"/>
        <w:numPr>
          <w:ilvl w:val="0"/>
          <w:numId w:val="1"/>
        </w:numPr>
      </w:pPr>
      <w:r>
        <w:t>Why is Wagner important to study?</w:t>
      </w:r>
    </w:p>
    <w:p w14:paraId="6905B92F" w14:textId="4A99988B" w:rsidR="00EA2962" w:rsidRDefault="00EA2962" w:rsidP="00EA2962">
      <w:pPr>
        <w:pStyle w:val="ListParagraph"/>
        <w:numPr>
          <w:ilvl w:val="0"/>
          <w:numId w:val="1"/>
        </w:numPr>
      </w:pPr>
      <w:r>
        <w:t>Research question and interestingness</w:t>
      </w:r>
    </w:p>
    <w:p w14:paraId="017DED4F" w14:textId="07466965" w:rsidR="00B3399F" w:rsidRDefault="00B3399F" w:rsidP="00EA2962">
      <w:pPr>
        <w:pStyle w:val="ListParagraph"/>
        <w:numPr>
          <w:ilvl w:val="0"/>
          <w:numId w:val="1"/>
        </w:numPr>
      </w:pPr>
      <w:r>
        <w:t>Lit review</w:t>
      </w:r>
    </w:p>
    <w:p w14:paraId="33460B47" w14:textId="037B0C20" w:rsidR="00816F27" w:rsidRDefault="00816F27" w:rsidP="00816F27">
      <w:pPr>
        <w:pStyle w:val="ListParagraph"/>
        <w:numPr>
          <w:ilvl w:val="1"/>
          <w:numId w:val="1"/>
        </w:numPr>
      </w:pPr>
      <w:r>
        <w:t>Journal articles</w:t>
      </w:r>
    </w:p>
    <w:p w14:paraId="228CDDF3" w14:textId="62F866A7" w:rsidR="00816F27" w:rsidRDefault="00816F27" w:rsidP="00816F27">
      <w:pPr>
        <w:pStyle w:val="ListParagraph"/>
        <w:numPr>
          <w:ilvl w:val="2"/>
          <w:numId w:val="1"/>
        </w:numPr>
      </w:pPr>
      <w:r>
        <w:t xml:space="preserve">Only one </w:t>
      </w:r>
      <w:r w:rsidR="0044194B">
        <w:t>article really covering Wagner in-depth</w:t>
      </w:r>
    </w:p>
    <w:p w14:paraId="6E86FE77" w14:textId="3C9BAB27" w:rsidR="00061A8E" w:rsidRDefault="003165C4" w:rsidP="00061A8E">
      <w:pPr>
        <w:pStyle w:val="ListParagraph"/>
        <w:numPr>
          <w:ilvl w:val="3"/>
          <w:numId w:val="1"/>
        </w:numPr>
      </w:pPr>
      <w:r>
        <w:fldChar w:fldCharType="begin"/>
      </w:r>
      <w:r>
        <w:instrText xml:space="preserve"> ADDIN ZOTERO_ITEM CSL_CITATION {"citationID":"om5Rh7Sq","properties":{"formattedCitation":"(Marten, 2019)","plainCitation":"(Marten, 2019)","noteIndex":0},"citationItems":[{"id":497,"uris":["http://zotero.org/groups/4422580/items/BEVE38PW"],"uri":["http://zotero.org/groups/4422580/items/BEVE38PW"],"itemData":{"id":497,"type":"article-journal","abstract":"This article provides a deﬁnitive, in-depth case-study, using primarily Russian sources, of Russia’s use of the informal “Wagner Group” private military company (PMC) and its antecedents (from 2012 to 2018) in Nigeria, Crimea and Eastern Ukraine, Syria, Sudan, and the Central African Republic. It explores why Russia has used this group without legalizing its existence or role. While Wagner is sometimes used in the same ways that other rational states use PMCs, corrupt informal networks tied to the Russian regime have also used it in ways that are not typical of other strong states and that potentially undermine Russian security interests. Understanding the Wagner Group is interesting for comparative academic studies of PMCs, because Wagner doesn’t ﬁt well any existing PMC category or template in the literature. It is also crucial for US and allied policy analysts attempting to attribute “Russian” actions in foreign theaters.","container-title":"Post-Soviet Affairs","DOI":"10.1080/1060586X.2019.1591142","ISSN":"1060-586X, 1938-2855","issue":"3","journalAbbreviation":"Post-Soviet Affairs","language":"en","page":"181-204","source":"DOI.org (Crossref)","title":"Russia’s use of semi-state security forces: the case of the Wagner Group","title-short":"Russia’s use of semi-state security forces","volume":"35","author":[{"family":"Marten","given":"Kimberly"}],"issued":{"date-parts":[["2019",5,4]]}}}],"schema":"https://github.com/citation-style-language/schema/raw/master/csl-citation.json"} </w:instrText>
      </w:r>
      <w:r>
        <w:fldChar w:fldCharType="separate"/>
      </w:r>
      <w:r w:rsidRPr="003165C4">
        <w:rPr>
          <w:rFonts w:ascii="Calibri" w:hAnsi="Calibri" w:cs="Calibri"/>
        </w:rPr>
        <w:t>(Marten, 2019)</w:t>
      </w:r>
      <w:r>
        <w:fldChar w:fldCharType="end"/>
      </w:r>
    </w:p>
    <w:p w14:paraId="3B01D820" w14:textId="746DA1BB" w:rsidR="003165C4" w:rsidRDefault="003165C4" w:rsidP="003165C4">
      <w:pPr>
        <w:pStyle w:val="ListParagraph"/>
        <w:numPr>
          <w:ilvl w:val="4"/>
          <w:numId w:val="1"/>
        </w:numPr>
      </w:pPr>
      <w:r>
        <w:t xml:space="preserve">Research question: </w:t>
      </w:r>
      <w:r w:rsidRPr="003165C4">
        <w:t>Why is Russia using the Wagner group without “legalizing its existence or role?” (abs)</w:t>
      </w:r>
    </w:p>
    <w:p w14:paraId="2CE267DD" w14:textId="703C8B72" w:rsidR="00A67EAD" w:rsidRDefault="00AA3C7E" w:rsidP="00A67EAD">
      <w:pPr>
        <w:pStyle w:val="ListParagraph"/>
        <w:numPr>
          <w:ilvl w:val="4"/>
          <w:numId w:val="1"/>
        </w:numPr>
      </w:pPr>
      <w:r>
        <w:t xml:space="preserve">Case-study </w:t>
      </w:r>
      <w:r w:rsidR="00AE3C64">
        <w:t>research</w:t>
      </w:r>
    </w:p>
    <w:p w14:paraId="5DBE8D46" w14:textId="31CB5A8B" w:rsidR="006950AE" w:rsidRDefault="006950AE" w:rsidP="00A67EAD">
      <w:pPr>
        <w:pStyle w:val="ListParagraph"/>
        <w:numPr>
          <w:ilvl w:val="4"/>
          <w:numId w:val="1"/>
        </w:numPr>
      </w:pPr>
      <w:r>
        <w:t>Main argument:</w:t>
      </w:r>
      <w:r w:rsidR="004844DA">
        <w:t xml:space="preserve"> Wagner is often used in the same way that other states use PMCs, “</w:t>
      </w:r>
      <w:r w:rsidR="004844DA" w:rsidRPr="00D12507">
        <w:t>corrupt informal networks tied to the Russian regime have also used it in ways that are not typical of other strong states and that potentially undermine Russian security interests</w:t>
      </w:r>
      <w:r w:rsidR="004844DA">
        <w:t>” (abs)</w:t>
      </w:r>
      <w:r w:rsidR="00C41A10">
        <w:t xml:space="preserve">. Moscow uses Wagner </w:t>
      </w:r>
      <w:r w:rsidR="00E7294A">
        <w:t xml:space="preserve">in the way we expect, i.e., for purposes of plausible deniability, but </w:t>
      </w:r>
      <w:r w:rsidR="00D04F33">
        <w:t xml:space="preserve">this purpose likely no longer works because </w:t>
      </w:r>
      <w:r w:rsidR="00152759">
        <w:t xml:space="preserve">of how much Wagner has been in the news. Instead, Marten argues, Putin uses Wagner because their technical </w:t>
      </w:r>
      <w:r w:rsidR="00E46DF9">
        <w:t>il</w:t>
      </w:r>
      <w:r w:rsidR="00152759">
        <w:t xml:space="preserve">legal status inside of Russia allows him to control the group and impose state sanctions if they do not listen to him. </w:t>
      </w:r>
    </w:p>
    <w:p w14:paraId="615D6521" w14:textId="159CC86A" w:rsidR="0046070E" w:rsidRDefault="0046070E" w:rsidP="00A67EAD">
      <w:pPr>
        <w:pStyle w:val="ListParagraph"/>
        <w:numPr>
          <w:ilvl w:val="4"/>
          <w:numId w:val="1"/>
        </w:numPr>
      </w:pPr>
      <w:r>
        <w:t>Mentions constructivism, saying Russia should legalize PMCs and sign the Montreaux document to reinforce its membership in the great power club that uses PMCs legally</w:t>
      </w:r>
    </w:p>
    <w:p w14:paraId="3AC15271" w14:textId="5BA966D2" w:rsidR="00E0099A" w:rsidRDefault="00E0099A" w:rsidP="00A67EAD">
      <w:pPr>
        <w:pStyle w:val="ListParagraph"/>
        <w:numPr>
          <w:ilvl w:val="4"/>
          <w:numId w:val="1"/>
        </w:numPr>
      </w:pPr>
      <w:r>
        <w:t>Sovereignty implications</w:t>
      </w:r>
    </w:p>
    <w:p w14:paraId="0CDA73D6" w14:textId="77777777" w:rsidR="00A65E13" w:rsidRDefault="00A65E13" w:rsidP="00A65E13">
      <w:pPr>
        <w:pStyle w:val="ListParagraph"/>
        <w:numPr>
          <w:ilvl w:val="5"/>
          <w:numId w:val="1"/>
        </w:numPr>
      </w:pPr>
    </w:p>
    <w:p w14:paraId="43AC5A2B" w14:textId="7EC5C09C" w:rsidR="00816F27" w:rsidRDefault="00816F27" w:rsidP="00816F27">
      <w:pPr>
        <w:pStyle w:val="ListParagraph"/>
        <w:numPr>
          <w:ilvl w:val="1"/>
          <w:numId w:val="1"/>
        </w:numPr>
      </w:pPr>
      <w:r>
        <w:t>Policy articles</w:t>
      </w:r>
    </w:p>
    <w:p w14:paraId="08790B81" w14:textId="01CEF9E2" w:rsidR="00B3399F" w:rsidRDefault="00B63E63" w:rsidP="00EA2962">
      <w:pPr>
        <w:pStyle w:val="ListParagraph"/>
        <w:numPr>
          <w:ilvl w:val="0"/>
          <w:numId w:val="1"/>
        </w:numPr>
      </w:pPr>
      <w:r>
        <w:t>Major points (from whiteboard)</w:t>
      </w:r>
    </w:p>
    <w:p w14:paraId="7C5504DA" w14:textId="03EEF820" w:rsidR="00B63E63" w:rsidRPr="00CB56EA" w:rsidRDefault="00B63E63" w:rsidP="00EA2962">
      <w:pPr>
        <w:pStyle w:val="ListParagraph"/>
        <w:numPr>
          <w:ilvl w:val="0"/>
          <w:numId w:val="1"/>
        </w:numPr>
      </w:pPr>
      <w:r>
        <w:t>Why is CAR a good case study?</w:t>
      </w:r>
    </w:p>
    <w:sectPr w:rsidR="00B63E63" w:rsidRPr="00CB56EA" w:rsidSect="00484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D7C83"/>
    <w:multiLevelType w:val="hybridMultilevel"/>
    <w:tmpl w:val="EF763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MjAzsjS0MDY0MjdT0lEKTi0uzszPAykwrAUAOQjhsSwAAAA="/>
  </w:docVars>
  <w:rsids>
    <w:rsidRoot w:val="00B6120A"/>
    <w:rsid w:val="00061A8E"/>
    <w:rsid w:val="00152759"/>
    <w:rsid w:val="003165C4"/>
    <w:rsid w:val="0044194B"/>
    <w:rsid w:val="0046070E"/>
    <w:rsid w:val="004844DA"/>
    <w:rsid w:val="006950AE"/>
    <w:rsid w:val="00816F27"/>
    <w:rsid w:val="00A65E13"/>
    <w:rsid w:val="00A67EAD"/>
    <w:rsid w:val="00AA3C7E"/>
    <w:rsid w:val="00AE3C64"/>
    <w:rsid w:val="00B3399F"/>
    <w:rsid w:val="00B6120A"/>
    <w:rsid w:val="00B63E63"/>
    <w:rsid w:val="00C41A10"/>
    <w:rsid w:val="00CB56EA"/>
    <w:rsid w:val="00D04F33"/>
    <w:rsid w:val="00E0099A"/>
    <w:rsid w:val="00E46DF9"/>
    <w:rsid w:val="00E7294A"/>
    <w:rsid w:val="00EA2962"/>
    <w:rsid w:val="00EC3459"/>
    <w:rsid w:val="00F3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7304"/>
  <w15:chartTrackingRefBased/>
  <w15:docId w15:val="{49A55348-4018-4847-97B0-C6F93439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Kunkel</dc:creator>
  <cp:keywords/>
  <dc:description/>
  <cp:lastModifiedBy>Adam Kunkel</cp:lastModifiedBy>
  <cp:revision>24</cp:revision>
  <dcterms:created xsi:type="dcterms:W3CDTF">2022-03-02T18:50:00Z</dcterms:created>
  <dcterms:modified xsi:type="dcterms:W3CDTF">2022-03-02T19:28:00Z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id="uzoBFaF8"/&gt;&lt;style id="http://www.zotero.org/styles/apa" locale="en-US" hasBibliography="1" bibliographyStyleHasBeenSet="0"/&gt;&lt;prefs&gt;&lt;pref name="fieldType" value="Field"/&gt;&lt;/prefs&gt;&lt;/data&gt;</vt:lpwstr>
  </property>
</Properties>
</file>