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DA38C01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42AFE04" w14:textId="77777777" w:rsidR="00346336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1040" w:history="1">
            <w:r w:rsidR="00346336" w:rsidRPr="00A53574">
              <w:rPr>
                <w:rStyle w:val="a7"/>
              </w:rPr>
              <w:t>1.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概述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_Toc60991040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105FD4B8" w14:textId="77777777" w:rsidR="00346336" w:rsidRDefault="009A3A5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1" w:history="1">
            <w:r w:rsidR="00346336" w:rsidRPr="00A53574">
              <w:rPr>
                <w:rStyle w:val="a7"/>
                <w:noProof/>
              </w:rPr>
              <w:t>1.1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目标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_Toc60991041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47705496" w14:textId="77777777" w:rsidR="00346336" w:rsidRDefault="009A3A5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2" w:history="1">
            <w:r w:rsidR="00346336" w:rsidRPr="00A53574">
              <w:rPr>
                <w:rStyle w:val="a7"/>
                <w:noProof/>
              </w:rPr>
              <w:t>1.2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预期读者及阅读建议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_Toc60991042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B69CBBE" w14:textId="77777777" w:rsidR="00346336" w:rsidRDefault="009A3A56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0991043" w:history="1">
            <w:r w:rsidR="00346336" w:rsidRPr="00A53574">
              <w:rPr>
                <w:rStyle w:val="a7"/>
                <w:lang w:eastAsia="zh-CN"/>
              </w:rPr>
              <w:t>2.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系统功能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_Toc60991043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64BA1C47" w14:textId="77777777" w:rsidR="00346336" w:rsidRDefault="009A3A5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4" w:history="1">
            <w:r w:rsidR="00346336" w:rsidRPr="00A53574">
              <w:rPr>
                <w:rStyle w:val="a7"/>
                <w:noProof/>
              </w:rPr>
              <w:t>2.1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服务预约接口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_Toc60991044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52DBAAFB" w14:textId="77777777" w:rsidR="00346336" w:rsidRDefault="009A3A5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5" w:history="1">
            <w:r w:rsidR="00346336" w:rsidRPr="00A53574">
              <w:rPr>
                <w:rStyle w:val="a7"/>
                <w:lang w:eastAsia="zh-CN"/>
              </w:rPr>
              <w:t>2.1.1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接口字段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_Toc60991045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503B3B32" w14:textId="77777777" w:rsidR="00346336" w:rsidRDefault="009A3A5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6" w:history="1">
            <w:r w:rsidR="00346336" w:rsidRPr="00A53574">
              <w:rPr>
                <w:rStyle w:val="a7"/>
                <w:lang w:eastAsia="zh-CN"/>
              </w:rPr>
              <w:t>2.1.2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垫付工单调整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_Toc60991046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0B5AC91B" w14:textId="77777777" w:rsidR="00346336" w:rsidRDefault="009A3A5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7" w:history="1">
            <w:r w:rsidR="00346336" w:rsidRPr="00A53574">
              <w:rPr>
                <w:rStyle w:val="a7"/>
                <w:noProof/>
              </w:rPr>
              <w:t>2.2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数据回传开发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_Toc60991047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4E1BF6A" w14:textId="77777777" w:rsidR="00346336" w:rsidRDefault="009A3A5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8" w:history="1">
            <w:r w:rsidR="00346336" w:rsidRPr="00A53574">
              <w:rPr>
                <w:rStyle w:val="a7"/>
                <w:noProof/>
              </w:rPr>
              <w:t>2.3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产品配置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_Toc60991048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099104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099104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099104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099104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0991044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2514B3">
        <w:rPr>
          <w:rFonts w:hint="eastAsia"/>
          <w:highlight w:val="yellow"/>
          <w:lang w:eastAsia="zh-CN"/>
        </w:rPr>
        <w:t>或院后</w:t>
      </w:r>
      <w:proofErr w:type="gramStart"/>
      <w:r w:rsidR="002514B3" w:rsidRPr="002514B3">
        <w:rPr>
          <w:rFonts w:hint="eastAsia"/>
          <w:highlight w:val="yellow"/>
          <w:lang w:eastAsia="zh-CN"/>
        </w:rPr>
        <w:t>照护工</w:t>
      </w:r>
      <w:proofErr w:type="gramEnd"/>
      <w:r w:rsidR="002514B3" w:rsidRPr="002514B3">
        <w:rPr>
          <w:rFonts w:hint="eastAsia"/>
          <w:highlight w:val="yellow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8C6C53">
        <w:rPr>
          <w:rFonts w:hint="eastAsia"/>
          <w:highlight w:val="yellow"/>
          <w:lang w:eastAsia="zh-CN"/>
        </w:rPr>
        <w:t>院后照护工单规则：未定</w:t>
      </w:r>
      <w:r w:rsidR="00B937CB">
        <w:rPr>
          <w:rFonts w:hint="eastAsia"/>
          <w:highlight w:val="yellow"/>
          <w:lang w:eastAsia="zh-CN"/>
        </w:rPr>
        <w:t>，接口中先设计入口</w:t>
      </w:r>
      <w:r w:rsidR="00EC3637">
        <w:rPr>
          <w:rFonts w:hint="eastAsia"/>
          <w:highlight w:val="yellow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0991045"/>
      <w:r>
        <w:rPr>
          <w:rFonts w:hint="eastAsia"/>
          <w:lang w:eastAsia="zh-CN"/>
        </w:rPr>
        <w:t>接口字段</w:t>
      </w:r>
      <w:bookmarkEnd w:id="18"/>
    </w:p>
    <w:p w14:paraId="6FB8035C" w14:textId="78EEEC06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B131C6">
        <w:rPr>
          <w:lang w:eastAsia="zh-CN"/>
        </w:rPr>
        <w:object w:dxaOrig="1543" w:dyaOrig="1111" w14:anchorId="25267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1952118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F97702">
        <w:rPr>
          <w:highlight w:val="yellow"/>
          <w:lang w:eastAsia="zh-CN"/>
        </w:rPr>
        <w:t>V2.0</w:t>
      </w:r>
      <w:r w:rsidRPr="00F97702">
        <w:rPr>
          <w:rFonts w:hint="eastAsia"/>
          <w:highlight w:val="yellow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Pr="0073569C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19" w:name="_Toc60991046"/>
      <w:r>
        <w:rPr>
          <w:rFonts w:hint="eastAsia"/>
          <w:lang w:eastAsia="zh-CN"/>
        </w:rPr>
        <w:t>垫付工单调整</w:t>
      </w:r>
      <w:bookmarkEnd w:id="19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2156F0F7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条可选原因，原因是做数据回传时安享百万的接口只支持根据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proofErr w:type="gramEnd"/>
            <w:r>
              <w:rPr>
                <w:rFonts w:hint="eastAsia"/>
                <w:lang w:eastAsia="zh-CN"/>
              </w:rPr>
              <w:t>选择</w:t>
            </w:r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77777777" w:rsidR="00837EDB" w:rsidRPr="001E156D" w:rsidRDefault="00837EDB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proofErr w:type="spellStart"/>
                  <w:r w:rsidRPr="001E156D"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</w:rPr>
                    <w:t>垫付取消原因</w:t>
                  </w:r>
                  <w:proofErr w:type="spellEnd"/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rFonts w:hint="eastAsia"/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  <w:bookmarkStart w:id="20" w:name="_GoBack"/>
            <w:bookmarkEnd w:id="20"/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0991047"/>
      <w:r>
        <w:rPr>
          <w:rFonts w:hint="eastAsia"/>
        </w:rPr>
        <w:t>数据回传开发</w:t>
      </w:r>
      <w:bookmarkEnd w:id="21"/>
    </w:p>
    <w:p w14:paraId="041CCA94" w14:textId="2145B686" w:rsidR="005D0D8D" w:rsidRPr="005D0D8D" w:rsidRDefault="005D0D8D" w:rsidP="005D0D8D">
      <w:pPr>
        <w:rPr>
          <w:lang w:eastAsia="zh-CN"/>
        </w:rPr>
      </w:pPr>
      <w:r>
        <w:rPr>
          <w:rFonts w:hint="eastAsia"/>
          <w:lang w:eastAsia="zh-CN"/>
        </w:rPr>
        <w:t>等待安享百万提供对接回传接口再开发。</w:t>
      </w:r>
    </w:p>
    <w:p w14:paraId="0F5E8962" w14:textId="07508207" w:rsidR="0028335E" w:rsidRDefault="0028335E" w:rsidP="00C2731C">
      <w:pPr>
        <w:pStyle w:val="2"/>
      </w:pPr>
      <w:bookmarkStart w:id="22" w:name="_Toc60991048"/>
      <w:r>
        <w:t>产品</w:t>
      </w:r>
      <w:r w:rsidR="00753A96">
        <w:t>配置</w:t>
      </w:r>
      <w:bookmarkEnd w:id="22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14FEB" w14:textId="77777777" w:rsidR="009A3A56" w:rsidRDefault="009A3A56">
      <w:pPr>
        <w:spacing w:line="240" w:lineRule="auto"/>
      </w:pPr>
      <w:r>
        <w:separator/>
      </w:r>
    </w:p>
  </w:endnote>
  <w:endnote w:type="continuationSeparator" w:id="0">
    <w:p w14:paraId="08E23B77" w14:textId="77777777" w:rsidR="009A3A56" w:rsidRDefault="009A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772C5" w14:textId="77777777" w:rsidR="009A3A56" w:rsidRDefault="009A3A56">
      <w:pPr>
        <w:spacing w:line="240" w:lineRule="auto"/>
      </w:pPr>
      <w:r>
        <w:separator/>
      </w:r>
    </w:p>
  </w:footnote>
  <w:footnote w:type="continuationSeparator" w:id="0">
    <w:p w14:paraId="410B3EE0" w14:textId="77777777" w:rsidR="009A3A56" w:rsidRDefault="009A3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7F6883">
      <w:rPr>
        <w:noProof/>
        <w:lang w:eastAsia="zh-CN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4"/>
  </w:num>
  <w:num w:numId="21">
    <w:abstractNumId w:val="5"/>
  </w:num>
  <w:num w:numId="22">
    <w:abstractNumId w:val="8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AA1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57E6A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91F05-0322-4812-967D-01D45276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2699</cp:revision>
  <cp:lastPrinted>1900-12-31T16:00:00Z</cp:lastPrinted>
  <dcterms:created xsi:type="dcterms:W3CDTF">2019-03-26T06:34:00Z</dcterms:created>
  <dcterms:modified xsi:type="dcterms:W3CDTF">2021-01-12T02:22:00Z</dcterms:modified>
</cp:coreProperties>
</file>