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408D" w:rsidRPr="00130472" w:rsidRDefault="00427FCF">
      <w:pPr>
        <w:rPr>
          <w:szCs w:val="21"/>
        </w:rPr>
      </w:pPr>
      <w:r w:rsidRPr="00130472">
        <w:rPr>
          <w:szCs w:val="21"/>
        </w:rPr>
        <w:t>安享百万服务内容及流程</w:t>
      </w:r>
    </w:p>
    <w:p w:rsidR="00427FCF" w:rsidRPr="00130472" w:rsidRDefault="00427FCF">
      <w:pPr>
        <w:rPr>
          <w:szCs w:val="21"/>
        </w:rPr>
      </w:pPr>
    </w:p>
    <w:p w:rsidR="00427FCF" w:rsidRPr="00130472" w:rsidRDefault="00427FCF" w:rsidP="00427FCF">
      <w:pPr>
        <w:pStyle w:val="a3"/>
        <w:numPr>
          <w:ilvl w:val="0"/>
          <w:numId w:val="1"/>
        </w:numPr>
        <w:ind w:firstLineChars="0"/>
        <w:rPr>
          <w:szCs w:val="21"/>
        </w:rPr>
      </w:pPr>
      <w:r w:rsidRPr="00130472">
        <w:rPr>
          <w:szCs w:val="21"/>
        </w:rPr>
        <w:t>住院垫付</w:t>
      </w:r>
    </w:p>
    <w:p w:rsidR="0062369E" w:rsidRPr="00130472" w:rsidRDefault="0062369E" w:rsidP="00E8044D">
      <w:pPr>
        <w:pStyle w:val="a3"/>
        <w:numPr>
          <w:ilvl w:val="0"/>
          <w:numId w:val="3"/>
        </w:numPr>
        <w:spacing w:line="360" w:lineRule="auto"/>
        <w:ind w:firstLineChars="0"/>
        <w:rPr>
          <w:szCs w:val="21"/>
        </w:rPr>
      </w:pPr>
      <w:r w:rsidRPr="00130472">
        <w:rPr>
          <w:rFonts w:hint="eastAsia"/>
          <w:szCs w:val="21"/>
        </w:rPr>
        <w:t>服务内容</w:t>
      </w:r>
      <w:r w:rsidR="00794988" w:rsidRPr="00130472">
        <w:rPr>
          <w:rFonts w:hint="eastAsia"/>
          <w:szCs w:val="21"/>
        </w:rPr>
        <w:t>（远盟判责）</w:t>
      </w:r>
    </w:p>
    <w:tbl>
      <w:tblPr>
        <w:tblW w:w="90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69"/>
        <w:gridCol w:w="2060"/>
        <w:gridCol w:w="6232"/>
      </w:tblGrid>
      <w:tr w:rsidR="0062369E" w:rsidRPr="00130472" w:rsidTr="00255249">
        <w:trPr>
          <w:cantSplit/>
          <w:trHeight w:val="70"/>
        </w:trPr>
        <w:tc>
          <w:tcPr>
            <w:tcW w:w="769" w:type="dxa"/>
            <w:vAlign w:val="center"/>
          </w:tcPr>
          <w:p w:rsidR="0062369E" w:rsidRPr="00130472" w:rsidRDefault="0062369E" w:rsidP="00255249">
            <w:pPr>
              <w:spacing w:line="276" w:lineRule="auto"/>
              <w:jc w:val="center"/>
              <w:rPr>
                <w:rFonts w:ascii="仿宋" w:eastAsia="仿宋" w:hAnsi="仿宋"/>
                <w:b/>
                <w:bCs/>
                <w:szCs w:val="21"/>
              </w:rPr>
            </w:pPr>
            <w:r w:rsidRPr="00130472">
              <w:rPr>
                <w:rFonts w:ascii="仿宋" w:eastAsia="仿宋" w:hAnsi="仿宋" w:cs="宋体" w:hint="eastAsia"/>
                <w:b/>
                <w:bCs/>
                <w:szCs w:val="21"/>
              </w:rPr>
              <w:t>序号</w:t>
            </w:r>
          </w:p>
        </w:tc>
        <w:tc>
          <w:tcPr>
            <w:tcW w:w="2060" w:type="dxa"/>
            <w:vAlign w:val="center"/>
          </w:tcPr>
          <w:p w:rsidR="0062369E" w:rsidRPr="00130472" w:rsidRDefault="0062369E" w:rsidP="00255249">
            <w:pPr>
              <w:spacing w:line="276" w:lineRule="auto"/>
              <w:jc w:val="center"/>
              <w:rPr>
                <w:rFonts w:ascii="仿宋" w:eastAsia="仿宋" w:hAnsi="仿宋"/>
                <w:b/>
                <w:bCs/>
                <w:szCs w:val="21"/>
              </w:rPr>
            </w:pPr>
            <w:r w:rsidRPr="00130472">
              <w:rPr>
                <w:rFonts w:ascii="仿宋" w:eastAsia="仿宋" w:hAnsi="仿宋" w:cs="宋体" w:hint="eastAsia"/>
                <w:b/>
                <w:bCs/>
                <w:szCs w:val="21"/>
              </w:rPr>
              <w:t>服务项目</w:t>
            </w:r>
          </w:p>
        </w:tc>
        <w:tc>
          <w:tcPr>
            <w:tcW w:w="6232" w:type="dxa"/>
            <w:vAlign w:val="center"/>
          </w:tcPr>
          <w:p w:rsidR="0062369E" w:rsidRPr="00130472" w:rsidRDefault="0062369E" w:rsidP="00255249">
            <w:pPr>
              <w:spacing w:line="276" w:lineRule="auto"/>
              <w:jc w:val="center"/>
              <w:rPr>
                <w:rFonts w:ascii="仿宋" w:eastAsia="仿宋" w:hAnsi="仿宋"/>
                <w:b/>
                <w:bCs/>
                <w:szCs w:val="21"/>
              </w:rPr>
            </w:pPr>
            <w:r w:rsidRPr="00130472">
              <w:rPr>
                <w:rFonts w:ascii="仿宋" w:eastAsia="仿宋" w:hAnsi="仿宋" w:cs="宋体" w:hint="eastAsia"/>
                <w:b/>
                <w:bCs/>
                <w:szCs w:val="21"/>
              </w:rPr>
              <w:t>项目说明</w:t>
            </w:r>
          </w:p>
        </w:tc>
      </w:tr>
      <w:tr w:rsidR="0062369E" w:rsidRPr="00130472" w:rsidTr="00255249">
        <w:trPr>
          <w:cantSplit/>
          <w:trHeight w:val="1173"/>
        </w:trPr>
        <w:tc>
          <w:tcPr>
            <w:tcW w:w="769" w:type="dxa"/>
            <w:vAlign w:val="center"/>
          </w:tcPr>
          <w:p w:rsidR="0062369E" w:rsidRPr="00130472" w:rsidRDefault="0062369E" w:rsidP="00255249">
            <w:pPr>
              <w:spacing w:line="276" w:lineRule="auto"/>
              <w:jc w:val="center"/>
              <w:rPr>
                <w:rFonts w:ascii="仿宋" w:eastAsia="仿宋" w:hAnsi="仿宋"/>
                <w:kern w:val="0"/>
                <w:szCs w:val="21"/>
              </w:rPr>
            </w:pPr>
            <w:r w:rsidRPr="00130472">
              <w:rPr>
                <w:rFonts w:ascii="仿宋" w:eastAsia="仿宋" w:hAnsi="仿宋" w:hint="eastAsia"/>
                <w:kern w:val="0"/>
                <w:szCs w:val="21"/>
              </w:rPr>
              <w:t>（</w:t>
            </w:r>
            <w:r w:rsidRPr="00130472">
              <w:rPr>
                <w:rFonts w:ascii="仿宋" w:eastAsia="仿宋" w:hAnsi="仿宋"/>
                <w:kern w:val="0"/>
                <w:szCs w:val="21"/>
              </w:rPr>
              <w:t>1</w:t>
            </w:r>
            <w:r w:rsidRPr="00130472">
              <w:rPr>
                <w:rFonts w:ascii="仿宋" w:eastAsia="仿宋" w:hAnsi="仿宋" w:hint="eastAsia"/>
                <w:kern w:val="0"/>
                <w:szCs w:val="21"/>
              </w:rPr>
              <w:t>）</w:t>
            </w:r>
          </w:p>
        </w:tc>
        <w:tc>
          <w:tcPr>
            <w:tcW w:w="2060" w:type="dxa"/>
            <w:vAlign w:val="center"/>
          </w:tcPr>
          <w:p w:rsidR="0062369E" w:rsidRPr="00130472" w:rsidRDefault="0062369E" w:rsidP="00255249">
            <w:pPr>
              <w:spacing w:line="276" w:lineRule="auto"/>
              <w:rPr>
                <w:rFonts w:ascii="仿宋" w:eastAsia="仿宋" w:hAnsi="仿宋"/>
                <w:szCs w:val="21"/>
              </w:rPr>
            </w:pPr>
            <w:r w:rsidRPr="00130472">
              <w:rPr>
                <w:rFonts w:ascii="仿宋" w:eastAsia="仿宋" w:hAnsi="仿宋" w:cs="宋体" w:hint="eastAsia"/>
                <w:szCs w:val="21"/>
              </w:rPr>
              <w:t>快捷医疗费用垫付服务</w:t>
            </w:r>
          </w:p>
        </w:tc>
        <w:tc>
          <w:tcPr>
            <w:tcW w:w="6232" w:type="dxa"/>
            <w:vAlign w:val="center"/>
          </w:tcPr>
          <w:p w:rsidR="0062369E" w:rsidRPr="00130472" w:rsidRDefault="0062369E" w:rsidP="00255249">
            <w:pPr>
              <w:pStyle w:val="1"/>
              <w:spacing w:line="276" w:lineRule="auto"/>
              <w:ind w:firstLineChars="0" w:firstLine="0"/>
              <w:rPr>
                <w:rFonts w:ascii="仿宋" w:eastAsia="仿宋" w:hAnsi="仿宋" w:cs="宋体"/>
                <w:sz w:val="21"/>
                <w:szCs w:val="21"/>
              </w:rPr>
            </w:pPr>
            <w:r w:rsidRPr="00130472">
              <w:rPr>
                <w:rFonts w:ascii="仿宋" w:eastAsia="仿宋" w:hAnsi="仿宋" w:cs="宋体" w:hint="eastAsia"/>
                <w:sz w:val="21"/>
                <w:szCs w:val="21"/>
              </w:rPr>
              <w:t>客户出险（非急救/急诊/意外伤害）且经远盟核实符合保险责任，远盟可在其保险责任保额范围内或保险公司授权许可的额度范围内为客户垫付医疗费用。</w:t>
            </w:r>
          </w:p>
        </w:tc>
      </w:tr>
      <w:tr w:rsidR="0062369E" w:rsidRPr="00130472" w:rsidTr="00255249">
        <w:trPr>
          <w:cantSplit/>
          <w:trHeight w:val="868"/>
        </w:trPr>
        <w:tc>
          <w:tcPr>
            <w:tcW w:w="769" w:type="dxa"/>
            <w:vAlign w:val="center"/>
          </w:tcPr>
          <w:p w:rsidR="0062369E" w:rsidRPr="00130472" w:rsidRDefault="0062369E" w:rsidP="00255249">
            <w:pPr>
              <w:spacing w:line="276" w:lineRule="auto"/>
              <w:jc w:val="center"/>
              <w:rPr>
                <w:rFonts w:ascii="仿宋" w:eastAsia="仿宋" w:hAnsi="仿宋"/>
                <w:kern w:val="0"/>
                <w:szCs w:val="21"/>
              </w:rPr>
            </w:pPr>
            <w:r w:rsidRPr="00130472">
              <w:rPr>
                <w:rFonts w:ascii="仿宋" w:eastAsia="仿宋" w:hAnsi="仿宋" w:cs="宋体" w:hint="eastAsia"/>
                <w:kern w:val="0"/>
                <w:szCs w:val="21"/>
              </w:rPr>
              <w:t>（</w:t>
            </w:r>
            <w:r w:rsidRPr="00130472">
              <w:rPr>
                <w:rFonts w:ascii="仿宋" w:eastAsia="仿宋" w:hAnsi="仿宋" w:cs="宋体"/>
                <w:kern w:val="0"/>
                <w:szCs w:val="21"/>
              </w:rPr>
              <w:t>2</w:t>
            </w:r>
            <w:r w:rsidRPr="00130472">
              <w:rPr>
                <w:rFonts w:ascii="仿宋" w:eastAsia="仿宋" w:hAnsi="仿宋" w:cs="宋体" w:hint="eastAsia"/>
                <w:kern w:val="0"/>
                <w:szCs w:val="21"/>
              </w:rPr>
              <w:t>）</w:t>
            </w:r>
          </w:p>
        </w:tc>
        <w:tc>
          <w:tcPr>
            <w:tcW w:w="2060" w:type="dxa"/>
            <w:vAlign w:val="center"/>
          </w:tcPr>
          <w:p w:rsidR="0062369E" w:rsidRPr="00130472" w:rsidRDefault="0062369E" w:rsidP="00255249">
            <w:pPr>
              <w:spacing w:line="276" w:lineRule="auto"/>
              <w:rPr>
                <w:rFonts w:ascii="仿宋" w:eastAsia="仿宋" w:hAnsi="仿宋" w:cs="宋体"/>
                <w:szCs w:val="21"/>
              </w:rPr>
            </w:pPr>
            <w:r w:rsidRPr="00130472">
              <w:rPr>
                <w:rFonts w:ascii="仿宋" w:eastAsia="仿宋" w:hAnsi="仿宋" w:cs="宋体" w:hint="eastAsia"/>
                <w:szCs w:val="21"/>
              </w:rPr>
              <w:t>病情跟踪和医疗监控</w:t>
            </w:r>
          </w:p>
        </w:tc>
        <w:tc>
          <w:tcPr>
            <w:tcW w:w="6232" w:type="dxa"/>
            <w:vAlign w:val="center"/>
          </w:tcPr>
          <w:p w:rsidR="0062369E" w:rsidRPr="00130472" w:rsidRDefault="0062369E" w:rsidP="00255249">
            <w:pPr>
              <w:pStyle w:val="1"/>
              <w:spacing w:line="276" w:lineRule="auto"/>
              <w:ind w:firstLineChars="0" w:firstLine="0"/>
              <w:rPr>
                <w:rFonts w:ascii="仿宋" w:eastAsia="仿宋" w:hAnsi="仿宋" w:cs="宋体"/>
                <w:sz w:val="21"/>
                <w:szCs w:val="21"/>
              </w:rPr>
            </w:pPr>
            <w:r w:rsidRPr="00130472">
              <w:rPr>
                <w:rFonts w:ascii="仿宋" w:eastAsia="仿宋" w:hAnsi="仿宋" w:cs="宋体" w:hint="eastAsia"/>
                <w:sz w:val="21"/>
                <w:szCs w:val="21"/>
              </w:rPr>
              <w:t>提供治疗方案评估、治疗进程跟踪、治疗费用监控、垫付费用追加、出院时间确定等服务。</w:t>
            </w:r>
          </w:p>
        </w:tc>
      </w:tr>
      <w:tr w:rsidR="0062369E" w:rsidRPr="00130472" w:rsidTr="00255249">
        <w:trPr>
          <w:cantSplit/>
          <w:trHeight w:val="1173"/>
        </w:trPr>
        <w:tc>
          <w:tcPr>
            <w:tcW w:w="769" w:type="dxa"/>
            <w:vAlign w:val="center"/>
          </w:tcPr>
          <w:p w:rsidR="0062369E" w:rsidRPr="00130472" w:rsidRDefault="0062369E" w:rsidP="00255249">
            <w:pPr>
              <w:spacing w:line="276" w:lineRule="auto"/>
              <w:jc w:val="center"/>
              <w:rPr>
                <w:rFonts w:ascii="仿宋" w:eastAsia="仿宋" w:hAnsi="仿宋"/>
                <w:kern w:val="0"/>
                <w:szCs w:val="21"/>
              </w:rPr>
            </w:pPr>
            <w:r w:rsidRPr="00130472">
              <w:rPr>
                <w:rFonts w:ascii="仿宋" w:eastAsia="仿宋" w:hAnsi="仿宋" w:hint="eastAsia"/>
                <w:kern w:val="0"/>
                <w:szCs w:val="21"/>
              </w:rPr>
              <w:t>（</w:t>
            </w:r>
            <w:r w:rsidRPr="00130472">
              <w:rPr>
                <w:rFonts w:ascii="仿宋" w:eastAsia="仿宋" w:hAnsi="仿宋"/>
                <w:kern w:val="0"/>
                <w:szCs w:val="21"/>
              </w:rPr>
              <w:t>3</w:t>
            </w:r>
            <w:r w:rsidRPr="00130472">
              <w:rPr>
                <w:rFonts w:ascii="仿宋" w:eastAsia="仿宋" w:hAnsi="仿宋" w:hint="eastAsia"/>
                <w:kern w:val="0"/>
                <w:szCs w:val="21"/>
              </w:rPr>
              <w:t>）</w:t>
            </w:r>
          </w:p>
        </w:tc>
        <w:tc>
          <w:tcPr>
            <w:tcW w:w="2060" w:type="dxa"/>
            <w:vAlign w:val="center"/>
          </w:tcPr>
          <w:p w:rsidR="0062369E" w:rsidRPr="00130472" w:rsidRDefault="0062369E" w:rsidP="00255249">
            <w:pPr>
              <w:spacing w:line="276" w:lineRule="auto"/>
              <w:rPr>
                <w:rFonts w:ascii="仿宋" w:eastAsia="仿宋" w:hAnsi="仿宋"/>
                <w:szCs w:val="21"/>
              </w:rPr>
            </w:pPr>
            <w:r w:rsidRPr="00130472">
              <w:rPr>
                <w:rFonts w:ascii="仿宋" w:eastAsia="仿宋" w:hAnsi="仿宋" w:cs="宋体" w:hint="eastAsia"/>
                <w:szCs w:val="21"/>
              </w:rPr>
              <w:t>理赔材料收集</w:t>
            </w:r>
          </w:p>
        </w:tc>
        <w:tc>
          <w:tcPr>
            <w:tcW w:w="6232" w:type="dxa"/>
            <w:vAlign w:val="center"/>
          </w:tcPr>
          <w:p w:rsidR="0062369E" w:rsidRPr="00130472" w:rsidRDefault="0062369E" w:rsidP="00255249">
            <w:pPr>
              <w:pStyle w:val="1"/>
              <w:spacing w:line="276" w:lineRule="auto"/>
              <w:ind w:firstLineChars="0" w:firstLine="0"/>
              <w:rPr>
                <w:rFonts w:ascii="仿宋" w:eastAsia="仿宋" w:hAnsi="仿宋"/>
                <w:sz w:val="21"/>
                <w:szCs w:val="21"/>
              </w:rPr>
            </w:pPr>
            <w:r w:rsidRPr="00130472">
              <w:rPr>
                <w:rFonts w:ascii="仿宋" w:eastAsia="仿宋" w:hAnsi="仿宋" w:hint="eastAsia"/>
                <w:sz w:val="21"/>
                <w:szCs w:val="21"/>
              </w:rPr>
              <w:t>为客户垫付医疗费用后，远盟将前往医院收集其在就医过程中产生的各类医疗单据，包括门诊住院病历、诊断证明、检查报告单、出院小结、医疗收据等，并</w:t>
            </w:r>
            <w:r w:rsidRPr="00130472">
              <w:rPr>
                <w:rFonts w:ascii="仿宋" w:eastAsia="仿宋" w:hAnsi="仿宋" w:cs="宋体" w:hint="eastAsia"/>
                <w:sz w:val="21"/>
                <w:szCs w:val="21"/>
              </w:rPr>
              <w:t>向保险公司申请理赔。</w:t>
            </w:r>
          </w:p>
        </w:tc>
      </w:tr>
    </w:tbl>
    <w:p w:rsidR="0062369E" w:rsidRPr="00130472" w:rsidRDefault="0062369E" w:rsidP="0062369E">
      <w:pPr>
        <w:pStyle w:val="a3"/>
        <w:spacing w:line="360" w:lineRule="auto"/>
        <w:ind w:left="780" w:firstLineChars="0" w:firstLine="0"/>
        <w:rPr>
          <w:szCs w:val="21"/>
        </w:rPr>
      </w:pPr>
    </w:p>
    <w:p w:rsidR="00427FCF" w:rsidRPr="00130472" w:rsidRDefault="00427FCF" w:rsidP="00E8044D">
      <w:pPr>
        <w:pStyle w:val="a3"/>
        <w:numPr>
          <w:ilvl w:val="0"/>
          <w:numId w:val="3"/>
        </w:numPr>
        <w:spacing w:line="360" w:lineRule="auto"/>
        <w:ind w:firstLineChars="0"/>
        <w:rPr>
          <w:szCs w:val="21"/>
        </w:rPr>
      </w:pPr>
      <w:r w:rsidRPr="00130472">
        <w:rPr>
          <w:rFonts w:hint="eastAsia"/>
          <w:szCs w:val="21"/>
        </w:rPr>
        <w:t>客户</w:t>
      </w:r>
      <w:r w:rsidRPr="00130472">
        <w:rPr>
          <w:szCs w:val="21"/>
        </w:rPr>
        <w:t>服务申请方式</w:t>
      </w:r>
      <w:r w:rsidRPr="00130472">
        <w:rPr>
          <w:rFonts w:hint="eastAsia"/>
          <w:szCs w:val="21"/>
        </w:rPr>
        <w:t>：</w:t>
      </w:r>
      <w:r w:rsidRPr="00130472">
        <w:rPr>
          <w:szCs w:val="21"/>
        </w:rPr>
        <w:t>客户通过太保官微或者</w:t>
      </w:r>
      <w:r w:rsidRPr="00130472">
        <w:rPr>
          <w:rFonts w:hint="eastAsia"/>
          <w:szCs w:val="21"/>
        </w:rPr>
        <w:t>9</w:t>
      </w:r>
      <w:r w:rsidRPr="00130472">
        <w:rPr>
          <w:szCs w:val="21"/>
        </w:rPr>
        <w:t>5500</w:t>
      </w:r>
      <w:r w:rsidRPr="00130472">
        <w:rPr>
          <w:szCs w:val="21"/>
        </w:rPr>
        <w:t>提出服务申请</w:t>
      </w:r>
      <w:r w:rsidRPr="00130472">
        <w:rPr>
          <w:rFonts w:hint="eastAsia"/>
          <w:szCs w:val="21"/>
        </w:rPr>
        <w:t>（</w:t>
      </w:r>
      <w:r w:rsidRPr="00130472">
        <w:rPr>
          <w:rFonts w:hint="eastAsia"/>
          <w:szCs w:val="21"/>
          <w:highlight w:val="green"/>
        </w:rPr>
        <w:t>若客户为第二次申请服务，也需要引导客户到太保端发起申请，不能直接通过远盟发起服务申请</w:t>
      </w:r>
      <w:r w:rsidRPr="00130472">
        <w:rPr>
          <w:rFonts w:hint="eastAsia"/>
          <w:szCs w:val="21"/>
        </w:rPr>
        <w:t>）</w:t>
      </w:r>
    </w:p>
    <w:p w:rsidR="00E8044D" w:rsidRPr="00130472" w:rsidRDefault="00E8044D" w:rsidP="00756B1B">
      <w:pPr>
        <w:pStyle w:val="a3"/>
        <w:ind w:left="782" w:firstLineChars="0" w:firstLine="0"/>
        <w:rPr>
          <w:szCs w:val="21"/>
        </w:rPr>
      </w:pPr>
    </w:p>
    <w:p w:rsidR="00427FCF" w:rsidRPr="00130472" w:rsidRDefault="00427FCF" w:rsidP="00E8044D">
      <w:pPr>
        <w:pStyle w:val="a3"/>
        <w:numPr>
          <w:ilvl w:val="0"/>
          <w:numId w:val="3"/>
        </w:numPr>
        <w:spacing w:line="360" w:lineRule="auto"/>
        <w:ind w:firstLineChars="0"/>
        <w:rPr>
          <w:szCs w:val="21"/>
        </w:rPr>
      </w:pPr>
      <w:r w:rsidRPr="00130472">
        <w:rPr>
          <w:szCs w:val="21"/>
        </w:rPr>
        <w:t>远盟接收申请方式</w:t>
      </w:r>
      <w:r w:rsidRPr="00130472">
        <w:rPr>
          <w:rFonts w:hint="eastAsia"/>
          <w:szCs w:val="21"/>
        </w:rPr>
        <w:t>：</w:t>
      </w:r>
      <w:r w:rsidRPr="00130472">
        <w:rPr>
          <w:szCs w:val="21"/>
        </w:rPr>
        <w:t>系统工单</w:t>
      </w:r>
      <w:r w:rsidRPr="00130472">
        <w:rPr>
          <w:rFonts w:hint="eastAsia"/>
          <w:szCs w:val="21"/>
        </w:rPr>
        <w:t>（远盟同太保已完成系统对接）</w:t>
      </w:r>
    </w:p>
    <w:p w:rsidR="00E8044D" w:rsidRPr="00130472" w:rsidRDefault="00E8044D" w:rsidP="00756B1B">
      <w:pPr>
        <w:rPr>
          <w:szCs w:val="21"/>
        </w:rPr>
      </w:pPr>
    </w:p>
    <w:p w:rsidR="00427FCF" w:rsidRPr="00130472" w:rsidRDefault="00427FCF" w:rsidP="00E8044D">
      <w:pPr>
        <w:pStyle w:val="a3"/>
        <w:numPr>
          <w:ilvl w:val="0"/>
          <w:numId w:val="3"/>
        </w:numPr>
        <w:spacing w:line="360" w:lineRule="auto"/>
        <w:ind w:firstLineChars="0"/>
        <w:rPr>
          <w:szCs w:val="21"/>
        </w:rPr>
      </w:pPr>
      <w:r w:rsidRPr="00130472">
        <w:rPr>
          <w:rFonts w:hint="eastAsia"/>
          <w:szCs w:val="21"/>
        </w:rPr>
        <w:t>客户身份验证：远盟不做会员身份校验，只要接到工单信息均视为太保享有垫付服务的客户，但需要查看客户是否在服务有效期内（客户住院时间在保单生效开始日期及下期保费缴纳日期之间的则视为有效期内客户）</w:t>
      </w:r>
    </w:p>
    <w:p w:rsidR="00E8044D" w:rsidRPr="00130472" w:rsidRDefault="00E8044D" w:rsidP="00756B1B">
      <w:pPr>
        <w:pStyle w:val="a3"/>
        <w:ind w:left="782" w:firstLineChars="0" w:firstLine="0"/>
        <w:rPr>
          <w:szCs w:val="21"/>
        </w:rPr>
      </w:pPr>
    </w:p>
    <w:p w:rsidR="00427FCF" w:rsidRPr="00130472" w:rsidRDefault="0085011E" w:rsidP="00E8044D">
      <w:pPr>
        <w:pStyle w:val="a3"/>
        <w:numPr>
          <w:ilvl w:val="0"/>
          <w:numId w:val="3"/>
        </w:numPr>
        <w:spacing w:line="360" w:lineRule="auto"/>
        <w:ind w:firstLineChars="0"/>
        <w:rPr>
          <w:szCs w:val="21"/>
        </w:rPr>
      </w:pPr>
      <w:r w:rsidRPr="00130472">
        <w:rPr>
          <w:rFonts w:hint="eastAsia"/>
          <w:szCs w:val="21"/>
        </w:rPr>
        <w:t>服务时效：</w:t>
      </w:r>
    </w:p>
    <w:p w:rsidR="0085011E" w:rsidRPr="00130472" w:rsidRDefault="0085011E" w:rsidP="0085011E">
      <w:pPr>
        <w:pStyle w:val="a3"/>
        <w:numPr>
          <w:ilvl w:val="0"/>
          <w:numId w:val="2"/>
        </w:numPr>
        <w:spacing w:line="360" w:lineRule="auto"/>
        <w:ind w:firstLineChars="0"/>
        <w:rPr>
          <w:szCs w:val="21"/>
        </w:rPr>
      </w:pPr>
      <w:r w:rsidRPr="00130472">
        <w:rPr>
          <w:szCs w:val="21"/>
        </w:rPr>
        <w:t>服务响应时效</w:t>
      </w:r>
      <w:r w:rsidRPr="00130472">
        <w:rPr>
          <w:rFonts w:hint="eastAsia"/>
          <w:szCs w:val="21"/>
        </w:rPr>
        <w:t>：收到太保平台订单信息</w:t>
      </w:r>
      <w:r w:rsidRPr="00130472">
        <w:rPr>
          <w:szCs w:val="21"/>
        </w:rPr>
        <w:t>30</w:t>
      </w:r>
      <w:r w:rsidRPr="00130472">
        <w:rPr>
          <w:szCs w:val="21"/>
        </w:rPr>
        <w:t>分钟内</w:t>
      </w:r>
      <w:r w:rsidRPr="00130472">
        <w:rPr>
          <w:rFonts w:hint="eastAsia"/>
          <w:szCs w:val="21"/>
        </w:rPr>
        <w:t>同</w:t>
      </w:r>
      <w:r w:rsidRPr="00130472">
        <w:rPr>
          <w:szCs w:val="21"/>
        </w:rPr>
        <w:t>客户联系</w:t>
      </w:r>
    </w:p>
    <w:p w:rsidR="0085011E" w:rsidRPr="00130472" w:rsidRDefault="0085011E" w:rsidP="0085011E">
      <w:pPr>
        <w:pStyle w:val="a3"/>
        <w:numPr>
          <w:ilvl w:val="0"/>
          <w:numId w:val="2"/>
        </w:numPr>
        <w:spacing w:line="360" w:lineRule="auto"/>
        <w:ind w:firstLineChars="0"/>
        <w:rPr>
          <w:szCs w:val="21"/>
        </w:rPr>
      </w:pPr>
      <w:r w:rsidRPr="00130472">
        <w:rPr>
          <w:szCs w:val="21"/>
        </w:rPr>
        <w:t>责任判定</w:t>
      </w:r>
      <w:r w:rsidRPr="00130472">
        <w:rPr>
          <w:rFonts w:hint="eastAsia"/>
          <w:szCs w:val="21"/>
        </w:rPr>
        <w:t>：</w:t>
      </w:r>
      <w:r w:rsidRPr="00130472">
        <w:rPr>
          <w:szCs w:val="21"/>
        </w:rPr>
        <w:t>收到完整就医材料后</w:t>
      </w:r>
      <w:r w:rsidRPr="00130472">
        <w:rPr>
          <w:rFonts w:hint="eastAsia"/>
          <w:szCs w:val="21"/>
        </w:rPr>
        <w:t>1</w:t>
      </w:r>
      <w:r w:rsidRPr="00130472">
        <w:rPr>
          <w:rFonts w:hint="eastAsia"/>
          <w:szCs w:val="21"/>
        </w:rPr>
        <w:t>个工作日（</w:t>
      </w:r>
      <w:r w:rsidRPr="00130472">
        <w:rPr>
          <w:rFonts w:hint="eastAsia"/>
          <w:szCs w:val="21"/>
          <w:highlight w:val="green"/>
        </w:rPr>
        <w:t>每个案件初审通过后均需安排人员到医院进行就医材料收集，需拍照证明，照片后期需同步上传至太保系统</w:t>
      </w:r>
      <w:r w:rsidRPr="00130472">
        <w:rPr>
          <w:rFonts w:hint="eastAsia"/>
          <w:szCs w:val="21"/>
        </w:rPr>
        <w:t>）</w:t>
      </w:r>
    </w:p>
    <w:p w:rsidR="0085011E" w:rsidRPr="00130472" w:rsidRDefault="0085011E" w:rsidP="0085011E">
      <w:pPr>
        <w:pStyle w:val="a3"/>
        <w:numPr>
          <w:ilvl w:val="0"/>
          <w:numId w:val="2"/>
        </w:numPr>
        <w:spacing w:line="360" w:lineRule="auto"/>
        <w:ind w:firstLineChars="0"/>
        <w:rPr>
          <w:szCs w:val="21"/>
        </w:rPr>
      </w:pPr>
      <w:r w:rsidRPr="00130472">
        <w:rPr>
          <w:szCs w:val="21"/>
        </w:rPr>
        <w:t>垫付实施</w:t>
      </w:r>
      <w:r w:rsidRPr="00130472">
        <w:rPr>
          <w:rFonts w:hint="eastAsia"/>
          <w:szCs w:val="21"/>
        </w:rPr>
        <w:t>：</w:t>
      </w:r>
      <w:r w:rsidRPr="00130472">
        <w:rPr>
          <w:szCs w:val="21"/>
        </w:rPr>
        <w:t>责任判定后</w:t>
      </w:r>
      <w:r w:rsidRPr="00130472">
        <w:rPr>
          <w:rFonts w:hint="eastAsia"/>
          <w:szCs w:val="21"/>
        </w:rPr>
        <w:t>2</w:t>
      </w:r>
      <w:r w:rsidRPr="00130472">
        <w:rPr>
          <w:szCs w:val="21"/>
        </w:rPr>
        <w:t>4</w:t>
      </w:r>
      <w:r w:rsidRPr="00130472">
        <w:rPr>
          <w:szCs w:val="21"/>
        </w:rPr>
        <w:t>小时</w:t>
      </w:r>
    </w:p>
    <w:p w:rsidR="0085011E" w:rsidRPr="00130472" w:rsidRDefault="0085011E" w:rsidP="0085011E">
      <w:pPr>
        <w:pStyle w:val="a3"/>
        <w:numPr>
          <w:ilvl w:val="0"/>
          <w:numId w:val="2"/>
        </w:numPr>
        <w:spacing w:line="360" w:lineRule="auto"/>
        <w:ind w:firstLineChars="0"/>
        <w:rPr>
          <w:szCs w:val="21"/>
        </w:rPr>
      </w:pPr>
      <w:r w:rsidRPr="00130472">
        <w:rPr>
          <w:rFonts w:hint="eastAsia"/>
          <w:szCs w:val="21"/>
        </w:rPr>
        <w:t>理赔材料系统上传及原件邮寄：收集到完整就医材料后</w:t>
      </w:r>
      <w:r w:rsidRPr="00130472">
        <w:rPr>
          <w:rFonts w:hint="eastAsia"/>
          <w:szCs w:val="21"/>
        </w:rPr>
        <w:t>1</w:t>
      </w:r>
      <w:r w:rsidRPr="00130472">
        <w:rPr>
          <w:rFonts w:hint="eastAsia"/>
          <w:szCs w:val="21"/>
        </w:rPr>
        <w:t>个工作日内完成</w:t>
      </w:r>
    </w:p>
    <w:p w:rsidR="00E8044D" w:rsidRPr="00130472" w:rsidRDefault="00E8044D" w:rsidP="00756B1B">
      <w:pPr>
        <w:pStyle w:val="a3"/>
        <w:ind w:left="839" w:firstLineChars="0" w:firstLine="0"/>
        <w:rPr>
          <w:szCs w:val="21"/>
        </w:rPr>
      </w:pPr>
    </w:p>
    <w:p w:rsidR="00DE2232" w:rsidRPr="00130472" w:rsidRDefault="0085011E" w:rsidP="00DE2232">
      <w:pPr>
        <w:pStyle w:val="a3"/>
        <w:numPr>
          <w:ilvl w:val="0"/>
          <w:numId w:val="3"/>
        </w:numPr>
        <w:spacing w:line="360" w:lineRule="auto"/>
        <w:ind w:firstLineChars="0"/>
        <w:rPr>
          <w:szCs w:val="21"/>
        </w:rPr>
      </w:pPr>
      <w:r w:rsidRPr="00130472">
        <w:rPr>
          <w:rFonts w:hint="eastAsia"/>
          <w:szCs w:val="21"/>
        </w:rPr>
        <w:t>服务</w:t>
      </w:r>
      <w:r w:rsidR="00E8044D" w:rsidRPr="00130472">
        <w:rPr>
          <w:rFonts w:hint="eastAsia"/>
          <w:szCs w:val="21"/>
        </w:rPr>
        <w:t>过程状态</w:t>
      </w:r>
    </w:p>
    <w:p w:rsidR="00DE2232" w:rsidRPr="00130472" w:rsidRDefault="00DE2232" w:rsidP="00DE2232">
      <w:pPr>
        <w:pStyle w:val="a3"/>
        <w:spacing w:line="360" w:lineRule="auto"/>
        <w:ind w:left="780" w:firstLineChars="0" w:firstLine="0"/>
        <w:rPr>
          <w:szCs w:val="21"/>
        </w:rPr>
      </w:pPr>
    </w:p>
    <w:p w:rsidR="0085011E" w:rsidRPr="00130472" w:rsidRDefault="00DE2232" w:rsidP="00DE2232">
      <w:pPr>
        <w:pStyle w:val="a3"/>
        <w:numPr>
          <w:ilvl w:val="0"/>
          <w:numId w:val="3"/>
        </w:numPr>
        <w:spacing w:line="360" w:lineRule="auto"/>
        <w:ind w:firstLineChars="0"/>
        <w:rPr>
          <w:szCs w:val="21"/>
        </w:rPr>
      </w:pPr>
      <w:r w:rsidRPr="00130472">
        <w:rPr>
          <w:szCs w:val="21"/>
        </w:rPr>
        <w:t>服务</w:t>
      </w:r>
      <w:r w:rsidR="0085011E" w:rsidRPr="00130472">
        <w:rPr>
          <w:rFonts w:hint="eastAsia"/>
          <w:szCs w:val="21"/>
        </w:rPr>
        <w:t>最终状态</w:t>
      </w:r>
      <w:r w:rsidR="00E8044D" w:rsidRPr="00130472">
        <w:rPr>
          <w:rFonts w:hint="eastAsia"/>
          <w:szCs w:val="21"/>
        </w:rPr>
        <w:t>（回传给太保系统的最终状态）</w:t>
      </w:r>
    </w:p>
    <w:p w:rsidR="0085011E" w:rsidRPr="00130472" w:rsidRDefault="0085011E" w:rsidP="0085011E">
      <w:pPr>
        <w:spacing w:line="360" w:lineRule="auto"/>
        <w:ind w:left="420"/>
        <w:rPr>
          <w:szCs w:val="21"/>
        </w:rPr>
      </w:pPr>
      <w:r w:rsidRPr="00130472">
        <w:rPr>
          <w:rFonts w:hint="eastAsia"/>
          <w:szCs w:val="21"/>
        </w:rPr>
        <w:lastRenderedPageBreak/>
        <w:t>A</w:t>
      </w:r>
      <w:r w:rsidRPr="00130472">
        <w:rPr>
          <w:rFonts w:hint="eastAsia"/>
          <w:szCs w:val="21"/>
        </w:rPr>
        <w:t>、住院垫付完成：经远盟完成上门收取材料，判定符合保险理赔责任并且已经为客户进行了费用垫付的。</w:t>
      </w:r>
    </w:p>
    <w:p w:rsidR="0085011E" w:rsidRPr="00130472" w:rsidRDefault="0085011E" w:rsidP="0085011E">
      <w:pPr>
        <w:spacing w:line="360" w:lineRule="auto"/>
        <w:ind w:left="420"/>
        <w:rPr>
          <w:szCs w:val="21"/>
        </w:rPr>
      </w:pPr>
      <w:r w:rsidRPr="00130472">
        <w:rPr>
          <w:rFonts w:hint="eastAsia"/>
          <w:szCs w:val="21"/>
        </w:rPr>
        <w:t>B</w:t>
      </w:r>
      <w:r w:rsidRPr="00130472">
        <w:rPr>
          <w:rFonts w:hint="eastAsia"/>
          <w:szCs w:val="21"/>
        </w:rPr>
        <w:t>、住院垫付未完成：（</w:t>
      </w:r>
      <w:r w:rsidRPr="00130472">
        <w:rPr>
          <w:rFonts w:hint="eastAsia"/>
          <w:szCs w:val="21"/>
        </w:rPr>
        <w:t>1</w:t>
      </w:r>
      <w:r w:rsidRPr="00130472">
        <w:rPr>
          <w:rFonts w:hint="eastAsia"/>
          <w:szCs w:val="21"/>
        </w:rPr>
        <w:t>）远盟收到客户需求后且完成上门收集客户材料进行责任评估时客户取消垫付申请的，（</w:t>
      </w:r>
      <w:r w:rsidRPr="00130472">
        <w:rPr>
          <w:rFonts w:hint="eastAsia"/>
          <w:szCs w:val="21"/>
        </w:rPr>
        <w:t>2</w:t>
      </w:r>
      <w:r w:rsidRPr="00130472">
        <w:rPr>
          <w:rFonts w:hint="eastAsia"/>
          <w:szCs w:val="21"/>
        </w:rPr>
        <w:t>）远盟完成上门收集材料后判定不符合保险责任的。</w:t>
      </w:r>
    </w:p>
    <w:p w:rsidR="0085011E" w:rsidRPr="00130472" w:rsidRDefault="0085011E" w:rsidP="0085011E">
      <w:pPr>
        <w:spacing w:line="360" w:lineRule="auto"/>
        <w:ind w:left="420"/>
        <w:rPr>
          <w:szCs w:val="21"/>
        </w:rPr>
      </w:pPr>
      <w:r w:rsidRPr="00130472">
        <w:rPr>
          <w:rFonts w:hint="eastAsia"/>
          <w:szCs w:val="21"/>
        </w:rPr>
        <w:t>C</w:t>
      </w:r>
      <w:r w:rsidRPr="00130472">
        <w:rPr>
          <w:rFonts w:hint="eastAsia"/>
          <w:szCs w:val="21"/>
        </w:rPr>
        <w:t>、住院垫付取消：根据首通电话沟通后判定客户不需要进行后续垫付服务的，如：客户仅咨询垫付流程、客户需求提交错误、客户仅申请院后照护服务、客户未住院</w:t>
      </w:r>
      <w:r w:rsidRPr="00130472">
        <w:rPr>
          <w:rFonts w:hint="eastAsia"/>
          <w:szCs w:val="21"/>
        </w:rPr>
        <w:t>/</w:t>
      </w:r>
      <w:r w:rsidRPr="00130472">
        <w:rPr>
          <w:rFonts w:hint="eastAsia"/>
          <w:szCs w:val="21"/>
        </w:rPr>
        <w:t>门诊，客户无法联系（多次电话及短信均无无法联系上，超过</w:t>
      </w:r>
      <w:r w:rsidRPr="00130472">
        <w:rPr>
          <w:rFonts w:hint="eastAsia"/>
          <w:szCs w:val="21"/>
        </w:rPr>
        <w:t>3</w:t>
      </w:r>
      <w:r w:rsidRPr="00130472">
        <w:rPr>
          <w:rFonts w:hint="eastAsia"/>
          <w:szCs w:val="21"/>
        </w:rPr>
        <w:t>天未联系上）。</w:t>
      </w:r>
    </w:p>
    <w:p w:rsidR="00DE2232" w:rsidRPr="00130472" w:rsidRDefault="00DE2232" w:rsidP="0085011E">
      <w:pPr>
        <w:spacing w:line="360" w:lineRule="auto"/>
        <w:ind w:left="420"/>
        <w:rPr>
          <w:szCs w:val="21"/>
        </w:rPr>
      </w:pPr>
    </w:p>
    <w:p w:rsidR="00DE2232" w:rsidRPr="00130472" w:rsidRDefault="00DE2232" w:rsidP="00DE2232">
      <w:pPr>
        <w:pStyle w:val="a3"/>
        <w:numPr>
          <w:ilvl w:val="0"/>
          <w:numId w:val="3"/>
        </w:numPr>
        <w:spacing w:line="360" w:lineRule="auto"/>
        <w:ind w:firstLineChars="0"/>
        <w:rPr>
          <w:szCs w:val="21"/>
        </w:rPr>
      </w:pPr>
      <w:r w:rsidRPr="00130472">
        <w:rPr>
          <w:rFonts w:hint="eastAsia"/>
          <w:szCs w:val="21"/>
        </w:rPr>
        <w:t>服务</w:t>
      </w:r>
      <w:r w:rsidRPr="00130472">
        <w:rPr>
          <w:szCs w:val="21"/>
        </w:rPr>
        <w:t>使用次数</w:t>
      </w:r>
    </w:p>
    <w:p w:rsidR="00DE2232" w:rsidRPr="00130472" w:rsidRDefault="00DE2232" w:rsidP="00DE2232">
      <w:pPr>
        <w:spacing w:line="360" w:lineRule="auto"/>
        <w:ind w:left="420"/>
        <w:rPr>
          <w:szCs w:val="21"/>
        </w:rPr>
      </w:pPr>
      <w:r w:rsidRPr="00130472">
        <w:rPr>
          <w:szCs w:val="21"/>
        </w:rPr>
        <w:t>保险有效期内不限使用次数</w:t>
      </w:r>
      <w:r w:rsidRPr="00130472">
        <w:rPr>
          <w:rFonts w:hint="eastAsia"/>
          <w:szCs w:val="21"/>
        </w:rPr>
        <w:t>，</w:t>
      </w:r>
      <w:r w:rsidR="006878A7" w:rsidRPr="00130472">
        <w:rPr>
          <w:szCs w:val="21"/>
        </w:rPr>
        <w:t>但需要上个案件完成后才能申请下次服务</w:t>
      </w:r>
      <w:r w:rsidR="006878A7" w:rsidRPr="00130472">
        <w:rPr>
          <w:rFonts w:hint="eastAsia"/>
          <w:szCs w:val="21"/>
        </w:rPr>
        <w:t>；</w:t>
      </w:r>
    </w:p>
    <w:p w:rsidR="0085011E" w:rsidRPr="00130472" w:rsidRDefault="0085011E" w:rsidP="00427FCF">
      <w:pPr>
        <w:pStyle w:val="a3"/>
        <w:ind w:left="420" w:firstLineChars="0" w:firstLine="0"/>
        <w:rPr>
          <w:szCs w:val="21"/>
        </w:rPr>
      </w:pPr>
    </w:p>
    <w:p w:rsidR="00DE2232" w:rsidRPr="00130472" w:rsidRDefault="00DE2232" w:rsidP="00427FCF">
      <w:pPr>
        <w:pStyle w:val="a3"/>
        <w:ind w:left="420" w:firstLineChars="0" w:firstLine="0"/>
        <w:rPr>
          <w:szCs w:val="21"/>
        </w:rPr>
      </w:pPr>
    </w:p>
    <w:p w:rsidR="00427FCF" w:rsidRPr="00130472" w:rsidRDefault="00427FCF" w:rsidP="00427FCF">
      <w:pPr>
        <w:pStyle w:val="a3"/>
        <w:numPr>
          <w:ilvl w:val="0"/>
          <w:numId w:val="1"/>
        </w:numPr>
        <w:ind w:firstLineChars="0"/>
        <w:rPr>
          <w:szCs w:val="21"/>
        </w:rPr>
      </w:pPr>
      <w:r w:rsidRPr="00130472">
        <w:rPr>
          <w:szCs w:val="21"/>
        </w:rPr>
        <w:t>院后照护</w:t>
      </w:r>
    </w:p>
    <w:p w:rsidR="0062369E" w:rsidRPr="00130472" w:rsidRDefault="00A97DCC" w:rsidP="007215FE">
      <w:pPr>
        <w:pStyle w:val="a3"/>
        <w:numPr>
          <w:ilvl w:val="0"/>
          <w:numId w:val="4"/>
        </w:numPr>
        <w:spacing w:line="360" w:lineRule="auto"/>
        <w:ind w:firstLineChars="0"/>
        <w:rPr>
          <w:szCs w:val="21"/>
        </w:rPr>
      </w:pPr>
      <w:r w:rsidRPr="00130472">
        <w:rPr>
          <w:rFonts w:hint="eastAsia"/>
          <w:szCs w:val="21"/>
        </w:rPr>
        <w:t>服务</w:t>
      </w:r>
      <w:r w:rsidR="0062369E" w:rsidRPr="00130472">
        <w:rPr>
          <w:rFonts w:hint="eastAsia"/>
          <w:szCs w:val="21"/>
        </w:rPr>
        <w:t>内容介绍：</w:t>
      </w:r>
    </w:p>
    <w:tbl>
      <w:tblPr>
        <w:tblW w:w="9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2"/>
        <w:gridCol w:w="1110"/>
        <w:gridCol w:w="7489"/>
      </w:tblGrid>
      <w:tr w:rsidR="0062369E" w:rsidRPr="00130472" w:rsidTr="00255249">
        <w:trPr>
          <w:trHeight w:val="84"/>
        </w:trPr>
        <w:tc>
          <w:tcPr>
            <w:tcW w:w="462" w:type="dxa"/>
            <w:vAlign w:val="center"/>
          </w:tcPr>
          <w:p w:rsidR="0062369E" w:rsidRPr="00130472" w:rsidRDefault="0062369E" w:rsidP="00255249">
            <w:pPr>
              <w:jc w:val="center"/>
              <w:rPr>
                <w:rFonts w:ascii="仿宋" w:eastAsia="仿宋" w:hAnsi="仿宋" w:cs="宋体"/>
                <w:b/>
                <w:szCs w:val="21"/>
              </w:rPr>
            </w:pPr>
            <w:r w:rsidRPr="00130472">
              <w:rPr>
                <w:rFonts w:ascii="仿宋" w:eastAsia="仿宋" w:hAnsi="仿宋" w:cs="宋体" w:hint="eastAsia"/>
                <w:b/>
                <w:szCs w:val="21"/>
              </w:rPr>
              <w:t>序号</w:t>
            </w:r>
          </w:p>
        </w:tc>
        <w:tc>
          <w:tcPr>
            <w:tcW w:w="1110" w:type="dxa"/>
            <w:vAlign w:val="center"/>
          </w:tcPr>
          <w:p w:rsidR="0062369E" w:rsidRPr="00130472" w:rsidRDefault="0062369E" w:rsidP="00255249">
            <w:pPr>
              <w:jc w:val="center"/>
              <w:rPr>
                <w:rFonts w:ascii="仿宋" w:eastAsia="仿宋" w:hAnsi="仿宋" w:cs="宋体"/>
                <w:b/>
                <w:szCs w:val="21"/>
              </w:rPr>
            </w:pPr>
            <w:r w:rsidRPr="00130472">
              <w:rPr>
                <w:rFonts w:ascii="仿宋" w:eastAsia="仿宋" w:hAnsi="仿宋" w:cs="宋体" w:hint="eastAsia"/>
                <w:b/>
                <w:szCs w:val="21"/>
              </w:rPr>
              <w:t>项目</w:t>
            </w:r>
          </w:p>
        </w:tc>
        <w:tc>
          <w:tcPr>
            <w:tcW w:w="7489" w:type="dxa"/>
            <w:vAlign w:val="center"/>
          </w:tcPr>
          <w:p w:rsidR="0062369E" w:rsidRPr="00130472" w:rsidRDefault="0062369E" w:rsidP="00255249">
            <w:pPr>
              <w:jc w:val="center"/>
              <w:rPr>
                <w:rFonts w:ascii="仿宋" w:eastAsia="仿宋" w:hAnsi="仿宋" w:cs="宋体"/>
                <w:b/>
                <w:szCs w:val="21"/>
              </w:rPr>
            </w:pPr>
            <w:r w:rsidRPr="00130472">
              <w:rPr>
                <w:rFonts w:ascii="仿宋" w:eastAsia="仿宋" w:hAnsi="仿宋" w:cs="宋体" w:hint="eastAsia"/>
                <w:b/>
                <w:szCs w:val="21"/>
              </w:rPr>
              <w:t>项目说明</w:t>
            </w:r>
          </w:p>
        </w:tc>
      </w:tr>
      <w:tr w:rsidR="0062369E" w:rsidRPr="00130472" w:rsidTr="00255249">
        <w:tc>
          <w:tcPr>
            <w:tcW w:w="462" w:type="dxa"/>
            <w:vAlign w:val="center"/>
          </w:tcPr>
          <w:p w:rsidR="0062369E" w:rsidRPr="00130472" w:rsidRDefault="0062369E" w:rsidP="0062369E">
            <w:pPr>
              <w:pStyle w:val="a3"/>
              <w:widowControl/>
              <w:numPr>
                <w:ilvl w:val="1"/>
                <w:numId w:val="7"/>
              </w:numPr>
              <w:ind w:firstLineChars="0"/>
              <w:rPr>
                <w:rFonts w:ascii="仿宋" w:eastAsia="仿宋" w:hAnsi="仿宋" w:cs="宋体"/>
                <w:szCs w:val="21"/>
              </w:rPr>
            </w:pPr>
          </w:p>
        </w:tc>
        <w:tc>
          <w:tcPr>
            <w:tcW w:w="1110" w:type="dxa"/>
            <w:shd w:val="clear" w:color="auto" w:fill="auto"/>
            <w:vAlign w:val="center"/>
          </w:tcPr>
          <w:p w:rsidR="0062369E" w:rsidRPr="00130472" w:rsidRDefault="0062369E" w:rsidP="00255249">
            <w:pPr>
              <w:widowControl/>
              <w:rPr>
                <w:rFonts w:ascii="仿宋" w:eastAsia="仿宋" w:hAnsi="仿宋" w:cs="宋体"/>
                <w:szCs w:val="21"/>
              </w:rPr>
            </w:pPr>
            <w:r w:rsidRPr="00130472">
              <w:rPr>
                <w:rFonts w:ascii="仿宋" w:eastAsia="仿宋" w:hAnsi="仿宋" w:cs="宋体" w:hint="eastAsia"/>
                <w:szCs w:val="21"/>
              </w:rPr>
              <w:t>出院前评估服务</w:t>
            </w:r>
          </w:p>
        </w:tc>
        <w:tc>
          <w:tcPr>
            <w:tcW w:w="7489" w:type="dxa"/>
            <w:shd w:val="clear" w:color="auto" w:fill="auto"/>
            <w:vAlign w:val="center"/>
          </w:tcPr>
          <w:p w:rsidR="0062369E" w:rsidRPr="00130472" w:rsidRDefault="0062369E" w:rsidP="00255249">
            <w:pPr>
              <w:jc w:val="left"/>
              <w:rPr>
                <w:rFonts w:ascii="仿宋" w:eastAsia="仿宋" w:hAnsi="仿宋" w:cs="宋体"/>
                <w:szCs w:val="21"/>
              </w:rPr>
            </w:pPr>
            <w:r w:rsidRPr="00130472">
              <w:rPr>
                <w:rFonts w:ascii="仿宋" w:eastAsia="仿宋" w:hAnsi="仿宋" w:cs="宋体" w:hint="eastAsia"/>
                <w:szCs w:val="21"/>
              </w:rPr>
              <w:t>客户出院前，提供上门评估服务，包括对疾病、治疗、用药、生活习惯与方式、生活能力、活动与功能、体征、认识、情绪以及环境等进行评估。</w:t>
            </w:r>
          </w:p>
        </w:tc>
      </w:tr>
      <w:tr w:rsidR="0062369E" w:rsidRPr="00130472" w:rsidTr="00255249">
        <w:tc>
          <w:tcPr>
            <w:tcW w:w="462" w:type="dxa"/>
            <w:vAlign w:val="center"/>
          </w:tcPr>
          <w:p w:rsidR="0062369E" w:rsidRPr="00130472" w:rsidRDefault="0062369E" w:rsidP="0062369E">
            <w:pPr>
              <w:pStyle w:val="a3"/>
              <w:widowControl/>
              <w:numPr>
                <w:ilvl w:val="0"/>
                <w:numId w:val="7"/>
              </w:numPr>
              <w:ind w:firstLineChars="0"/>
              <w:jc w:val="center"/>
              <w:rPr>
                <w:rFonts w:ascii="仿宋" w:eastAsia="仿宋" w:hAnsi="仿宋" w:cs="宋体"/>
                <w:szCs w:val="21"/>
              </w:rPr>
            </w:pPr>
          </w:p>
        </w:tc>
        <w:tc>
          <w:tcPr>
            <w:tcW w:w="1110" w:type="dxa"/>
            <w:shd w:val="clear" w:color="auto" w:fill="auto"/>
            <w:vAlign w:val="center"/>
          </w:tcPr>
          <w:p w:rsidR="0062369E" w:rsidRPr="00130472" w:rsidRDefault="0062369E" w:rsidP="00255249">
            <w:pPr>
              <w:widowControl/>
              <w:rPr>
                <w:rFonts w:ascii="仿宋" w:eastAsia="仿宋" w:hAnsi="仿宋" w:cs="宋体"/>
                <w:szCs w:val="21"/>
              </w:rPr>
            </w:pPr>
            <w:r w:rsidRPr="00130472">
              <w:rPr>
                <w:rFonts w:ascii="仿宋" w:eastAsia="仿宋" w:hAnsi="仿宋" w:cs="宋体" w:hint="eastAsia"/>
                <w:szCs w:val="21"/>
              </w:rPr>
              <w:t>出院交通安排服务</w:t>
            </w:r>
            <w:r w:rsidR="006878A7" w:rsidRPr="00130472">
              <w:rPr>
                <w:rFonts w:ascii="仿宋" w:eastAsia="仿宋" w:hAnsi="仿宋" w:cs="宋体" w:hint="eastAsia"/>
                <w:szCs w:val="21"/>
              </w:rPr>
              <w:t>（1次）</w:t>
            </w:r>
          </w:p>
        </w:tc>
        <w:tc>
          <w:tcPr>
            <w:tcW w:w="7489" w:type="dxa"/>
            <w:shd w:val="clear" w:color="auto" w:fill="auto"/>
            <w:vAlign w:val="center"/>
          </w:tcPr>
          <w:p w:rsidR="0062369E" w:rsidRPr="00130472" w:rsidRDefault="0062369E" w:rsidP="00255249">
            <w:pPr>
              <w:jc w:val="left"/>
              <w:rPr>
                <w:rFonts w:ascii="仿宋" w:eastAsia="仿宋" w:hAnsi="仿宋" w:cs="宋体"/>
                <w:szCs w:val="21"/>
              </w:rPr>
            </w:pPr>
            <w:r w:rsidRPr="00130472">
              <w:rPr>
                <w:rFonts w:ascii="仿宋" w:eastAsia="仿宋" w:hAnsi="仿宋" w:cs="宋体" w:hint="eastAsia"/>
                <w:szCs w:val="21"/>
              </w:rPr>
              <w:t>若住院地与常住地单程距离200公里以内（含），我们提供专车送返服务；若距离200公里以上，根据客户病情及医生建议可为客户及1名陪同家属预订飞机票（限经济舱）、高铁票（限二等座或动卧）返程，飞机票或高铁票费用由远盟承担。</w:t>
            </w:r>
          </w:p>
        </w:tc>
      </w:tr>
      <w:tr w:rsidR="0062369E" w:rsidRPr="00130472" w:rsidTr="00255249">
        <w:tc>
          <w:tcPr>
            <w:tcW w:w="462" w:type="dxa"/>
            <w:vAlign w:val="center"/>
          </w:tcPr>
          <w:p w:rsidR="0062369E" w:rsidRPr="00130472" w:rsidRDefault="0062369E" w:rsidP="0062369E">
            <w:pPr>
              <w:pStyle w:val="a3"/>
              <w:widowControl/>
              <w:numPr>
                <w:ilvl w:val="0"/>
                <w:numId w:val="7"/>
              </w:numPr>
              <w:ind w:firstLineChars="0"/>
              <w:jc w:val="center"/>
              <w:rPr>
                <w:rFonts w:ascii="仿宋" w:eastAsia="仿宋" w:hAnsi="仿宋" w:cs="宋体"/>
                <w:szCs w:val="21"/>
              </w:rPr>
            </w:pPr>
          </w:p>
        </w:tc>
        <w:tc>
          <w:tcPr>
            <w:tcW w:w="1110" w:type="dxa"/>
            <w:shd w:val="clear" w:color="auto" w:fill="auto"/>
            <w:vAlign w:val="center"/>
          </w:tcPr>
          <w:p w:rsidR="0062369E" w:rsidRPr="00130472" w:rsidRDefault="0062369E" w:rsidP="00255249">
            <w:pPr>
              <w:widowControl/>
              <w:rPr>
                <w:rFonts w:ascii="仿宋" w:eastAsia="仿宋" w:hAnsi="仿宋" w:cs="宋体"/>
                <w:szCs w:val="21"/>
              </w:rPr>
            </w:pPr>
            <w:r w:rsidRPr="00130472">
              <w:rPr>
                <w:rFonts w:ascii="仿宋" w:eastAsia="仿宋" w:hAnsi="仿宋" w:cs="宋体" w:hint="eastAsia"/>
                <w:szCs w:val="21"/>
              </w:rPr>
              <w:t>出院陪护服务</w:t>
            </w:r>
            <w:r w:rsidR="006878A7" w:rsidRPr="00130472">
              <w:rPr>
                <w:rFonts w:ascii="仿宋" w:eastAsia="仿宋" w:hAnsi="仿宋" w:cs="宋体" w:hint="eastAsia"/>
                <w:szCs w:val="21"/>
              </w:rPr>
              <w:t>（1次）</w:t>
            </w:r>
          </w:p>
        </w:tc>
        <w:tc>
          <w:tcPr>
            <w:tcW w:w="7489" w:type="dxa"/>
            <w:shd w:val="clear" w:color="auto" w:fill="auto"/>
            <w:vAlign w:val="center"/>
          </w:tcPr>
          <w:p w:rsidR="0062369E" w:rsidRPr="00130472" w:rsidRDefault="0062369E" w:rsidP="00255249">
            <w:pPr>
              <w:jc w:val="left"/>
              <w:rPr>
                <w:rFonts w:ascii="仿宋" w:eastAsia="仿宋" w:hAnsi="仿宋" w:cs="宋体"/>
                <w:szCs w:val="21"/>
              </w:rPr>
            </w:pPr>
            <w:r w:rsidRPr="00130472">
              <w:rPr>
                <w:rFonts w:ascii="仿宋" w:eastAsia="仿宋" w:hAnsi="仿宋" w:cs="宋体" w:hint="eastAsia"/>
                <w:szCs w:val="21"/>
              </w:rPr>
              <w:t>协助客户及家属办理出院手续，若住院地与常住地单程距离200公里以内（含），我们提供专车送返服务，且由专人全程陪护到家。</w:t>
            </w:r>
          </w:p>
        </w:tc>
      </w:tr>
      <w:tr w:rsidR="0062369E" w:rsidRPr="00130472" w:rsidTr="00255249">
        <w:tc>
          <w:tcPr>
            <w:tcW w:w="462" w:type="dxa"/>
            <w:vAlign w:val="center"/>
          </w:tcPr>
          <w:p w:rsidR="0062369E" w:rsidRPr="00130472" w:rsidRDefault="0062369E" w:rsidP="0062369E">
            <w:pPr>
              <w:pStyle w:val="a3"/>
              <w:widowControl/>
              <w:numPr>
                <w:ilvl w:val="0"/>
                <w:numId w:val="7"/>
              </w:numPr>
              <w:ind w:firstLineChars="0"/>
              <w:jc w:val="center"/>
              <w:rPr>
                <w:rFonts w:ascii="仿宋" w:eastAsia="仿宋" w:hAnsi="仿宋" w:cs="宋体"/>
                <w:szCs w:val="21"/>
              </w:rPr>
            </w:pPr>
          </w:p>
        </w:tc>
        <w:tc>
          <w:tcPr>
            <w:tcW w:w="1110" w:type="dxa"/>
            <w:shd w:val="clear" w:color="auto" w:fill="auto"/>
            <w:vAlign w:val="center"/>
          </w:tcPr>
          <w:p w:rsidR="0062369E" w:rsidRPr="00130472" w:rsidRDefault="0062369E" w:rsidP="00255249">
            <w:pPr>
              <w:widowControl/>
              <w:rPr>
                <w:rFonts w:ascii="仿宋" w:eastAsia="仿宋" w:hAnsi="仿宋" w:cs="宋体"/>
                <w:szCs w:val="21"/>
              </w:rPr>
            </w:pPr>
            <w:r w:rsidRPr="00130472">
              <w:rPr>
                <w:rFonts w:ascii="仿宋" w:eastAsia="仿宋" w:hAnsi="仿宋" w:cs="宋体" w:hint="eastAsia"/>
                <w:szCs w:val="21"/>
              </w:rPr>
              <w:t>院后居家康护指导计划服务</w:t>
            </w:r>
            <w:r w:rsidR="006878A7" w:rsidRPr="00130472">
              <w:rPr>
                <w:rFonts w:ascii="仿宋" w:eastAsia="仿宋" w:hAnsi="仿宋" w:cs="宋体" w:hint="eastAsia"/>
                <w:szCs w:val="21"/>
              </w:rPr>
              <w:t>（1次）</w:t>
            </w:r>
          </w:p>
        </w:tc>
        <w:tc>
          <w:tcPr>
            <w:tcW w:w="7489" w:type="dxa"/>
            <w:shd w:val="clear" w:color="auto" w:fill="auto"/>
            <w:vAlign w:val="center"/>
          </w:tcPr>
          <w:p w:rsidR="0062369E" w:rsidRPr="00130472" w:rsidRDefault="0062369E" w:rsidP="00255249">
            <w:pPr>
              <w:jc w:val="left"/>
              <w:rPr>
                <w:rFonts w:ascii="仿宋" w:eastAsia="仿宋" w:hAnsi="仿宋" w:cs="宋体"/>
                <w:szCs w:val="21"/>
              </w:rPr>
            </w:pPr>
            <w:r w:rsidRPr="00130472">
              <w:rPr>
                <w:rFonts w:ascii="仿宋" w:eastAsia="仿宋" w:hAnsi="仿宋" w:cs="宋体" w:hint="eastAsia"/>
                <w:szCs w:val="21"/>
              </w:rPr>
              <w:t>制定《居家康护指导计划书》，包含日常生活照料、基础并发症预防、辅具适配、居家环境注意事项、体质恢复营养、疾病康复促进、个性化风险预防等。</w:t>
            </w:r>
          </w:p>
        </w:tc>
      </w:tr>
      <w:tr w:rsidR="0062369E" w:rsidRPr="00130472" w:rsidTr="00255249">
        <w:tc>
          <w:tcPr>
            <w:tcW w:w="462" w:type="dxa"/>
            <w:vAlign w:val="center"/>
          </w:tcPr>
          <w:p w:rsidR="0062369E" w:rsidRPr="00130472" w:rsidRDefault="0062369E" w:rsidP="0062369E">
            <w:pPr>
              <w:pStyle w:val="a3"/>
              <w:widowControl/>
              <w:numPr>
                <w:ilvl w:val="0"/>
                <w:numId w:val="7"/>
              </w:numPr>
              <w:ind w:firstLineChars="0"/>
              <w:jc w:val="center"/>
              <w:rPr>
                <w:rFonts w:ascii="仿宋" w:eastAsia="仿宋" w:hAnsi="仿宋" w:cs="宋体"/>
                <w:szCs w:val="21"/>
              </w:rPr>
            </w:pPr>
          </w:p>
        </w:tc>
        <w:tc>
          <w:tcPr>
            <w:tcW w:w="1110" w:type="dxa"/>
            <w:shd w:val="clear" w:color="auto" w:fill="auto"/>
            <w:vAlign w:val="center"/>
          </w:tcPr>
          <w:p w:rsidR="0062369E" w:rsidRPr="00130472" w:rsidRDefault="0062369E" w:rsidP="00255249">
            <w:pPr>
              <w:widowControl/>
              <w:rPr>
                <w:rFonts w:ascii="仿宋" w:eastAsia="仿宋" w:hAnsi="仿宋" w:cs="宋体"/>
                <w:szCs w:val="21"/>
              </w:rPr>
            </w:pPr>
            <w:r w:rsidRPr="00130472">
              <w:rPr>
                <w:rFonts w:ascii="仿宋" w:eastAsia="仿宋" w:hAnsi="仿宋" w:cs="宋体" w:hint="eastAsia"/>
                <w:szCs w:val="21"/>
              </w:rPr>
              <w:t>远程照护指导服务</w:t>
            </w:r>
            <w:r w:rsidR="006878A7" w:rsidRPr="00130472">
              <w:rPr>
                <w:rFonts w:ascii="仿宋" w:eastAsia="仿宋" w:hAnsi="仿宋" w:cs="宋体" w:hint="eastAsia"/>
                <w:szCs w:val="21"/>
              </w:rPr>
              <w:t>（2次）</w:t>
            </w:r>
          </w:p>
        </w:tc>
        <w:tc>
          <w:tcPr>
            <w:tcW w:w="7489" w:type="dxa"/>
            <w:shd w:val="clear" w:color="auto" w:fill="auto"/>
            <w:vAlign w:val="center"/>
          </w:tcPr>
          <w:p w:rsidR="0062369E" w:rsidRPr="00130472" w:rsidRDefault="0062369E" w:rsidP="00255249">
            <w:pPr>
              <w:jc w:val="left"/>
              <w:rPr>
                <w:rFonts w:ascii="仿宋" w:eastAsia="仿宋" w:hAnsi="仿宋" w:cs="宋体"/>
                <w:szCs w:val="21"/>
              </w:rPr>
            </w:pPr>
            <w:r w:rsidRPr="00130472">
              <w:rPr>
                <w:rFonts w:ascii="仿宋" w:eastAsia="仿宋" w:hAnsi="仿宋" w:cs="宋体"/>
                <w:szCs w:val="21"/>
              </w:rPr>
              <w:t>提供专业护理咨询服务</w:t>
            </w:r>
            <w:r w:rsidRPr="00130472">
              <w:rPr>
                <w:rFonts w:ascii="仿宋" w:eastAsia="仿宋" w:hAnsi="仿宋" w:cs="宋体" w:hint="eastAsia"/>
                <w:szCs w:val="21"/>
              </w:rPr>
              <w:t>，</w:t>
            </w:r>
            <w:r w:rsidRPr="00130472">
              <w:rPr>
                <w:rFonts w:ascii="仿宋" w:eastAsia="仿宋" w:hAnsi="仿宋" w:cs="宋体"/>
                <w:szCs w:val="21"/>
              </w:rPr>
              <w:t>包括详细了解客户身体状况</w:t>
            </w:r>
            <w:r w:rsidRPr="00130472">
              <w:rPr>
                <w:rFonts w:ascii="仿宋" w:eastAsia="仿宋" w:hAnsi="仿宋" w:cs="宋体" w:hint="eastAsia"/>
                <w:szCs w:val="21"/>
              </w:rPr>
              <w:t>、</w:t>
            </w:r>
            <w:r w:rsidRPr="00130472">
              <w:rPr>
                <w:rFonts w:ascii="仿宋" w:eastAsia="仿宋" w:hAnsi="仿宋" w:cs="宋体"/>
                <w:szCs w:val="21"/>
              </w:rPr>
              <w:t>分析康复情况</w:t>
            </w:r>
            <w:r w:rsidRPr="00130472">
              <w:rPr>
                <w:rFonts w:ascii="仿宋" w:eastAsia="仿宋" w:hAnsi="仿宋" w:cs="宋体" w:hint="eastAsia"/>
                <w:szCs w:val="21"/>
              </w:rPr>
              <w:t>，给予康复建议及指导，针对康复情况提供专业可视化护理指导。</w:t>
            </w:r>
          </w:p>
        </w:tc>
      </w:tr>
    </w:tbl>
    <w:p w:rsidR="0062369E" w:rsidRPr="00130472" w:rsidRDefault="0062369E" w:rsidP="0062369E">
      <w:pPr>
        <w:spacing w:line="360" w:lineRule="auto"/>
        <w:ind w:left="420"/>
        <w:rPr>
          <w:szCs w:val="21"/>
        </w:rPr>
      </w:pPr>
    </w:p>
    <w:p w:rsidR="0062369E" w:rsidRPr="00130472" w:rsidRDefault="0062369E" w:rsidP="006878A7">
      <w:pPr>
        <w:pStyle w:val="a3"/>
        <w:numPr>
          <w:ilvl w:val="0"/>
          <w:numId w:val="4"/>
        </w:numPr>
        <w:spacing w:line="360" w:lineRule="auto"/>
        <w:ind w:firstLineChars="0"/>
        <w:rPr>
          <w:szCs w:val="21"/>
        </w:rPr>
      </w:pPr>
      <w:r w:rsidRPr="00130472">
        <w:rPr>
          <w:szCs w:val="21"/>
        </w:rPr>
        <w:t>服务</w:t>
      </w:r>
      <w:r w:rsidR="00A97DCC" w:rsidRPr="00130472">
        <w:rPr>
          <w:rFonts w:hint="eastAsia"/>
          <w:szCs w:val="21"/>
        </w:rPr>
        <w:t>申请方式：</w:t>
      </w:r>
    </w:p>
    <w:p w:rsidR="00A97DCC" w:rsidRPr="00130472" w:rsidRDefault="00A97DCC" w:rsidP="007215FE">
      <w:pPr>
        <w:pStyle w:val="a3"/>
        <w:numPr>
          <w:ilvl w:val="0"/>
          <w:numId w:val="5"/>
        </w:numPr>
        <w:spacing w:line="360" w:lineRule="auto"/>
        <w:ind w:firstLineChars="0"/>
        <w:rPr>
          <w:szCs w:val="21"/>
        </w:rPr>
      </w:pPr>
      <w:r w:rsidRPr="00130472">
        <w:rPr>
          <w:rFonts w:hint="eastAsia"/>
          <w:szCs w:val="21"/>
        </w:rPr>
        <w:t>若客户申请了住院垫付服务，远盟需在客户出院前</w:t>
      </w:r>
      <w:r w:rsidRPr="00130472">
        <w:rPr>
          <w:rFonts w:hint="eastAsia"/>
          <w:szCs w:val="21"/>
        </w:rPr>
        <w:t>2</w:t>
      </w:r>
      <w:r w:rsidRPr="00130472">
        <w:rPr>
          <w:rFonts w:hint="eastAsia"/>
          <w:szCs w:val="21"/>
        </w:rPr>
        <w:t>天主动询问客户是否需要院后照护服务，若需要则远盟需主动在太保平台上触发服务申请（</w:t>
      </w:r>
      <w:r w:rsidRPr="00130472">
        <w:rPr>
          <w:rFonts w:hint="eastAsia"/>
          <w:szCs w:val="21"/>
          <w:highlight w:val="green"/>
        </w:rPr>
        <w:t>沟通过程需</w:t>
      </w:r>
      <w:r w:rsidRPr="00130472">
        <w:rPr>
          <w:rFonts w:hint="eastAsia"/>
          <w:szCs w:val="21"/>
          <w:highlight w:val="green"/>
        </w:rPr>
        <w:lastRenderedPageBreak/>
        <w:t>要电话录音留存以便后期查验，原则上需要联系住院垫付服务申请时预留的联系人，若联系人特殊授权的，授权电话也需要录音留存</w:t>
      </w:r>
      <w:r w:rsidRPr="00130472">
        <w:rPr>
          <w:rFonts w:hint="eastAsia"/>
          <w:szCs w:val="21"/>
        </w:rPr>
        <w:t>）</w:t>
      </w:r>
    </w:p>
    <w:p w:rsidR="00A97DCC" w:rsidRPr="00130472" w:rsidRDefault="00A97DCC" w:rsidP="007215FE">
      <w:pPr>
        <w:pStyle w:val="a3"/>
        <w:numPr>
          <w:ilvl w:val="0"/>
          <w:numId w:val="5"/>
        </w:numPr>
        <w:spacing w:line="360" w:lineRule="auto"/>
        <w:ind w:firstLineChars="0"/>
        <w:rPr>
          <w:szCs w:val="21"/>
        </w:rPr>
      </w:pPr>
      <w:r w:rsidRPr="00CA18FC">
        <w:rPr>
          <w:szCs w:val="21"/>
          <w:highlight w:val="yellow"/>
        </w:rPr>
        <w:t>若客户未申请住院垫付服务</w:t>
      </w:r>
      <w:r w:rsidRPr="00CA18FC">
        <w:rPr>
          <w:rFonts w:hint="eastAsia"/>
          <w:szCs w:val="21"/>
          <w:highlight w:val="yellow"/>
        </w:rPr>
        <w:t>，</w:t>
      </w:r>
      <w:r w:rsidRPr="00CA18FC">
        <w:rPr>
          <w:szCs w:val="21"/>
          <w:highlight w:val="yellow"/>
        </w:rPr>
        <w:t>客户需要通过太保</w:t>
      </w:r>
      <w:r w:rsidRPr="00CA18FC">
        <w:rPr>
          <w:szCs w:val="21"/>
          <w:highlight w:val="yellow"/>
        </w:rPr>
        <w:t>95500</w:t>
      </w:r>
      <w:r w:rsidRPr="00CA18FC">
        <w:rPr>
          <w:szCs w:val="21"/>
          <w:highlight w:val="yellow"/>
        </w:rPr>
        <w:t>或者官微发起服务申请</w:t>
      </w:r>
      <w:r w:rsidRPr="00CA18FC">
        <w:rPr>
          <w:rFonts w:hint="eastAsia"/>
          <w:szCs w:val="21"/>
          <w:highlight w:val="yellow"/>
        </w:rPr>
        <w:t>，</w:t>
      </w:r>
      <w:r w:rsidRPr="00CA18FC">
        <w:rPr>
          <w:szCs w:val="21"/>
          <w:highlight w:val="yellow"/>
        </w:rPr>
        <w:t>太保收到客户申请信息后通过系统派单至远盟</w:t>
      </w:r>
      <w:r w:rsidRPr="00130472">
        <w:rPr>
          <w:rFonts w:hint="eastAsia"/>
          <w:szCs w:val="21"/>
        </w:rPr>
        <w:t>。</w:t>
      </w:r>
    </w:p>
    <w:p w:rsidR="007215FE" w:rsidRPr="00130472" w:rsidRDefault="00A97DCC" w:rsidP="007215FE">
      <w:pPr>
        <w:spacing w:line="360" w:lineRule="auto"/>
        <w:ind w:left="780"/>
        <w:rPr>
          <w:szCs w:val="21"/>
        </w:rPr>
      </w:pPr>
      <w:r w:rsidRPr="00130472">
        <w:rPr>
          <w:szCs w:val="21"/>
        </w:rPr>
        <w:t>注</w:t>
      </w:r>
      <w:r w:rsidRPr="00130472">
        <w:rPr>
          <w:rFonts w:hint="eastAsia"/>
          <w:szCs w:val="21"/>
        </w:rPr>
        <w:t>：</w:t>
      </w:r>
    </w:p>
    <w:p w:rsidR="00A97DCC" w:rsidRPr="00130472" w:rsidRDefault="007215FE" w:rsidP="007215FE">
      <w:pPr>
        <w:spacing w:line="360" w:lineRule="auto"/>
        <w:ind w:left="780"/>
        <w:rPr>
          <w:szCs w:val="21"/>
        </w:rPr>
      </w:pPr>
      <w:r w:rsidRPr="00130472">
        <w:rPr>
          <w:rFonts w:hint="eastAsia"/>
          <w:szCs w:val="21"/>
        </w:rPr>
        <w:t>1</w:t>
      </w:r>
      <w:r w:rsidR="00E91052" w:rsidRPr="00130472">
        <w:rPr>
          <w:rFonts w:hint="eastAsia"/>
          <w:szCs w:val="21"/>
        </w:rPr>
        <w:t>）</w:t>
      </w:r>
      <w:r w:rsidR="00A97DCC" w:rsidRPr="00130472">
        <w:rPr>
          <w:szCs w:val="21"/>
        </w:rPr>
        <w:t>仅向服务理赔条件的客户提供垫付服务</w:t>
      </w:r>
      <w:r w:rsidR="00A97DCC" w:rsidRPr="00130472">
        <w:rPr>
          <w:rFonts w:hint="eastAsia"/>
          <w:szCs w:val="21"/>
        </w:rPr>
        <w:t>，</w:t>
      </w:r>
      <w:r w:rsidR="00A97DCC" w:rsidRPr="00130472">
        <w:rPr>
          <w:szCs w:val="21"/>
        </w:rPr>
        <w:t>针对上述情况</w:t>
      </w:r>
      <w:bookmarkStart w:id="0" w:name="_GoBack"/>
      <w:bookmarkEnd w:id="0"/>
      <w:r w:rsidR="00A97DCC" w:rsidRPr="00130472">
        <w:rPr>
          <w:rFonts w:hint="eastAsia"/>
          <w:szCs w:val="21"/>
        </w:rPr>
        <w:t>A</w:t>
      </w:r>
      <w:r w:rsidR="00A97DCC" w:rsidRPr="00130472">
        <w:rPr>
          <w:rFonts w:hint="eastAsia"/>
          <w:szCs w:val="21"/>
        </w:rPr>
        <w:t>，若远盟判定客户不符合理赔的，则不用询问是否需要安排院后服务；针对上述情况</w:t>
      </w:r>
      <w:r w:rsidR="00A97DCC" w:rsidRPr="00130472">
        <w:rPr>
          <w:rFonts w:hint="eastAsia"/>
          <w:szCs w:val="21"/>
        </w:rPr>
        <w:t>B</w:t>
      </w:r>
      <w:r w:rsidR="00A97DCC" w:rsidRPr="00130472">
        <w:rPr>
          <w:rFonts w:hint="eastAsia"/>
          <w:szCs w:val="21"/>
        </w:rPr>
        <w:t>，远盟需先向客户收集就医材料，判定是否符合理赔条件，若符合则启动服务，不符则婉拒客户</w:t>
      </w:r>
      <w:r w:rsidRPr="00130472">
        <w:rPr>
          <w:rFonts w:hint="eastAsia"/>
          <w:szCs w:val="21"/>
        </w:rPr>
        <w:t>。</w:t>
      </w:r>
    </w:p>
    <w:p w:rsidR="007215FE" w:rsidRPr="00130472" w:rsidRDefault="007215FE" w:rsidP="007215FE">
      <w:pPr>
        <w:spacing w:line="360" w:lineRule="auto"/>
        <w:ind w:left="780"/>
        <w:rPr>
          <w:szCs w:val="21"/>
        </w:rPr>
      </w:pPr>
      <w:r w:rsidRPr="00130472">
        <w:rPr>
          <w:szCs w:val="21"/>
        </w:rPr>
        <w:t>2</w:t>
      </w:r>
      <w:r w:rsidR="00E91052" w:rsidRPr="00130472">
        <w:rPr>
          <w:rFonts w:hint="eastAsia"/>
          <w:szCs w:val="21"/>
        </w:rPr>
        <w:t>）</w:t>
      </w:r>
      <w:r w:rsidR="00E91052" w:rsidRPr="00130472">
        <w:rPr>
          <w:szCs w:val="21"/>
        </w:rPr>
        <w:t>提供服务时需要向客户表明</w:t>
      </w:r>
      <w:r w:rsidR="00E91052" w:rsidRPr="00130472">
        <w:rPr>
          <w:rFonts w:hint="eastAsia"/>
          <w:szCs w:val="21"/>
        </w:rPr>
        <w:t>，</w:t>
      </w:r>
      <w:r w:rsidR="00E91052" w:rsidRPr="00130472">
        <w:rPr>
          <w:szCs w:val="21"/>
        </w:rPr>
        <w:t>服务一旦安排完成</w:t>
      </w:r>
      <w:r w:rsidR="00E91052" w:rsidRPr="00130472">
        <w:rPr>
          <w:rFonts w:hint="eastAsia"/>
          <w:szCs w:val="21"/>
        </w:rPr>
        <w:t>，</w:t>
      </w:r>
      <w:r w:rsidR="00E91052" w:rsidRPr="00130472">
        <w:rPr>
          <w:szCs w:val="21"/>
        </w:rPr>
        <w:t>若临时取消或变更的</w:t>
      </w:r>
      <w:r w:rsidR="00E91052" w:rsidRPr="00130472">
        <w:rPr>
          <w:rFonts w:hint="eastAsia"/>
          <w:szCs w:val="21"/>
        </w:rPr>
        <w:t>，</w:t>
      </w:r>
      <w:r w:rsidR="00E91052" w:rsidRPr="00130472">
        <w:rPr>
          <w:szCs w:val="21"/>
        </w:rPr>
        <w:t>均视为原服务已完成</w:t>
      </w:r>
    </w:p>
    <w:p w:rsidR="00EB145D" w:rsidRPr="00130472" w:rsidRDefault="00EB145D" w:rsidP="007215FE">
      <w:pPr>
        <w:spacing w:line="360" w:lineRule="auto"/>
        <w:ind w:left="780"/>
        <w:rPr>
          <w:szCs w:val="21"/>
        </w:rPr>
      </w:pPr>
    </w:p>
    <w:p w:rsidR="00A97DCC" w:rsidRPr="00130472" w:rsidRDefault="00EB145D" w:rsidP="00EB145D">
      <w:pPr>
        <w:pStyle w:val="a3"/>
        <w:numPr>
          <w:ilvl w:val="0"/>
          <w:numId w:val="4"/>
        </w:numPr>
        <w:spacing w:line="360" w:lineRule="auto"/>
        <w:ind w:firstLineChars="0"/>
        <w:rPr>
          <w:szCs w:val="21"/>
        </w:rPr>
      </w:pPr>
      <w:r w:rsidRPr="00130472">
        <w:rPr>
          <w:rFonts w:hint="eastAsia"/>
          <w:szCs w:val="21"/>
        </w:rPr>
        <w:t>客户身份验证：</w:t>
      </w:r>
    </w:p>
    <w:p w:rsidR="00EB145D" w:rsidRPr="00130472" w:rsidRDefault="00EB145D" w:rsidP="00EB145D">
      <w:pPr>
        <w:pStyle w:val="a3"/>
        <w:spacing w:line="360" w:lineRule="auto"/>
        <w:ind w:left="780" w:firstLineChars="0" w:firstLine="0"/>
        <w:rPr>
          <w:szCs w:val="21"/>
        </w:rPr>
      </w:pPr>
      <w:r w:rsidRPr="00130472">
        <w:rPr>
          <w:rFonts w:hint="eastAsia"/>
          <w:szCs w:val="21"/>
        </w:rPr>
        <w:t>远盟不做会员身份校验，只要接到工单信息均视为太保享有院后照护服务的客户，但需要查看客户是否在服务有效期内（客户住院时间在保单生效开始日期及下期保费缴纳日期之间的则视为有效期内客户）</w:t>
      </w:r>
    </w:p>
    <w:p w:rsidR="00EB145D" w:rsidRPr="00130472" w:rsidRDefault="00EB145D" w:rsidP="00EB145D">
      <w:pPr>
        <w:pStyle w:val="a3"/>
        <w:spacing w:line="360" w:lineRule="auto"/>
        <w:ind w:left="780" w:firstLineChars="0" w:firstLine="0"/>
        <w:rPr>
          <w:szCs w:val="21"/>
        </w:rPr>
      </w:pPr>
    </w:p>
    <w:p w:rsidR="00EB145D" w:rsidRPr="00130472" w:rsidRDefault="0062369E" w:rsidP="00EB145D">
      <w:pPr>
        <w:pStyle w:val="a3"/>
        <w:numPr>
          <w:ilvl w:val="0"/>
          <w:numId w:val="4"/>
        </w:numPr>
        <w:ind w:firstLineChars="0"/>
        <w:rPr>
          <w:szCs w:val="21"/>
        </w:rPr>
      </w:pPr>
      <w:r w:rsidRPr="00130472">
        <w:rPr>
          <w:rFonts w:hint="eastAsia"/>
          <w:szCs w:val="21"/>
        </w:rPr>
        <w:t>服务范围（出院交通安排服务</w:t>
      </w:r>
      <w:r w:rsidRPr="00130472">
        <w:rPr>
          <w:rFonts w:hint="eastAsia"/>
          <w:szCs w:val="21"/>
        </w:rPr>
        <w:t>/</w:t>
      </w:r>
      <w:r w:rsidRPr="00130472">
        <w:rPr>
          <w:rFonts w:hint="eastAsia"/>
          <w:szCs w:val="21"/>
        </w:rPr>
        <w:t>出院陪护服务）：</w:t>
      </w:r>
    </w:p>
    <w:p w:rsidR="0062369E" w:rsidRPr="00130472" w:rsidRDefault="0062369E" w:rsidP="0062369E">
      <w:pPr>
        <w:pStyle w:val="a3"/>
        <w:spacing w:line="360" w:lineRule="auto"/>
        <w:ind w:left="780" w:firstLineChars="0" w:firstLine="0"/>
        <w:rPr>
          <w:szCs w:val="21"/>
        </w:rPr>
      </w:pPr>
      <w:r w:rsidRPr="00130472">
        <w:rPr>
          <w:rFonts w:hint="eastAsia"/>
          <w:szCs w:val="21"/>
        </w:rPr>
        <w:t>出院当日交通安排标准为：若住院地与常住地单程距离</w:t>
      </w:r>
      <w:r w:rsidRPr="00130472">
        <w:rPr>
          <w:rFonts w:hint="eastAsia"/>
          <w:szCs w:val="21"/>
        </w:rPr>
        <w:t>200</w:t>
      </w:r>
      <w:r w:rsidRPr="00130472">
        <w:rPr>
          <w:rFonts w:hint="eastAsia"/>
          <w:szCs w:val="21"/>
        </w:rPr>
        <w:t>公里以内（含），我们提供专车送返服务，且由专人全程陪护到家；若距离</w:t>
      </w:r>
      <w:r w:rsidRPr="00130472">
        <w:rPr>
          <w:rFonts w:hint="eastAsia"/>
          <w:szCs w:val="21"/>
        </w:rPr>
        <w:t>200</w:t>
      </w:r>
      <w:r w:rsidRPr="00130472">
        <w:rPr>
          <w:rFonts w:hint="eastAsia"/>
          <w:szCs w:val="21"/>
        </w:rPr>
        <w:t>公里以上，则根据客户病情及医生建议可为客户及</w:t>
      </w:r>
      <w:r w:rsidRPr="00130472">
        <w:rPr>
          <w:rFonts w:hint="eastAsia"/>
          <w:szCs w:val="21"/>
        </w:rPr>
        <w:t>1</w:t>
      </w:r>
      <w:r w:rsidRPr="00130472">
        <w:rPr>
          <w:rFonts w:hint="eastAsia"/>
          <w:szCs w:val="21"/>
        </w:rPr>
        <w:t>名陪同家属预订飞机票（限经济舱）、高铁票（限二等座或动卧）返程，飞机票或高铁票。</w:t>
      </w:r>
    </w:p>
    <w:p w:rsidR="0062369E" w:rsidRPr="00130472" w:rsidRDefault="0062369E" w:rsidP="0062369E">
      <w:pPr>
        <w:pStyle w:val="a3"/>
        <w:ind w:left="780" w:firstLineChars="0" w:firstLine="0"/>
        <w:rPr>
          <w:szCs w:val="21"/>
        </w:rPr>
      </w:pPr>
    </w:p>
    <w:p w:rsidR="0062369E" w:rsidRPr="00130472" w:rsidRDefault="00A6300D" w:rsidP="00EB145D">
      <w:pPr>
        <w:pStyle w:val="a3"/>
        <w:numPr>
          <w:ilvl w:val="0"/>
          <w:numId w:val="4"/>
        </w:numPr>
        <w:ind w:firstLineChars="0"/>
        <w:rPr>
          <w:szCs w:val="21"/>
        </w:rPr>
      </w:pPr>
      <w:r w:rsidRPr="00130472">
        <w:rPr>
          <w:rFonts w:hint="eastAsia"/>
          <w:szCs w:val="21"/>
        </w:rPr>
        <w:t>服务使用次数</w:t>
      </w:r>
    </w:p>
    <w:p w:rsidR="006878A7" w:rsidRPr="00130472" w:rsidRDefault="006878A7" w:rsidP="006878A7">
      <w:pPr>
        <w:spacing w:line="360" w:lineRule="auto"/>
        <w:ind w:left="420" w:firstLineChars="200" w:firstLine="420"/>
        <w:rPr>
          <w:szCs w:val="21"/>
        </w:rPr>
      </w:pPr>
      <w:r w:rsidRPr="00130472">
        <w:rPr>
          <w:szCs w:val="21"/>
        </w:rPr>
        <w:t>保险有效期内不限使用次数</w:t>
      </w:r>
      <w:r w:rsidRPr="00130472">
        <w:rPr>
          <w:rFonts w:hint="eastAsia"/>
          <w:szCs w:val="21"/>
        </w:rPr>
        <w:t>，</w:t>
      </w:r>
      <w:r w:rsidRPr="00130472">
        <w:rPr>
          <w:szCs w:val="21"/>
        </w:rPr>
        <w:t>但需要上个案件完成后才能申请下次服务</w:t>
      </w:r>
      <w:r w:rsidR="00DC392F">
        <w:rPr>
          <w:rFonts w:hint="eastAsia"/>
          <w:szCs w:val="21"/>
        </w:rPr>
        <w:t>，若客户下次申请前上个案件为结束，</w:t>
      </w:r>
      <w:r w:rsidR="00DC392F" w:rsidRPr="00DC392F">
        <w:rPr>
          <w:rFonts w:hint="eastAsia"/>
          <w:szCs w:val="21"/>
        </w:rPr>
        <w:t>客户可以通过电话</w:t>
      </w:r>
      <w:r w:rsidR="00DC392F" w:rsidRPr="00DC392F">
        <w:rPr>
          <w:rFonts w:hint="eastAsia"/>
          <w:szCs w:val="21"/>
        </w:rPr>
        <w:t>9</w:t>
      </w:r>
      <w:r w:rsidR="00DC392F" w:rsidRPr="00DC392F">
        <w:rPr>
          <w:szCs w:val="21"/>
        </w:rPr>
        <w:t>5500</w:t>
      </w:r>
      <w:r w:rsidR="00DC392F" w:rsidRPr="00DC392F">
        <w:rPr>
          <w:rFonts w:hint="eastAsia"/>
          <w:szCs w:val="21"/>
        </w:rPr>
        <w:t>取消服务</w:t>
      </w:r>
      <w:r w:rsidR="00DC392F">
        <w:rPr>
          <w:rFonts w:hint="eastAsia"/>
          <w:szCs w:val="21"/>
        </w:rPr>
        <w:t>上次服务，取消后可再次申请服务</w:t>
      </w:r>
      <w:r w:rsidR="00DC392F" w:rsidRPr="00DC392F">
        <w:rPr>
          <w:rFonts w:hint="eastAsia"/>
          <w:szCs w:val="21"/>
        </w:rPr>
        <w:t>。</w:t>
      </w:r>
      <w:r w:rsidRPr="00130472">
        <w:rPr>
          <w:rFonts w:hint="eastAsia"/>
          <w:szCs w:val="21"/>
        </w:rPr>
        <w:t>每次大服务均有</w:t>
      </w:r>
      <w:r w:rsidRPr="00130472">
        <w:rPr>
          <w:rFonts w:hint="eastAsia"/>
          <w:szCs w:val="21"/>
        </w:rPr>
        <w:t>4</w:t>
      </w:r>
      <w:r w:rsidRPr="00130472">
        <w:rPr>
          <w:rFonts w:hint="eastAsia"/>
          <w:szCs w:val="21"/>
        </w:rPr>
        <w:t>个小服务组成，</w:t>
      </w:r>
      <w:r w:rsidRPr="00130472">
        <w:rPr>
          <w:rFonts w:hint="eastAsia"/>
          <w:szCs w:val="21"/>
        </w:rPr>
        <w:t xml:space="preserve"> {</w:t>
      </w:r>
      <w:r w:rsidRPr="00130472">
        <w:rPr>
          <w:rFonts w:hint="eastAsia"/>
          <w:szCs w:val="21"/>
        </w:rPr>
        <w:t>出院交通安排服务（</w:t>
      </w:r>
      <w:r w:rsidRPr="00130472">
        <w:rPr>
          <w:rFonts w:hint="eastAsia"/>
          <w:szCs w:val="21"/>
        </w:rPr>
        <w:t>1</w:t>
      </w:r>
      <w:r w:rsidRPr="00130472">
        <w:rPr>
          <w:rFonts w:hint="eastAsia"/>
          <w:szCs w:val="21"/>
        </w:rPr>
        <w:t>次）、出院陪护服务（</w:t>
      </w:r>
      <w:r w:rsidRPr="00130472">
        <w:rPr>
          <w:rFonts w:hint="eastAsia"/>
          <w:szCs w:val="21"/>
        </w:rPr>
        <w:t>1</w:t>
      </w:r>
      <w:r w:rsidRPr="00130472">
        <w:rPr>
          <w:rFonts w:hint="eastAsia"/>
          <w:szCs w:val="21"/>
        </w:rPr>
        <w:t>次）、院后居家康护指导计划服务（</w:t>
      </w:r>
      <w:r w:rsidRPr="00130472">
        <w:rPr>
          <w:rFonts w:hint="eastAsia"/>
          <w:szCs w:val="21"/>
        </w:rPr>
        <w:t>1</w:t>
      </w:r>
      <w:r w:rsidRPr="00130472">
        <w:rPr>
          <w:rFonts w:hint="eastAsia"/>
          <w:szCs w:val="21"/>
        </w:rPr>
        <w:t>次）、远程照护指导服务（</w:t>
      </w:r>
      <w:r w:rsidRPr="00130472">
        <w:rPr>
          <w:rFonts w:hint="eastAsia"/>
          <w:szCs w:val="21"/>
        </w:rPr>
        <w:t>2</w:t>
      </w:r>
      <w:r w:rsidRPr="00130472">
        <w:rPr>
          <w:rFonts w:hint="eastAsia"/>
          <w:szCs w:val="21"/>
        </w:rPr>
        <w:t>次）</w:t>
      </w:r>
      <w:r w:rsidRPr="00130472">
        <w:rPr>
          <w:rFonts w:hint="eastAsia"/>
          <w:szCs w:val="21"/>
        </w:rPr>
        <w:t>}</w:t>
      </w:r>
      <w:r w:rsidRPr="00130472">
        <w:rPr>
          <w:rFonts w:hint="eastAsia"/>
          <w:szCs w:val="21"/>
        </w:rPr>
        <w:t>，客户可以全部使用，或者选择其中某项服务进行使用</w:t>
      </w:r>
    </w:p>
    <w:p w:rsidR="006878A7" w:rsidRPr="00130472" w:rsidRDefault="006878A7" w:rsidP="006878A7">
      <w:pPr>
        <w:rPr>
          <w:szCs w:val="21"/>
        </w:rPr>
      </w:pPr>
    </w:p>
    <w:p w:rsidR="00A6300D" w:rsidRPr="00130472" w:rsidRDefault="00130472" w:rsidP="00EB145D">
      <w:pPr>
        <w:pStyle w:val="a3"/>
        <w:numPr>
          <w:ilvl w:val="0"/>
          <w:numId w:val="4"/>
        </w:numPr>
        <w:ind w:firstLineChars="0"/>
        <w:rPr>
          <w:szCs w:val="21"/>
        </w:rPr>
      </w:pPr>
      <w:r w:rsidRPr="00130472">
        <w:rPr>
          <w:szCs w:val="21"/>
        </w:rPr>
        <w:t>服务状态</w:t>
      </w:r>
    </w:p>
    <w:p w:rsidR="00130472" w:rsidRDefault="00130472" w:rsidP="00130472">
      <w:pPr>
        <w:pStyle w:val="a3"/>
        <w:numPr>
          <w:ilvl w:val="0"/>
          <w:numId w:val="9"/>
        </w:numPr>
        <w:ind w:firstLineChars="0"/>
        <w:rPr>
          <w:szCs w:val="21"/>
        </w:rPr>
      </w:pPr>
      <w:r w:rsidRPr="00130472">
        <w:rPr>
          <w:rFonts w:hint="eastAsia"/>
          <w:szCs w:val="21"/>
        </w:rPr>
        <w:t>大服务状态</w:t>
      </w:r>
    </w:p>
    <w:tbl>
      <w:tblPr>
        <w:tblStyle w:val="a4"/>
        <w:tblW w:w="8296" w:type="dxa"/>
        <w:tblLayout w:type="fixed"/>
        <w:tblLook w:val="04A0" w:firstRow="1" w:lastRow="0" w:firstColumn="1" w:lastColumn="0" w:noHBand="0" w:noVBand="1"/>
      </w:tblPr>
      <w:tblGrid>
        <w:gridCol w:w="1696"/>
        <w:gridCol w:w="1560"/>
        <w:gridCol w:w="5040"/>
      </w:tblGrid>
      <w:tr w:rsidR="00130472" w:rsidRPr="00130472" w:rsidTr="00915607">
        <w:tc>
          <w:tcPr>
            <w:tcW w:w="1696" w:type="dxa"/>
          </w:tcPr>
          <w:p w:rsidR="00130472" w:rsidRPr="00130472" w:rsidRDefault="00130472" w:rsidP="00915607">
            <w:pPr>
              <w:jc w:val="center"/>
              <w:rPr>
                <w:sz w:val="21"/>
                <w:szCs w:val="21"/>
              </w:rPr>
            </w:pPr>
            <w:r w:rsidRPr="00130472">
              <w:rPr>
                <w:rFonts w:hint="eastAsia"/>
                <w:sz w:val="21"/>
                <w:szCs w:val="21"/>
              </w:rPr>
              <w:t>院后照护状态</w:t>
            </w:r>
          </w:p>
        </w:tc>
        <w:tc>
          <w:tcPr>
            <w:tcW w:w="1560" w:type="dxa"/>
          </w:tcPr>
          <w:p w:rsidR="00130472" w:rsidRPr="00130472" w:rsidRDefault="00130472" w:rsidP="00915607">
            <w:pPr>
              <w:jc w:val="center"/>
              <w:rPr>
                <w:sz w:val="21"/>
                <w:szCs w:val="21"/>
              </w:rPr>
            </w:pPr>
            <w:r w:rsidRPr="00130472">
              <w:rPr>
                <w:rFonts w:hint="eastAsia"/>
                <w:sz w:val="21"/>
                <w:szCs w:val="21"/>
              </w:rPr>
              <w:t>枚举值</w:t>
            </w:r>
          </w:p>
        </w:tc>
        <w:tc>
          <w:tcPr>
            <w:tcW w:w="5040" w:type="dxa"/>
          </w:tcPr>
          <w:p w:rsidR="00130472" w:rsidRPr="00130472" w:rsidRDefault="00130472" w:rsidP="00915607">
            <w:pPr>
              <w:jc w:val="center"/>
              <w:rPr>
                <w:sz w:val="21"/>
                <w:szCs w:val="21"/>
              </w:rPr>
            </w:pPr>
            <w:r w:rsidRPr="00130472">
              <w:rPr>
                <w:rFonts w:hint="eastAsia"/>
                <w:sz w:val="21"/>
                <w:szCs w:val="21"/>
              </w:rPr>
              <w:t>说明</w:t>
            </w:r>
          </w:p>
        </w:tc>
      </w:tr>
      <w:tr w:rsidR="00130472" w:rsidRPr="00130472" w:rsidTr="00915607">
        <w:tc>
          <w:tcPr>
            <w:tcW w:w="1696" w:type="dxa"/>
          </w:tcPr>
          <w:p w:rsidR="00130472" w:rsidRPr="00130472" w:rsidRDefault="00130472" w:rsidP="00915607">
            <w:pPr>
              <w:jc w:val="center"/>
              <w:rPr>
                <w:sz w:val="21"/>
                <w:szCs w:val="21"/>
              </w:rPr>
            </w:pPr>
            <w:r w:rsidRPr="00130472">
              <w:rPr>
                <w:rFonts w:hint="eastAsia"/>
                <w:sz w:val="21"/>
                <w:szCs w:val="21"/>
              </w:rPr>
              <w:lastRenderedPageBreak/>
              <w:t>已受理</w:t>
            </w:r>
          </w:p>
        </w:tc>
        <w:tc>
          <w:tcPr>
            <w:tcW w:w="1560" w:type="dxa"/>
          </w:tcPr>
          <w:p w:rsidR="00130472" w:rsidRPr="00130472" w:rsidRDefault="00130472" w:rsidP="00915607">
            <w:pPr>
              <w:jc w:val="center"/>
              <w:rPr>
                <w:sz w:val="21"/>
                <w:szCs w:val="21"/>
              </w:rPr>
            </w:pPr>
            <w:r w:rsidRPr="00130472">
              <w:rPr>
                <w:rFonts w:hint="eastAsia"/>
                <w:sz w:val="21"/>
                <w:szCs w:val="21"/>
              </w:rPr>
              <w:t>1</w:t>
            </w:r>
          </w:p>
        </w:tc>
        <w:tc>
          <w:tcPr>
            <w:tcW w:w="5040" w:type="dxa"/>
          </w:tcPr>
          <w:p w:rsidR="00130472" w:rsidRPr="00130472" w:rsidRDefault="00130472" w:rsidP="00915607">
            <w:pPr>
              <w:rPr>
                <w:sz w:val="21"/>
                <w:szCs w:val="21"/>
              </w:rPr>
            </w:pPr>
            <w:r w:rsidRPr="00130472">
              <w:rPr>
                <w:rFonts w:hint="eastAsia"/>
                <w:sz w:val="21"/>
                <w:szCs w:val="21"/>
              </w:rPr>
              <w:t>院后照护服务申请完成受理</w:t>
            </w:r>
          </w:p>
        </w:tc>
      </w:tr>
      <w:tr w:rsidR="00130472" w:rsidRPr="00130472" w:rsidTr="00915607">
        <w:tc>
          <w:tcPr>
            <w:tcW w:w="1696" w:type="dxa"/>
          </w:tcPr>
          <w:p w:rsidR="00130472" w:rsidRPr="00130472" w:rsidRDefault="00130472" w:rsidP="00915607">
            <w:pPr>
              <w:jc w:val="center"/>
              <w:rPr>
                <w:sz w:val="21"/>
                <w:szCs w:val="21"/>
              </w:rPr>
            </w:pPr>
            <w:r w:rsidRPr="00130472">
              <w:rPr>
                <w:rFonts w:hint="eastAsia"/>
                <w:sz w:val="21"/>
                <w:szCs w:val="21"/>
              </w:rPr>
              <w:t>服务中</w:t>
            </w:r>
          </w:p>
        </w:tc>
        <w:tc>
          <w:tcPr>
            <w:tcW w:w="1560" w:type="dxa"/>
          </w:tcPr>
          <w:p w:rsidR="00130472" w:rsidRPr="00130472" w:rsidRDefault="00130472" w:rsidP="00915607">
            <w:pPr>
              <w:jc w:val="center"/>
              <w:rPr>
                <w:sz w:val="21"/>
                <w:szCs w:val="21"/>
              </w:rPr>
            </w:pPr>
            <w:r w:rsidRPr="00130472">
              <w:rPr>
                <w:rFonts w:hint="eastAsia"/>
                <w:sz w:val="21"/>
                <w:szCs w:val="21"/>
              </w:rPr>
              <w:t>2</w:t>
            </w:r>
          </w:p>
        </w:tc>
        <w:tc>
          <w:tcPr>
            <w:tcW w:w="5040" w:type="dxa"/>
          </w:tcPr>
          <w:p w:rsidR="00130472" w:rsidRPr="00130472" w:rsidRDefault="00130472" w:rsidP="00915607">
            <w:pPr>
              <w:rPr>
                <w:sz w:val="21"/>
                <w:szCs w:val="21"/>
              </w:rPr>
            </w:pPr>
            <w:r w:rsidRPr="00130472">
              <w:rPr>
                <w:rFonts w:hint="eastAsia"/>
                <w:sz w:val="21"/>
                <w:szCs w:val="21"/>
              </w:rPr>
              <w:t>判责通过，服务进行中</w:t>
            </w:r>
          </w:p>
        </w:tc>
      </w:tr>
      <w:tr w:rsidR="00130472" w:rsidRPr="00130472" w:rsidTr="00915607">
        <w:tc>
          <w:tcPr>
            <w:tcW w:w="1696" w:type="dxa"/>
          </w:tcPr>
          <w:p w:rsidR="00130472" w:rsidRPr="00130472" w:rsidRDefault="00130472" w:rsidP="00915607">
            <w:pPr>
              <w:jc w:val="center"/>
              <w:rPr>
                <w:sz w:val="21"/>
                <w:szCs w:val="21"/>
              </w:rPr>
            </w:pPr>
            <w:r w:rsidRPr="00130472">
              <w:rPr>
                <w:rFonts w:hint="eastAsia"/>
                <w:sz w:val="21"/>
                <w:szCs w:val="21"/>
              </w:rPr>
              <w:t>已完成</w:t>
            </w:r>
          </w:p>
        </w:tc>
        <w:tc>
          <w:tcPr>
            <w:tcW w:w="1560" w:type="dxa"/>
          </w:tcPr>
          <w:p w:rsidR="00130472" w:rsidRPr="00130472" w:rsidRDefault="00130472" w:rsidP="00915607">
            <w:pPr>
              <w:jc w:val="center"/>
              <w:rPr>
                <w:sz w:val="21"/>
                <w:szCs w:val="21"/>
              </w:rPr>
            </w:pPr>
            <w:r w:rsidRPr="00130472">
              <w:rPr>
                <w:rFonts w:hint="eastAsia"/>
                <w:sz w:val="21"/>
                <w:szCs w:val="21"/>
              </w:rPr>
              <w:t>3</w:t>
            </w:r>
          </w:p>
        </w:tc>
        <w:tc>
          <w:tcPr>
            <w:tcW w:w="5040" w:type="dxa"/>
          </w:tcPr>
          <w:p w:rsidR="00130472" w:rsidRPr="00130472" w:rsidRDefault="00130472" w:rsidP="00915607">
            <w:pPr>
              <w:rPr>
                <w:sz w:val="21"/>
                <w:szCs w:val="21"/>
              </w:rPr>
            </w:pPr>
            <w:r w:rsidRPr="00130472">
              <w:rPr>
                <w:rFonts w:hint="eastAsia"/>
                <w:sz w:val="21"/>
                <w:szCs w:val="21"/>
              </w:rPr>
              <w:t>各项服务均已完成</w:t>
            </w:r>
          </w:p>
        </w:tc>
      </w:tr>
      <w:tr w:rsidR="00130472" w:rsidRPr="00130472" w:rsidTr="00915607">
        <w:tc>
          <w:tcPr>
            <w:tcW w:w="1696" w:type="dxa"/>
          </w:tcPr>
          <w:p w:rsidR="00130472" w:rsidRPr="00130472" w:rsidRDefault="00130472" w:rsidP="00915607">
            <w:pPr>
              <w:jc w:val="center"/>
              <w:rPr>
                <w:sz w:val="21"/>
                <w:szCs w:val="21"/>
              </w:rPr>
            </w:pPr>
            <w:r w:rsidRPr="00130472">
              <w:rPr>
                <w:rFonts w:hint="eastAsia"/>
                <w:sz w:val="21"/>
                <w:szCs w:val="21"/>
              </w:rPr>
              <w:t>已取消</w:t>
            </w:r>
          </w:p>
        </w:tc>
        <w:tc>
          <w:tcPr>
            <w:tcW w:w="1560" w:type="dxa"/>
          </w:tcPr>
          <w:p w:rsidR="00130472" w:rsidRPr="00130472" w:rsidRDefault="00130472" w:rsidP="00915607">
            <w:pPr>
              <w:jc w:val="center"/>
              <w:rPr>
                <w:sz w:val="21"/>
                <w:szCs w:val="21"/>
              </w:rPr>
            </w:pPr>
            <w:r w:rsidRPr="00130472">
              <w:rPr>
                <w:rFonts w:hint="eastAsia"/>
                <w:sz w:val="21"/>
                <w:szCs w:val="21"/>
              </w:rPr>
              <w:t>4</w:t>
            </w:r>
          </w:p>
        </w:tc>
        <w:tc>
          <w:tcPr>
            <w:tcW w:w="5040" w:type="dxa"/>
          </w:tcPr>
          <w:p w:rsidR="00130472" w:rsidRPr="00130472" w:rsidRDefault="00130472" w:rsidP="00915607">
            <w:pPr>
              <w:rPr>
                <w:sz w:val="21"/>
                <w:szCs w:val="21"/>
              </w:rPr>
            </w:pPr>
            <w:r w:rsidRPr="00130472">
              <w:rPr>
                <w:rFonts w:hint="eastAsia"/>
                <w:sz w:val="21"/>
                <w:szCs w:val="21"/>
              </w:rPr>
              <w:t>服务取消</w:t>
            </w:r>
          </w:p>
        </w:tc>
      </w:tr>
    </w:tbl>
    <w:p w:rsidR="00130472" w:rsidRPr="00130472" w:rsidRDefault="00130472" w:rsidP="00130472">
      <w:pPr>
        <w:pStyle w:val="a3"/>
        <w:ind w:left="360" w:firstLineChars="0" w:firstLine="0"/>
        <w:rPr>
          <w:szCs w:val="21"/>
        </w:rPr>
      </w:pPr>
    </w:p>
    <w:p w:rsidR="00130472" w:rsidRPr="00130472" w:rsidRDefault="00130472" w:rsidP="00130472">
      <w:pPr>
        <w:pStyle w:val="a3"/>
        <w:numPr>
          <w:ilvl w:val="0"/>
          <w:numId w:val="9"/>
        </w:numPr>
        <w:ind w:firstLineChars="0"/>
        <w:rPr>
          <w:szCs w:val="21"/>
        </w:rPr>
      </w:pPr>
      <w:r w:rsidRPr="00130472">
        <w:rPr>
          <w:rFonts w:ascii="宋体" w:eastAsia="宋体" w:hAnsi="宋体" w:cs="宋体" w:hint="eastAsia"/>
          <w:kern w:val="0"/>
          <w:szCs w:val="21"/>
        </w:rPr>
        <w:t>小服务状态</w:t>
      </w:r>
      <w:r w:rsidRPr="00130472">
        <w:rPr>
          <w:rFonts w:ascii="宋体" w:eastAsia="宋体" w:hAnsi="宋体" w:hint="eastAsia"/>
          <w:szCs w:val="21"/>
        </w:rPr>
        <w:t>（</w:t>
      </w:r>
      <w:r w:rsidRPr="00130472">
        <w:rPr>
          <w:rFonts w:ascii="宋体" w:eastAsia="宋体" w:hAnsi="宋体" w:cs="宋体" w:hint="eastAsia"/>
          <w:kern w:val="0"/>
          <w:szCs w:val="21"/>
        </w:rPr>
        <w:t>出院护送1次、环境指导1次、照护指导1次、远程指导2次</w:t>
      </w:r>
      <w:r w:rsidRPr="00130472">
        <w:rPr>
          <w:rFonts w:ascii="宋体" w:eastAsia="宋体" w:hAnsi="宋体" w:hint="eastAsia"/>
          <w:szCs w:val="21"/>
        </w:rPr>
        <w:t>）</w:t>
      </w:r>
    </w:p>
    <w:p w:rsidR="00130472" w:rsidRPr="00130472" w:rsidRDefault="00130472" w:rsidP="00130472">
      <w:pPr>
        <w:pStyle w:val="a3"/>
        <w:ind w:left="360" w:firstLineChars="0" w:firstLine="0"/>
        <w:rPr>
          <w:szCs w:val="21"/>
        </w:rPr>
      </w:pPr>
    </w:p>
    <w:tbl>
      <w:tblPr>
        <w:tblStyle w:val="a4"/>
        <w:tblW w:w="8296" w:type="dxa"/>
        <w:tblLayout w:type="fixed"/>
        <w:tblLook w:val="04A0" w:firstRow="1" w:lastRow="0" w:firstColumn="1" w:lastColumn="0" w:noHBand="0" w:noVBand="1"/>
      </w:tblPr>
      <w:tblGrid>
        <w:gridCol w:w="1696"/>
        <w:gridCol w:w="1560"/>
        <w:gridCol w:w="5040"/>
      </w:tblGrid>
      <w:tr w:rsidR="00130472" w:rsidRPr="00130472" w:rsidTr="00915607">
        <w:tc>
          <w:tcPr>
            <w:tcW w:w="1696" w:type="dxa"/>
          </w:tcPr>
          <w:p w:rsidR="00130472" w:rsidRPr="00130472" w:rsidRDefault="00130472" w:rsidP="00915607">
            <w:pPr>
              <w:jc w:val="center"/>
              <w:rPr>
                <w:sz w:val="21"/>
                <w:szCs w:val="21"/>
              </w:rPr>
            </w:pPr>
            <w:r w:rsidRPr="00130472">
              <w:rPr>
                <w:rFonts w:hint="eastAsia"/>
                <w:sz w:val="21"/>
                <w:szCs w:val="21"/>
              </w:rPr>
              <w:t>每项服务状态</w:t>
            </w:r>
          </w:p>
        </w:tc>
        <w:tc>
          <w:tcPr>
            <w:tcW w:w="1560" w:type="dxa"/>
          </w:tcPr>
          <w:p w:rsidR="00130472" w:rsidRPr="00130472" w:rsidRDefault="00130472" w:rsidP="00915607">
            <w:pPr>
              <w:jc w:val="center"/>
              <w:rPr>
                <w:sz w:val="21"/>
                <w:szCs w:val="21"/>
              </w:rPr>
            </w:pPr>
            <w:r w:rsidRPr="00130472">
              <w:rPr>
                <w:rFonts w:hint="eastAsia"/>
                <w:sz w:val="21"/>
                <w:szCs w:val="21"/>
              </w:rPr>
              <w:t>枚举值</w:t>
            </w:r>
          </w:p>
        </w:tc>
        <w:tc>
          <w:tcPr>
            <w:tcW w:w="5040" w:type="dxa"/>
          </w:tcPr>
          <w:p w:rsidR="00130472" w:rsidRPr="00130472" w:rsidRDefault="00130472" w:rsidP="00915607">
            <w:pPr>
              <w:jc w:val="center"/>
              <w:rPr>
                <w:sz w:val="21"/>
                <w:szCs w:val="21"/>
              </w:rPr>
            </w:pPr>
            <w:r w:rsidRPr="00130472">
              <w:rPr>
                <w:rFonts w:hint="eastAsia"/>
                <w:sz w:val="21"/>
                <w:szCs w:val="21"/>
              </w:rPr>
              <w:t>说明</w:t>
            </w:r>
          </w:p>
        </w:tc>
      </w:tr>
      <w:tr w:rsidR="00130472" w:rsidRPr="00130472" w:rsidTr="00915607">
        <w:tc>
          <w:tcPr>
            <w:tcW w:w="1696" w:type="dxa"/>
          </w:tcPr>
          <w:p w:rsidR="00130472" w:rsidRPr="00130472" w:rsidRDefault="00130472" w:rsidP="00915607">
            <w:pPr>
              <w:jc w:val="center"/>
              <w:rPr>
                <w:sz w:val="21"/>
                <w:szCs w:val="21"/>
              </w:rPr>
            </w:pPr>
            <w:r w:rsidRPr="00130472">
              <w:rPr>
                <w:rFonts w:hint="eastAsia"/>
                <w:sz w:val="21"/>
                <w:szCs w:val="21"/>
              </w:rPr>
              <w:t>待服务</w:t>
            </w:r>
          </w:p>
        </w:tc>
        <w:tc>
          <w:tcPr>
            <w:tcW w:w="1560" w:type="dxa"/>
          </w:tcPr>
          <w:p w:rsidR="00130472" w:rsidRPr="00130472" w:rsidRDefault="00130472" w:rsidP="00915607">
            <w:pPr>
              <w:jc w:val="center"/>
              <w:rPr>
                <w:sz w:val="21"/>
                <w:szCs w:val="21"/>
              </w:rPr>
            </w:pPr>
            <w:r w:rsidRPr="00130472">
              <w:rPr>
                <w:rFonts w:hint="eastAsia"/>
                <w:sz w:val="21"/>
                <w:szCs w:val="21"/>
              </w:rPr>
              <w:t>1</w:t>
            </w:r>
          </w:p>
        </w:tc>
        <w:tc>
          <w:tcPr>
            <w:tcW w:w="5040" w:type="dxa"/>
          </w:tcPr>
          <w:p w:rsidR="00130472" w:rsidRPr="00130472" w:rsidRDefault="00130472" w:rsidP="00915607">
            <w:pPr>
              <w:rPr>
                <w:sz w:val="21"/>
                <w:szCs w:val="21"/>
              </w:rPr>
            </w:pPr>
            <w:r w:rsidRPr="00130472">
              <w:rPr>
                <w:rFonts w:hint="eastAsia"/>
                <w:sz w:val="21"/>
                <w:szCs w:val="21"/>
              </w:rPr>
              <w:t>尚未开始服务</w:t>
            </w:r>
          </w:p>
        </w:tc>
      </w:tr>
      <w:tr w:rsidR="00130472" w:rsidRPr="00130472" w:rsidTr="00915607">
        <w:tc>
          <w:tcPr>
            <w:tcW w:w="1696" w:type="dxa"/>
          </w:tcPr>
          <w:p w:rsidR="00130472" w:rsidRPr="00130472" w:rsidRDefault="00130472" w:rsidP="00915607">
            <w:pPr>
              <w:jc w:val="center"/>
              <w:rPr>
                <w:sz w:val="21"/>
                <w:szCs w:val="21"/>
              </w:rPr>
            </w:pPr>
            <w:r w:rsidRPr="00130472">
              <w:rPr>
                <w:rFonts w:hint="eastAsia"/>
                <w:sz w:val="21"/>
                <w:szCs w:val="21"/>
              </w:rPr>
              <w:t>服务中</w:t>
            </w:r>
          </w:p>
        </w:tc>
        <w:tc>
          <w:tcPr>
            <w:tcW w:w="1560" w:type="dxa"/>
          </w:tcPr>
          <w:p w:rsidR="00130472" w:rsidRPr="00130472" w:rsidRDefault="00130472" w:rsidP="00915607">
            <w:pPr>
              <w:jc w:val="center"/>
              <w:rPr>
                <w:sz w:val="21"/>
                <w:szCs w:val="21"/>
              </w:rPr>
            </w:pPr>
            <w:r w:rsidRPr="00130472">
              <w:rPr>
                <w:rFonts w:hint="eastAsia"/>
                <w:sz w:val="21"/>
                <w:szCs w:val="21"/>
              </w:rPr>
              <w:t>2</w:t>
            </w:r>
          </w:p>
        </w:tc>
        <w:tc>
          <w:tcPr>
            <w:tcW w:w="5040" w:type="dxa"/>
          </w:tcPr>
          <w:p w:rsidR="00130472" w:rsidRPr="00130472" w:rsidRDefault="00130472" w:rsidP="00915607">
            <w:pPr>
              <w:rPr>
                <w:sz w:val="21"/>
                <w:szCs w:val="21"/>
              </w:rPr>
            </w:pPr>
            <w:r w:rsidRPr="00130472">
              <w:rPr>
                <w:rFonts w:hint="eastAsia"/>
                <w:sz w:val="21"/>
                <w:szCs w:val="21"/>
              </w:rPr>
              <w:t>服务进行中</w:t>
            </w:r>
          </w:p>
        </w:tc>
      </w:tr>
      <w:tr w:rsidR="00130472" w:rsidRPr="00130472" w:rsidTr="00915607">
        <w:tc>
          <w:tcPr>
            <w:tcW w:w="1696" w:type="dxa"/>
          </w:tcPr>
          <w:p w:rsidR="00130472" w:rsidRPr="00130472" w:rsidRDefault="00130472" w:rsidP="00915607">
            <w:pPr>
              <w:jc w:val="center"/>
              <w:rPr>
                <w:sz w:val="21"/>
                <w:szCs w:val="21"/>
              </w:rPr>
            </w:pPr>
            <w:r w:rsidRPr="00130472">
              <w:rPr>
                <w:rFonts w:hint="eastAsia"/>
                <w:sz w:val="21"/>
                <w:szCs w:val="21"/>
              </w:rPr>
              <w:t>已完成</w:t>
            </w:r>
          </w:p>
        </w:tc>
        <w:tc>
          <w:tcPr>
            <w:tcW w:w="1560" w:type="dxa"/>
          </w:tcPr>
          <w:p w:rsidR="00130472" w:rsidRPr="00130472" w:rsidRDefault="00130472" w:rsidP="00915607">
            <w:pPr>
              <w:jc w:val="center"/>
              <w:rPr>
                <w:sz w:val="21"/>
                <w:szCs w:val="21"/>
              </w:rPr>
            </w:pPr>
            <w:r w:rsidRPr="00130472">
              <w:rPr>
                <w:rFonts w:hint="eastAsia"/>
                <w:sz w:val="21"/>
                <w:szCs w:val="21"/>
              </w:rPr>
              <w:t>3</w:t>
            </w:r>
          </w:p>
        </w:tc>
        <w:tc>
          <w:tcPr>
            <w:tcW w:w="5040" w:type="dxa"/>
          </w:tcPr>
          <w:p w:rsidR="00130472" w:rsidRPr="00130472" w:rsidRDefault="00130472" w:rsidP="00915607">
            <w:pPr>
              <w:rPr>
                <w:sz w:val="21"/>
                <w:szCs w:val="21"/>
              </w:rPr>
            </w:pPr>
            <w:r w:rsidRPr="00130472">
              <w:rPr>
                <w:rFonts w:hint="eastAsia"/>
                <w:sz w:val="21"/>
                <w:szCs w:val="21"/>
              </w:rPr>
              <w:t>服务实施完成</w:t>
            </w:r>
          </w:p>
        </w:tc>
      </w:tr>
      <w:tr w:rsidR="00130472" w:rsidRPr="00130472" w:rsidTr="00915607">
        <w:tc>
          <w:tcPr>
            <w:tcW w:w="1696" w:type="dxa"/>
          </w:tcPr>
          <w:p w:rsidR="00130472" w:rsidRPr="00130472" w:rsidRDefault="00130472" w:rsidP="00915607">
            <w:pPr>
              <w:jc w:val="center"/>
              <w:rPr>
                <w:sz w:val="21"/>
                <w:szCs w:val="21"/>
              </w:rPr>
            </w:pPr>
            <w:r w:rsidRPr="00130472">
              <w:rPr>
                <w:rFonts w:hint="eastAsia"/>
                <w:sz w:val="21"/>
                <w:szCs w:val="21"/>
              </w:rPr>
              <w:t>已取消</w:t>
            </w:r>
          </w:p>
        </w:tc>
        <w:tc>
          <w:tcPr>
            <w:tcW w:w="1560" w:type="dxa"/>
          </w:tcPr>
          <w:p w:rsidR="00130472" w:rsidRPr="00130472" w:rsidRDefault="00130472" w:rsidP="00915607">
            <w:pPr>
              <w:jc w:val="center"/>
              <w:rPr>
                <w:sz w:val="21"/>
                <w:szCs w:val="21"/>
              </w:rPr>
            </w:pPr>
            <w:r w:rsidRPr="00130472">
              <w:rPr>
                <w:rFonts w:hint="eastAsia"/>
                <w:sz w:val="21"/>
                <w:szCs w:val="21"/>
              </w:rPr>
              <w:t>4</w:t>
            </w:r>
          </w:p>
        </w:tc>
        <w:tc>
          <w:tcPr>
            <w:tcW w:w="5040" w:type="dxa"/>
          </w:tcPr>
          <w:p w:rsidR="00130472" w:rsidRPr="00130472" w:rsidRDefault="00130472" w:rsidP="00915607">
            <w:pPr>
              <w:rPr>
                <w:sz w:val="21"/>
                <w:szCs w:val="21"/>
              </w:rPr>
            </w:pPr>
            <w:r w:rsidRPr="00130472">
              <w:rPr>
                <w:rFonts w:hint="eastAsia"/>
                <w:sz w:val="21"/>
                <w:szCs w:val="21"/>
              </w:rPr>
              <w:t>服务取消</w:t>
            </w:r>
          </w:p>
        </w:tc>
      </w:tr>
    </w:tbl>
    <w:p w:rsidR="00130472" w:rsidRDefault="00130472" w:rsidP="00130472">
      <w:pPr>
        <w:pStyle w:val="a3"/>
        <w:ind w:left="360" w:firstLineChars="0" w:firstLine="0"/>
        <w:rPr>
          <w:rFonts w:ascii="宋体" w:eastAsia="宋体" w:hAnsi="宋体" w:cs="宋体"/>
          <w:kern w:val="0"/>
          <w:szCs w:val="21"/>
        </w:rPr>
      </w:pPr>
    </w:p>
    <w:p w:rsidR="00130472" w:rsidRPr="00130472" w:rsidRDefault="00130472" w:rsidP="00130472">
      <w:pPr>
        <w:pStyle w:val="a3"/>
        <w:numPr>
          <w:ilvl w:val="0"/>
          <w:numId w:val="9"/>
        </w:numPr>
        <w:ind w:firstLineChars="0"/>
        <w:rPr>
          <w:rFonts w:ascii="宋体" w:eastAsia="宋体" w:hAnsi="宋体" w:cs="宋体"/>
          <w:kern w:val="0"/>
          <w:szCs w:val="21"/>
        </w:rPr>
      </w:pPr>
      <w:r w:rsidRPr="00130472">
        <w:rPr>
          <w:rFonts w:ascii="宋体" w:eastAsia="宋体" w:hAnsi="宋体" w:cs="宋体" w:hint="eastAsia"/>
          <w:kern w:val="0"/>
          <w:szCs w:val="21"/>
        </w:rPr>
        <w:t>大服务和小服务状态的关系。</w:t>
      </w:r>
    </w:p>
    <w:p w:rsidR="00130472" w:rsidRPr="00130472" w:rsidRDefault="00130472" w:rsidP="00130472">
      <w:pPr>
        <w:pStyle w:val="a3"/>
        <w:numPr>
          <w:ilvl w:val="1"/>
          <w:numId w:val="8"/>
        </w:numPr>
        <w:ind w:firstLineChars="0"/>
        <w:rPr>
          <w:rFonts w:ascii="宋体" w:eastAsia="宋体" w:hAnsi="宋体"/>
          <w:szCs w:val="21"/>
        </w:rPr>
      </w:pPr>
      <w:r w:rsidRPr="00130472">
        <w:rPr>
          <w:rFonts w:ascii="宋体" w:eastAsia="宋体" w:hAnsi="宋体" w:hint="eastAsia"/>
          <w:szCs w:val="21"/>
        </w:rPr>
        <w:t>大服务状态“已受理”：成长反馈受理成功，4个小服务状态为“待服务”</w:t>
      </w:r>
    </w:p>
    <w:p w:rsidR="00130472" w:rsidRPr="00130472" w:rsidRDefault="00130472" w:rsidP="00130472">
      <w:pPr>
        <w:pStyle w:val="a3"/>
        <w:numPr>
          <w:ilvl w:val="1"/>
          <w:numId w:val="8"/>
        </w:numPr>
        <w:ind w:firstLineChars="0"/>
        <w:rPr>
          <w:rFonts w:ascii="宋体" w:eastAsia="宋体" w:hAnsi="宋体"/>
          <w:szCs w:val="21"/>
        </w:rPr>
      </w:pPr>
      <w:r w:rsidRPr="00130472">
        <w:rPr>
          <w:rFonts w:ascii="宋体" w:eastAsia="宋体" w:hAnsi="宋体" w:hint="eastAsia"/>
          <w:szCs w:val="21"/>
        </w:rPr>
        <w:t>大服务状态“服务中”：4个小服务中有任意一项或多项为“服务中”</w:t>
      </w:r>
    </w:p>
    <w:p w:rsidR="00130472" w:rsidRPr="00130472" w:rsidRDefault="00130472" w:rsidP="00130472">
      <w:pPr>
        <w:pStyle w:val="a3"/>
        <w:numPr>
          <w:ilvl w:val="1"/>
          <w:numId w:val="8"/>
        </w:numPr>
        <w:ind w:firstLineChars="0"/>
        <w:rPr>
          <w:rFonts w:ascii="宋体" w:eastAsia="宋体" w:hAnsi="宋体"/>
          <w:szCs w:val="21"/>
        </w:rPr>
      </w:pPr>
      <w:r w:rsidRPr="00130472">
        <w:rPr>
          <w:rFonts w:ascii="宋体" w:eastAsia="宋体" w:hAnsi="宋体" w:hint="eastAsia"/>
          <w:szCs w:val="21"/>
        </w:rPr>
        <w:t>大服务状态“已完成”：4个小服务中只要有一项“已完成”，其他服务为“已完成”或“已取消”</w:t>
      </w:r>
    </w:p>
    <w:p w:rsidR="00130472" w:rsidRPr="00130472" w:rsidRDefault="00130472" w:rsidP="00130472">
      <w:pPr>
        <w:pStyle w:val="a3"/>
        <w:numPr>
          <w:ilvl w:val="1"/>
          <w:numId w:val="8"/>
        </w:numPr>
        <w:ind w:firstLineChars="0"/>
        <w:rPr>
          <w:rFonts w:ascii="宋体" w:eastAsia="宋体" w:hAnsi="宋体"/>
          <w:szCs w:val="21"/>
        </w:rPr>
      </w:pPr>
      <w:r w:rsidRPr="00130472">
        <w:rPr>
          <w:rFonts w:ascii="宋体" w:eastAsia="宋体" w:hAnsi="宋体" w:hint="eastAsia"/>
          <w:szCs w:val="21"/>
        </w:rPr>
        <w:t>大服务状态“已取消”：4个小服务状态都是“已取消”</w:t>
      </w:r>
    </w:p>
    <w:p w:rsidR="00130472" w:rsidRPr="00130472" w:rsidRDefault="00130472" w:rsidP="00130472">
      <w:pPr>
        <w:pStyle w:val="a3"/>
        <w:ind w:left="780" w:firstLineChars="0" w:firstLine="0"/>
        <w:rPr>
          <w:szCs w:val="21"/>
        </w:rPr>
      </w:pPr>
    </w:p>
    <w:sectPr w:rsidR="00130472" w:rsidRPr="001304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469" w:rsidRDefault="007E3469" w:rsidP="00130472">
      <w:r>
        <w:separator/>
      </w:r>
    </w:p>
  </w:endnote>
  <w:endnote w:type="continuationSeparator" w:id="0">
    <w:p w:rsidR="007E3469" w:rsidRDefault="007E3469" w:rsidP="00130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469" w:rsidRDefault="007E3469" w:rsidP="00130472">
      <w:r>
        <w:separator/>
      </w:r>
    </w:p>
  </w:footnote>
  <w:footnote w:type="continuationSeparator" w:id="0">
    <w:p w:rsidR="007E3469" w:rsidRDefault="007E3469" w:rsidP="00130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35C27"/>
    <w:multiLevelType w:val="multilevel"/>
    <w:tmpl w:val="0E435C2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13C36678"/>
    <w:multiLevelType w:val="multilevel"/>
    <w:tmpl w:val="13C3667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25044A76"/>
    <w:multiLevelType w:val="hybridMultilevel"/>
    <w:tmpl w:val="C70C896A"/>
    <w:lvl w:ilvl="0" w:tplc="555C33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19A61BB"/>
    <w:multiLevelType w:val="hybridMultilevel"/>
    <w:tmpl w:val="EA985E78"/>
    <w:lvl w:ilvl="0" w:tplc="4002F90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32E79D1"/>
    <w:multiLevelType w:val="hybridMultilevel"/>
    <w:tmpl w:val="3642E4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4A8646E2"/>
    <w:multiLevelType w:val="hybridMultilevel"/>
    <w:tmpl w:val="91502BA0"/>
    <w:lvl w:ilvl="0" w:tplc="B608F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5D80534A"/>
    <w:multiLevelType w:val="hybridMultilevel"/>
    <w:tmpl w:val="A6EE8716"/>
    <w:lvl w:ilvl="0" w:tplc="A7B6770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495A6B"/>
    <w:multiLevelType w:val="hybridMultilevel"/>
    <w:tmpl w:val="1200EF4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D865B67"/>
    <w:multiLevelType w:val="hybridMultilevel"/>
    <w:tmpl w:val="D7CC4210"/>
    <w:lvl w:ilvl="0" w:tplc="CABE5A76">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6"/>
  </w:num>
  <w:num w:numId="2">
    <w:abstractNumId w:val="4"/>
  </w:num>
  <w:num w:numId="3">
    <w:abstractNumId w:val="2"/>
  </w:num>
  <w:num w:numId="4">
    <w:abstractNumId w:val="5"/>
  </w:num>
  <w:num w:numId="5">
    <w:abstractNumId w:val="8"/>
  </w:num>
  <w:num w:numId="6">
    <w:abstractNumId w:val="0"/>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560"/>
    <w:rsid w:val="00130472"/>
    <w:rsid w:val="00427FCF"/>
    <w:rsid w:val="00622E21"/>
    <w:rsid w:val="0062369E"/>
    <w:rsid w:val="006878A7"/>
    <w:rsid w:val="006D5560"/>
    <w:rsid w:val="007215FE"/>
    <w:rsid w:val="00756B1B"/>
    <w:rsid w:val="00794988"/>
    <w:rsid w:val="007E3469"/>
    <w:rsid w:val="0082408D"/>
    <w:rsid w:val="0085011E"/>
    <w:rsid w:val="009E5AA9"/>
    <w:rsid w:val="00A6300D"/>
    <w:rsid w:val="00A97DCC"/>
    <w:rsid w:val="00CA18FC"/>
    <w:rsid w:val="00DC392F"/>
    <w:rsid w:val="00DE2232"/>
    <w:rsid w:val="00E8044D"/>
    <w:rsid w:val="00E91052"/>
    <w:rsid w:val="00EB14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788A1CB-91AD-4081-BAB4-2D90FBC9E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78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427FCF"/>
    <w:pPr>
      <w:ind w:firstLineChars="200" w:firstLine="420"/>
    </w:pPr>
  </w:style>
  <w:style w:type="table" w:styleId="a4">
    <w:name w:val="Table Grid"/>
    <w:basedOn w:val="a1"/>
    <w:uiPriority w:val="39"/>
    <w:qFormat/>
    <w:rsid w:val="0085011E"/>
    <w:pPr>
      <w:widowControl w:val="0"/>
      <w:jc w:val="both"/>
    </w:pPr>
    <w:rPr>
      <w:rFonts w:ascii="宋体" w:eastAsia="宋体" w:hAnsi="宋体"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2">
    <w:name w:val="列出段落2"/>
    <w:basedOn w:val="a"/>
    <w:link w:val="a5"/>
    <w:uiPriority w:val="34"/>
    <w:qFormat/>
    <w:rsid w:val="0085011E"/>
    <w:pPr>
      <w:ind w:firstLineChars="200" w:firstLine="420"/>
    </w:pPr>
    <w:rPr>
      <w:rFonts w:ascii="Times New Roman" w:eastAsia="宋体" w:hAnsi="Times New Roman" w:cs="Times New Roman"/>
      <w:szCs w:val="21"/>
    </w:rPr>
  </w:style>
  <w:style w:type="character" w:customStyle="1" w:styleId="a5">
    <w:name w:val="列表段落 字符"/>
    <w:link w:val="2"/>
    <w:uiPriority w:val="34"/>
    <w:qFormat/>
    <w:rsid w:val="0085011E"/>
    <w:rPr>
      <w:rFonts w:ascii="Times New Roman" w:eastAsia="宋体" w:hAnsi="Times New Roman" w:cs="Times New Roman"/>
      <w:szCs w:val="21"/>
    </w:rPr>
  </w:style>
  <w:style w:type="character" w:customStyle="1" w:styleId="Char">
    <w:name w:val="列出段落 Char"/>
    <w:link w:val="a3"/>
    <w:uiPriority w:val="99"/>
    <w:qFormat/>
    <w:rsid w:val="0062369E"/>
  </w:style>
  <w:style w:type="paragraph" w:customStyle="1" w:styleId="1">
    <w:name w:val="列出段落1"/>
    <w:basedOn w:val="a"/>
    <w:uiPriority w:val="34"/>
    <w:qFormat/>
    <w:rsid w:val="0062369E"/>
    <w:pPr>
      <w:ind w:firstLineChars="200" w:firstLine="420"/>
    </w:pPr>
    <w:rPr>
      <w:rFonts w:ascii="Calibri" w:eastAsia="宋体" w:hAnsi="Calibri" w:cs="Times New Roman"/>
      <w:sz w:val="30"/>
    </w:rPr>
  </w:style>
  <w:style w:type="paragraph" w:styleId="a6">
    <w:name w:val="header"/>
    <w:basedOn w:val="a"/>
    <w:link w:val="Char0"/>
    <w:uiPriority w:val="99"/>
    <w:unhideWhenUsed/>
    <w:rsid w:val="001304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130472"/>
    <w:rPr>
      <w:sz w:val="18"/>
      <w:szCs w:val="18"/>
    </w:rPr>
  </w:style>
  <w:style w:type="paragraph" w:styleId="a7">
    <w:name w:val="footer"/>
    <w:basedOn w:val="a"/>
    <w:link w:val="Char1"/>
    <w:uiPriority w:val="99"/>
    <w:unhideWhenUsed/>
    <w:rsid w:val="00130472"/>
    <w:pPr>
      <w:tabs>
        <w:tab w:val="center" w:pos="4153"/>
        <w:tab w:val="right" w:pos="8306"/>
      </w:tabs>
      <w:snapToGrid w:val="0"/>
      <w:jc w:val="left"/>
    </w:pPr>
    <w:rPr>
      <w:sz w:val="18"/>
      <w:szCs w:val="18"/>
    </w:rPr>
  </w:style>
  <w:style w:type="character" w:customStyle="1" w:styleId="Char1">
    <w:name w:val="页脚 Char"/>
    <w:basedOn w:val="a0"/>
    <w:link w:val="a7"/>
    <w:uiPriority w:val="99"/>
    <w:rsid w:val="001304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378</Words>
  <Characters>2160</Characters>
  <Application>Microsoft Office Word</Application>
  <DocSecurity>0</DocSecurity>
  <Lines>18</Lines>
  <Paragraphs>5</Paragraphs>
  <ScaleCrop>false</ScaleCrop>
  <Company/>
  <LinksUpToDate>false</LinksUpToDate>
  <CharactersWithSpaces>2533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林小雁</dc:creator>
  <cp:keywords/>
  <dc:description/>
  <cp:lastModifiedBy>Microsoft 帐户</cp:lastModifiedBy>
  <cp:revision>14</cp:revision>
  <dcterms:created xsi:type="dcterms:W3CDTF">2021-04-20T03:20:00Z</dcterms:created>
  <dcterms:modified xsi:type="dcterms:W3CDTF">2021-04-21T06:37:00Z</dcterms:modified>
</cp:coreProperties>
</file>