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9DD50A5" w:rsidR="00F74C41" w:rsidRDefault="00021025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珊瑚服务记录优化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B91B04C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021025">
        <w:rPr>
          <w:lang w:eastAsia="zh-CN"/>
        </w:rPr>
        <w:t>0513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434D1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434D1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434D1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434D1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434D1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01A0D53" w:rsidR="00F74C41" w:rsidRDefault="005427B5" w:rsidP="005427B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对于在珊瑚健康管家医疗助手内的服务，应实现记录每个用户的服务使用情况</w:t>
      </w:r>
      <w:r w:rsidR="001E6708">
        <w:rPr>
          <w:rFonts w:hint="eastAsia"/>
          <w:lang w:eastAsia="zh-CN"/>
        </w:rPr>
        <w:t>或页面访问记录</w:t>
      </w:r>
      <w:r>
        <w:rPr>
          <w:rFonts w:hint="eastAsia"/>
          <w:lang w:eastAsia="zh-CN"/>
        </w:rPr>
        <w:t>，将数据留存到数据库用于给相关销售提取</w:t>
      </w:r>
      <w:r w:rsidR="001E6708">
        <w:rPr>
          <w:rFonts w:hint="eastAsia"/>
          <w:lang w:eastAsia="zh-CN"/>
        </w:rPr>
        <w:t>记录报表</w:t>
      </w:r>
      <w:r>
        <w:rPr>
          <w:rFonts w:hint="eastAsia"/>
          <w:lang w:eastAsia="zh-CN"/>
        </w:rPr>
        <w:t>或对接到</w:t>
      </w:r>
      <w:proofErr w:type="gramStart"/>
      <w:r>
        <w:rPr>
          <w:rFonts w:hint="eastAsia"/>
          <w:lang w:eastAsia="zh-CN"/>
        </w:rPr>
        <w:t>远盟数据</w:t>
      </w:r>
      <w:proofErr w:type="gramEnd"/>
      <w:r>
        <w:rPr>
          <w:rFonts w:hint="eastAsia"/>
          <w:lang w:eastAsia="zh-CN"/>
        </w:rPr>
        <w:t>平台上做展示。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37FE19AF" w:rsidR="004554D6" w:rsidRDefault="005427B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服务记录</w:t>
      </w:r>
      <w:r w:rsidR="00AD37A5">
        <w:rPr>
          <w:rFonts w:hint="eastAsia"/>
          <w:lang w:eastAsia="zh-CN"/>
        </w:rPr>
        <w:t>功能</w:t>
      </w:r>
      <w:bookmarkEnd w:id="15"/>
    </w:p>
    <w:p w14:paraId="0F5E8962" w14:textId="5188A908" w:rsidR="0028335E" w:rsidRDefault="00753A96" w:rsidP="00C2731C">
      <w:pPr>
        <w:pStyle w:val="2"/>
      </w:pPr>
      <w:r w:rsidRPr="00037D96">
        <w:rPr>
          <w:rFonts w:hint="eastAsia"/>
        </w:rPr>
        <w:t xml:space="preserve"> </w:t>
      </w:r>
      <w:bookmarkEnd w:id="16"/>
      <w:r w:rsidR="001A0098">
        <w:rPr>
          <w:rFonts w:hint="eastAsia"/>
        </w:rPr>
        <w:t>服务记录关联</w:t>
      </w:r>
    </w:p>
    <w:p w14:paraId="02C9793E" w14:textId="60FF44EF" w:rsidR="001A0098" w:rsidRDefault="001E6708" w:rsidP="001E6708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在珊瑚产生的每条页面访问记录或者服务使用记录，直接与用户的注册手机号关联。</w:t>
      </w:r>
    </w:p>
    <w:p w14:paraId="33A23EAA" w14:textId="13CF3676" w:rsidR="001E6708" w:rsidRDefault="001E6708" w:rsidP="001E6708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服务记录不直接与产品信息关联，需要通过单独的一张表来做用户信息与珊瑚激活产品的对应关系。</w:t>
      </w:r>
    </w:p>
    <w:p w14:paraId="0A552BB8" w14:textId="63CD2033" w:rsidR="001E6708" w:rsidRDefault="001E6708" w:rsidP="001E6708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当需要提取珊瑚某个产品的服务记录时，先通过用户</w:t>
      </w:r>
      <w:r>
        <w:rPr>
          <w:lang w:eastAsia="zh-CN"/>
        </w:rPr>
        <w:t>—</w:t>
      </w:r>
      <w:r>
        <w:rPr>
          <w:rFonts w:hint="eastAsia"/>
          <w:lang w:eastAsia="zh-CN"/>
        </w:rPr>
        <w:t>产品对应关系来</w:t>
      </w:r>
      <w:proofErr w:type="gramStart"/>
      <w:r>
        <w:rPr>
          <w:rFonts w:hint="eastAsia"/>
          <w:lang w:eastAsia="zh-CN"/>
        </w:rPr>
        <w:t>筛选此</w:t>
      </w:r>
      <w:proofErr w:type="gramEnd"/>
      <w:r>
        <w:rPr>
          <w:rFonts w:hint="eastAsia"/>
          <w:lang w:eastAsia="zh-CN"/>
        </w:rPr>
        <w:t>产品下的激活用户信息，再通过用户信息查找相关服务的记录。</w:t>
      </w:r>
    </w:p>
    <w:p w14:paraId="7EC89491" w14:textId="77777777" w:rsidR="009F7BE3" w:rsidRPr="001A0098" w:rsidRDefault="009F7BE3" w:rsidP="009F7BE3">
      <w:pPr>
        <w:pStyle w:val="2"/>
        <w:rPr>
          <w:rFonts w:hint="eastAsia"/>
        </w:rPr>
      </w:pPr>
      <w:bookmarkStart w:id="17" w:name="_GoBack"/>
      <w:bookmarkEnd w:id="17"/>
    </w:p>
    <w:sectPr w:rsidR="009F7BE3" w:rsidRPr="001A0098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34FC3" w14:textId="77777777" w:rsidR="00434D10" w:rsidRDefault="00434D10">
      <w:pPr>
        <w:spacing w:line="240" w:lineRule="auto"/>
      </w:pPr>
      <w:r>
        <w:separator/>
      </w:r>
    </w:p>
  </w:endnote>
  <w:endnote w:type="continuationSeparator" w:id="0">
    <w:p w14:paraId="67D79B3D" w14:textId="77777777" w:rsidR="00434D10" w:rsidRDefault="00434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B4C91" w14:textId="77777777" w:rsidR="00434D10" w:rsidRDefault="00434D10">
      <w:pPr>
        <w:spacing w:line="240" w:lineRule="auto"/>
      </w:pPr>
      <w:r>
        <w:separator/>
      </w:r>
    </w:p>
  </w:footnote>
  <w:footnote w:type="continuationSeparator" w:id="0">
    <w:p w14:paraId="10B3DD07" w14:textId="77777777" w:rsidR="00434D10" w:rsidRDefault="00434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9F7BE3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01D7C"/>
    <w:multiLevelType w:val="hybridMultilevel"/>
    <w:tmpl w:val="3DA4248E"/>
    <w:lvl w:ilvl="0" w:tplc="5F56F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025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098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708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4D10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B5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9F7BE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E01AE-2E22-4781-BC1C-BD5DA115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2670</cp:revision>
  <cp:lastPrinted>1900-12-31T16:00:00Z</cp:lastPrinted>
  <dcterms:created xsi:type="dcterms:W3CDTF">2019-03-26T06:34:00Z</dcterms:created>
  <dcterms:modified xsi:type="dcterms:W3CDTF">2021-05-13T03:17:00Z</dcterms:modified>
</cp:coreProperties>
</file>