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数据备案接口（利保MDT）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 xml:space="preserve">拟制 </w:t>
      </w:r>
    </w:p>
    <w:p>
      <w:pPr>
        <w:pStyle w:val="20"/>
        <w:spacing w:after="100" w:afterAutospacing="1"/>
        <w:rPr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作者：&lt;朱伟&gt;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&lt;IT管理中心&gt;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0210819</w:t>
      </w:r>
      <w:r>
        <w:rPr>
          <w:rFonts w:hint="eastAsia"/>
          <w:lang w:eastAsia="zh-CN"/>
        </w:rPr>
        <w:t>&gt;</w:t>
      </w:r>
    </w:p>
    <w:p>
      <w:pPr>
        <w:pStyle w:val="21"/>
        <w:jc w:val="left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4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spacing w:before="156" w:beforeLines="50" w:after="156" w:afterLines="50"/>
        <w:jc w:val="center"/>
        <w:outlineLvl w:val="0"/>
        <w:rPr>
          <w:rFonts w:ascii="宋体" w:hAnsi="宋体" w:eastAsia="宋体" w:cs="宋体"/>
          <w:b/>
          <w:bCs/>
          <w:sz w:val="44"/>
          <w:szCs w:val="44"/>
        </w:rPr>
      </w:pPr>
      <w:bookmarkStart w:id="1" w:name="_Toc8313090"/>
      <w:r>
        <w:rPr>
          <w:rFonts w:hint="eastAsia" w:ascii="宋体" w:hAnsi="宋体" w:eastAsia="宋体" w:cs="宋体"/>
          <w:b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2" w:name="_Toc8313091"/>
      <w:r>
        <w:rPr>
          <w:rFonts w:hint="eastAsia" w:ascii="宋体" w:hAnsi="宋体" w:eastAsia="宋体" w:cs="宋体"/>
          <w:b/>
          <w:bCs/>
          <w:sz w:val="36"/>
          <w:szCs w:val="36"/>
        </w:rPr>
        <w:t>一、</w:t>
      </w:r>
      <w:r>
        <w:rPr>
          <w:rStyle w:val="16"/>
          <w:rFonts w:hint="eastAsia" w:ascii="宋体" w:hAnsi="宋体" w:eastAsia="宋体" w:cs="宋体"/>
        </w:rPr>
        <w:t>备案接口</w:t>
      </w:r>
      <w:bookmarkEnd w:id="2"/>
    </w:p>
    <w:p>
      <w:pPr>
        <w:pStyle w:val="3"/>
        <w:ind w:left="420"/>
      </w:pPr>
      <w:bookmarkStart w:id="3" w:name="_Toc8313092"/>
      <w:r>
        <w:rPr>
          <w:rFonts w:hint="eastAsia"/>
        </w:rPr>
        <w:t>1、功能描述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接收客户备案信息进行后续服务鉴权</w:t>
      </w:r>
    </w:p>
    <w:p>
      <w:pPr>
        <w:pStyle w:val="3"/>
        <w:ind w:left="420"/>
      </w:pPr>
      <w:bookmarkStart w:id="4" w:name="_Toc8313093"/>
      <w:r>
        <w:rPr>
          <w:rFonts w:hint="eastAsia"/>
        </w:rPr>
        <w:t>2、请求方式</w:t>
      </w:r>
      <w:bookmarkEnd w:id="4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POST方式请求，Content-Type为application/json；charset为UTF-8；请求中的数据统一使用JSON格式。</w:t>
      </w:r>
    </w:p>
    <w:p>
      <w:pPr>
        <w:pStyle w:val="3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>
      <w:pPr>
        <w:ind w:firstLine="420"/>
        <w:rPr>
          <w:rStyle w:val="27"/>
        </w:rPr>
      </w:pPr>
      <w:r>
        <w:rPr>
          <w:rStyle w:val="27"/>
        </w:rPr>
        <w:t>测试地址</w:t>
      </w:r>
      <w:r>
        <w:fldChar w:fldCharType="begin"/>
      </w:r>
      <w:r>
        <w:instrText xml:space="preserve"> HYPERLINK "http://wpttest.healthlink.cn/wpt-api-data/api/v1/libao/record/save%20" </w:instrText>
      </w:r>
      <w:r>
        <w:fldChar w:fldCharType="separate"/>
      </w:r>
      <w:r>
        <w:rPr>
          <w:rStyle w:val="15"/>
        </w:rPr>
        <w:t>http://wpttest</w:t>
      </w:r>
      <w:r>
        <w:rPr>
          <w:rStyle w:val="15"/>
          <w:rFonts w:hint="eastAsia"/>
        </w:rPr>
        <w:t>.</w:t>
      </w:r>
      <w:r>
        <w:rPr>
          <w:rStyle w:val="15"/>
        </w:rPr>
        <w:t>healthlink.cn/wpt-api-data/</w:t>
      </w:r>
      <w:r>
        <w:rPr>
          <w:rStyle w:val="15"/>
          <w:rFonts w:ascii="宋体" w:hAnsi="宋体" w:eastAsia="宋体" w:cs="宋体"/>
        </w:rPr>
        <w:t>api/v1/libao/record/save</w:t>
      </w:r>
      <w:r>
        <w:rPr>
          <w:rStyle w:val="15"/>
        </w:rPr>
        <w:t xml:space="preserve"> </w:t>
      </w:r>
      <w:r>
        <w:rPr>
          <w:rStyle w:val="15"/>
        </w:rPr>
        <w:fldChar w:fldCharType="end"/>
      </w:r>
    </w:p>
    <w:p>
      <w:pPr>
        <w:widowControl/>
        <w:ind w:firstLine="420"/>
        <w:jc w:val="left"/>
        <w:rPr>
          <w:rFonts w:ascii="宋体" w:hAnsi="宋体" w:eastAsia="宋体" w:cs="宋体"/>
        </w:rPr>
      </w:pPr>
      <w:r>
        <w:rPr>
          <w:rStyle w:val="27"/>
        </w:rPr>
        <w:t xml:space="preserve">生成地址: </w:t>
      </w:r>
      <w:r>
        <w:fldChar w:fldCharType="begin"/>
      </w:r>
      <w:r>
        <w:instrText xml:space="preserve"> HYPERLINK "http://wptapiint.healthlink.cn/wpt-api-data/api/v1/libao/record/save%20" </w:instrText>
      </w:r>
      <w:r>
        <w:fldChar w:fldCharType="separate"/>
      </w:r>
      <w:r>
        <w:rPr>
          <w:rStyle w:val="15"/>
        </w:rPr>
        <w:t>http://wptapiint.healthlink.cn/wpt-api-data/</w:t>
      </w:r>
      <w:r>
        <w:rPr>
          <w:rStyle w:val="15"/>
          <w:rFonts w:ascii="宋体" w:hAnsi="宋体" w:eastAsia="宋体" w:cs="宋体"/>
        </w:rPr>
        <w:t>api/v1/libao/record/save</w:t>
      </w:r>
      <w:r>
        <w:rPr>
          <w:rStyle w:val="15"/>
        </w:rPr>
        <w:t xml:space="preserve"> </w:t>
      </w:r>
      <w:r>
        <w:rPr>
          <w:rStyle w:val="15"/>
        </w:rPr>
        <w:fldChar w:fldCharType="end"/>
      </w:r>
    </w:p>
    <w:p>
      <w:pPr>
        <w:pStyle w:val="3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"age": 18,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"endDate": "2022-08-19 00:00:00",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"identifyNumber": "513022198812247258",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"identifyType": "身份证",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"insuredName": "张三",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"othflag": 1,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"phoneNumber": "15208306311",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"planCode": "方案码",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"planName": "方案名",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"policyNo": "保单号",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"riskCode": "险种",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"servicePlan": "服务方案",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"sex": "男",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"specialUnderwritingConditions": "特殊核保条件",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"startDate": "2022-08-19 00:00:00",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"waitingPeriod": "等待期"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3"/>
        <w:numPr>
          <w:ilvl w:val="0"/>
          <w:numId w:val="2"/>
        </w:numPr>
        <w:ind w:left="420" w:leftChars="0"/>
      </w:pPr>
      <w:bookmarkStart w:id="7" w:name="_Toc8313096"/>
      <w:r>
        <w:rPr>
          <w:rFonts w:hint="eastAsia"/>
        </w:rPr>
        <w:t>参数说明</w:t>
      </w:r>
      <w:bookmarkEnd w:id="7"/>
    </w:p>
    <w:tbl>
      <w:tblPr>
        <w:tblStyle w:val="13"/>
        <w:tblW w:w="9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850"/>
        <w:gridCol w:w="709"/>
        <w:gridCol w:w="1559"/>
        <w:gridCol w:w="1016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类型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长度限制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insuredName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被保险人名称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identifyType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被保险人证件类型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cs" w:ascii="Courier New" w:cs="Courier New"/>
                <w:b/>
                <w:bCs/>
                <w:color w:val="3B4151"/>
                <w:sz w:val="18"/>
                <w:szCs w:val="18"/>
              </w:rPr>
              <w:t>身份证|外国人永久居留身份证|护照|军官证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identifyNumber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被保险人证件号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i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nt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被保险人年龄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被保险人性别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男|女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policyNo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保单号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保单号唯一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riskCode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险种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planCode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方案编码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planName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方案名称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保单起保日期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保单终保日期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phoneNumber</w:t>
            </w:r>
            <w:r>
              <w:rPr>
                <w:rFonts w:ascii="宋体" w:hAnsi="宋体" w:eastAsia="宋体" w:cs="宋体"/>
              </w:rPr>
              <w:t xml:space="preserve"> 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被保险人联系电话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waitingPeriod</w:t>
            </w:r>
            <w:r>
              <w:rPr>
                <w:rFonts w:ascii="宋体" w:hAnsi="宋体" w:eastAsia="宋体" w:cs="宋体"/>
              </w:rPr>
              <w:t xml:space="preserve"> 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等待期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specialUnderwritingConditions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特殊核保条件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servicePlan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s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300</w:t>
            </w: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服务方案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othflag</w:t>
            </w:r>
          </w:p>
        </w:tc>
        <w:tc>
          <w:tcPr>
            <w:tcW w:w="1276" w:type="dxa"/>
          </w:tcPr>
          <w:p>
            <w:pPr>
              <w:spacing w:before="156" w:beforeLines="50" w:after="156" w:afterLines="50"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i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nt</w:t>
            </w:r>
          </w:p>
        </w:tc>
        <w:tc>
          <w:tcPr>
            <w:tcW w:w="85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559" w:type="dxa"/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保单生效标记</w:t>
            </w:r>
          </w:p>
        </w:tc>
        <w:tc>
          <w:tcPr>
            <w:tcW w:w="101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1（正常）|2（退保）|3（批改）</w:t>
            </w:r>
          </w:p>
        </w:tc>
      </w:tr>
    </w:tbl>
    <w:p>
      <w:pPr>
        <w:pStyle w:val="3"/>
        <w:ind w:left="420"/>
      </w:pPr>
      <w:bookmarkStart w:id="8" w:name="_Toc8313097"/>
      <w:r>
        <w:t>7</w:t>
      </w:r>
      <w:r>
        <w:rPr>
          <w:rFonts w:hint="eastAsia"/>
        </w:rPr>
        <w:t>、返回参数</w:t>
      </w:r>
      <w:bookmarkEnd w:id="8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"code": "0",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"message": "成功",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"data": </w:t>
      </w:r>
      <w:r>
        <w:rPr>
          <w:rFonts w:ascii="宋体" w:hAnsi="宋体" w:eastAsia="宋体" w:cs="宋体"/>
        </w:rPr>
        <w:t>null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pStyle w:val="3"/>
        <w:ind w:left="420"/>
      </w:pPr>
      <w:bookmarkStart w:id="9" w:name="_Toc8313098"/>
      <w:bookmarkStart w:id="10" w:name="_GoBack"/>
      <w:bookmarkEnd w:id="10"/>
      <w:r>
        <w:t>8</w:t>
      </w:r>
      <w:r>
        <w:rPr>
          <w:rFonts w:hint="eastAsia"/>
        </w:rPr>
        <w:t>、返回参数说明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7"/>
        <w:gridCol w:w="1884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返回消息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97D3"/>
    <w:multiLevelType w:val="singleLevel"/>
    <w:tmpl w:val="3A4697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4C1"/>
    <w:rsid w:val="000B40A2"/>
    <w:rsid w:val="00124D2F"/>
    <w:rsid w:val="00125447"/>
    <w:rsid w:val="00132BE6"/>
    <w:rsid w:val="00142D38"/>
    <w:rsid w:val="00172A27"/>
    <w:rsid w:val="002D4C94"/>
    <w:rsid w:val="0030556A"/>
    <w:rsid w:val="003776D7"/>
    <w:rsid w:val="003B6B5B"/>
    <w:rsid w:val="003F1178"/>
    <w:rsid w:val="0046773E"/>
    <w:rsid w:val="004B1376"/>
    <w:rsid w:val="00506E30"/>
    <w:rsid w:val="005153AE"/>
    <w:rsid w:val="00536809"/>
    <w:rsid w:val="00577856"/>
    <w:rsid w:val="005A34B9"/>
    <w:rsid w:val="006112E4"/>
    <w:rsid w:val="006B095B"/>
    <w:rsid w:val="00702DBD"/>
    <w:rsid w:val="00711FC6"/>
    <w:rsid w:val="00737C26"/>
    <w:rsid w:val="007624EC"/>
    <w:rsid w:val="00803A8F"/>
    <w:rsid w:val="0086396D"/>
    <w:rsid w:val="008842F6"/>
    <w:rsid w:val="008C0D9B"/>
    <w:rsid w:val="00A40CC8"/>
    <w:rsid w:val="00A451B0"/>
    <w:rsid w:val="00AD43FD"/>
    <w:rsid w:val="00C175E3"/>
    <w:rsid w:val="00C61126"/>
    <w:rsid w:val="00CE3A59"/>
    <w:rsid w:val="00D0154F"/>
    <w:rsid w:val="00EB14EA"/>
    <w:rsid w:val="00EC50BF"/>
    <w:rsid w:val="00F05E47"/>
    <w:rsid w:val="00F12882"/>
    <w:rsid w:val="00F641EC"/>
    <w:rsid w:val="00F83476"/>
    <w:rsid w:val="01225211"/>
    <w:rsid w:val="03AB028A"/>
    <w:rsid w:val="03D80C26"/>
    <w:rsid w:val="04E8571C"/>
    <w:rsid w:val="050E26C9"/>
    <w:rsid w:val="059D079E"/>
    <w:rsid w:val="05C002F5"/>
    <w:rsid w:val="060529DD"/>
    <w:rsid w:val="060718A3"/>
    <w:rsid w:val="08A96823"/>
    <w:rsid w:val="09205FFA"/>
    <w:rsid w:val="0AE74A2D"/>
    <w:rsid w:val="0B387F50"/>
    <w:rsid w:val="0BFA1568"/>
    <w:rsid w:val="0D005157"/>
    <w:rsid w:val="0D07041E"/>
    <w:rsid w:val="0D0E10F7"/>
    <w:rsid w:val="0DAC7D61"/>
    <w:rsid w:val="0EF402B8"/>
    <w:rsid w:val="0F611268"/>
    <w:rsid w:val="0F726E38"/>
    <w:rsid w:val="0F833FCE"/>
    <w:rsid w:val="0FA422FA"/>
    <w:rsid w:val="103505C9"/>
    <w:rsid w:val="10596E6C"/>
    <w:rsid w:val="10A06821"/>
    <w:rsid w:val="112463BD"/>
    <w:rsid w:val="11D57918"/>
    <w:rsid w:val="12740DA0"/>
    <w:rsid w:val="142715A7"/>
    <w:rsid w:val="14B62E40"/>
    <w:rsid w:val="1548159B"/>
    <w:rsid w:val="15636E19"/>
    <w:rsid w:val="156740D2"/>
    <w:rsid w:val="1580115B"/>
    <w:rsid w:val="1752651C"/>
    <w:rsid w:val="17835A9D"/>
    <w:rsid w:val="17C51FB4"/>
    <w:rsid w:val="17DD5978"/>
    <w:rsid w:val="180205DA"/>
    <w:rsid w:val="1876344B"/>
    <w:rsid w:val="18B96C89"/>
    <w:rsid w:val="190C1F4A"/>
    <w:rsid w:val="193C5D4E"/>
    <w:rsid w:val="1953057A"/>
    <w:rsid w:val="19DE32B4"/>
    <w:rsid w:val="1B061F03"/>
    <w:rsid w:val="1B3014F3"/>
    <w:rsid w:val="1B346B84"/>
    <w:rsid w:val="1BA429FB"/>
    <w:rsid w:val="1D0063A6"/>
    <w:rsid w:val="1D010C63"/>
    <w:rsid w:val="1D2559F7"/>
    <w:rsid w:val="1D2E67B7"/>
    <w:rsid w:val="1E54565D"/>
    <w:rsid w:val="1E6C1502"/>
    <w:rsid w:val="1F6B2072"/>
    <w:rsid w:val="20D71DBE"/>
    <w:rsid w:val="22360900"/>
    <w:rsid w:val="22436BFD"/>
    <w:rsid w:val="23670F3A"/>
    <w:rsid w:val="255117DB"/>
    <w:rsid w:val="26120F13"/>
    <w:rsid w:val="265C22EF"/>
    <w:rsid w:val="272B6EA8"/>
    <w:rsid w:val="27532E6E"/>
    <w:rsid w:val="278F5987"/>
    <w:rsid w:val="27C0567B"/>
    <w:rsid w:val="2824027C"/>
    <w:rsid w:val="286D2246"/>
    <w:rsid w:val="28C32521"/>
    <w:rsid w:val="28CB1B1A"/>
    <w:rsid w:val="29411A60"/>
    <w:rsid w:val="29E65C19"/>
    <w:rsid w:val="2B1C38B8"/>
    <w:rsid w:val="2BE07B8A"/>
    <w:rsid w:val="2C4D5499"/>
    <w:rsid w:val="2E9F6617"/>
    <w:rsid w:val="2F4A356E"/>
    <w:rsid w:val="2FE24F08"/>
    <w:rsid w:val="307659F7"/>
    <w:rsid w:val="30887CE2"/>
    <w:rsid w:val="30AA2931"/>
    <w:rsid w:val="30F9120D"/>
    <w:rsid w:val="3125515C"/>
    <w:rsid w:val="319D443C"/>
    <w:rsid w:val="319D4600"/>
    <w:rsid w:val="31C518EF"/>
    <w:rsid w:val="31E62A9E"/>
    <w:rsid w:val="31FE248D"/>
    <w:rsid w:val="321A3010"/>
    <w:rsid w:val="33187A59"/>
    <w:rsid w:val="34BB2D51"/>
    <w:rsid w:val="35275E44"/>
    <w:rsid w:val="356C023F"/>
    <w:rsid w:val="367734CD"/>
    <w:rsid w:val="36DA0971"/>
    <w:rsid w:val="371E4953"/>
    <w:rsid w:val="39557720"/>
    <w:rsid w:val="3A2723A1"/>
    <w:rsid w:val="3AA62753"/>
    <w:rsid w:val="3B4D3521"/>
    <w:rsid w:val="3B4E0C7E"/>
    <w:rsid w:val="3B7F1355"/>
    <w:rsid w:val="3BA010E5"/>
    <w:rsid w:val="3BD66CD5"/>
    <w:rsid w:val="3C625042"/>
    <w:rsid w:val="3C68572A"/>
    <w:rsid w:val="3C9E4660"/>
    <w:rsid w:val="3E236D0F"/>
    <w:rsid w:val="3EB450A9"/>
    <w:rsid w:val="3ED10929"/>
    <w:rsid w:val="40081F24"/>
    <w:rsid w:val="40FD327C"/>
    <w:rsid w:val="40FF394E"/>
    <w:rsid w:val="412944EF"/>
    <w:rsid w:val="432B6AA3"/>
    <w:rsid w:val="43320134"/>
    <w:rsid w:val="435516D9"/>
    <w:rsid w:val="43906D1A"/>
    <w:rsid w:val="44127BBE"/>
    <w:rsid w:val="44723CC1"/>
    <w:rsid w:val="452F6A40"/>
    <w:rsid w:val="454D3AAC"/>
    <w:rsid w:val="45C75E7F"/>
    <w:rsid w:val="45FC1F1F"/>
    <w:rsid w:val="466665C6"/>
    <w:rsid w:val="46E615EF"/>
    <w:rsid w:val="47A30E4E"/>
    <w:rsid w:val="488014A2"/>
    <w:rsid w:val="48BC3B12"/>
    <w:rsid w:val="4933288F"/>
    <w:rsid w:val="49AD6FAF"/>
    <w:rsid w:val="4A1704A5"/>
    <w:rsid w:val="4AC174CF"/>
    <w:rsid w:val="4B240EF9"/>
    <w:rsid w:val="4C731639"/>
    <w:rsid w:val="4D4D3755"/>
    <w:rsid w:val="4D7F21E4"/>
    <w:rsid w:val="4F450B33"/>
    <w:rsid w:val="4FE4356D"/>
    <w:rsid w:val="51444755"/>
    <w:rsid w:val="534D06C0"/>
    <w:rsid w:val="53C7256A"/>
    <w:rsid w:val="56964BE4"/>
    <w:rsid w:val="57794A71"/>
    <w:rsid w:val="58B56A7B"/>
    <w:rsid w:val="595315CB"/>
    <w:rsid w:val="5A4A3B10"/>
    <w:rsid w:val="5A8B0226"/>
    <w:rsid w:val="5B2801EA"/>
    <w:rsid w:val="5BE122AE"/>
    <w:rsid w:val="5BED0FB3"/>
    <w:rsid w:val="5C176FAD"/>
    <w:rsid w:val="5D0108BC"/>
    <w:rsid w:val="5D0718C8"/>
    <w:rsid w:val="5D5E0830"/>
    <w:rsid w:val="5DC23FD9"/>
    <w:rsid w:val="5DE83D6A"/>
    <w:rsid w:val="5F105478"/>
    <w:rsid w:val="5F645FE0"/>
    <w:rsid w:val="5FD93ADF"/>
    <w:rsid w:val="60545B3B"/>
    <w:rsid w:val="61587CF1"/>
    <w:rsid w:val="6287716E"/>
    <w:rsid w:val="62CD4A9D"/>
    <w:rsid w:val="62EA6FC0"/>
    <w:rsid w:val="635D5D11"/>
    <w:rsid w:val="643F1042"/>
    <w:rsid w:val="64822BA9"/>
    <w:rsid w:val="64EB4219"/>
    <w:rsid w:val="66D42EC7"/>
    <w:rsid w:val="677870DF"/>
    <w:rsid w:val="679727E6"/>
    <w:rsid w:val="67BC65B0"/>
    <w:rsid w:val="684A6848"/>
    <w:rsid w:val="68E4238C"/>
    <w:rsid w:val="69566118"/>
    <w:rsid w:val="69E6699D"/>
    <w:rsid w:val="69F439D5"/>
    <w:rsid w:val="6AB11874"/>
    <w:rsid w:val="6B3B64B7"/>
    <w:rsid w:val="6B7422D6"/>
    <w:rsid w:val="6BF36BE2"/>
    <w:rsid w:val="6CE17834"/>
    <w:rsid w:val="6DB45899"/>
    <w:rsid w:val="6E11027D"/>
    <w:rsid w:val="6E231DFD"/>
    <w:rsid w:val="6F045CE7"/>
    <w:rsid w:val="6F7C04AF"/>
    <w:rsid w:val="6FE3656A"/>
    <w:rsid w:val="71873DF8"/>
    <w:rsid w:val="728B57C0"/>
    <w:rsid w:val="72C34465"/>
    <w:rsid w:val="72DC044A"/>
    <w:rsid w:val="731E0C94"/>
    <w:rsid w:val="74996B73"/>
    <w:rsid w:val="74CA247F"/>
    <w:rsid w:val="762C0AA1"/>
    <w:rsid w:val="764D21C5"/>
    <w:rsid w:val="769212F2"/>
    <w:rsid w:val="76BA5726"/>
    <w:rsid w:val="77297595"/>
    <w:rsid w:val="775E5E1D"/>
    <w:rsid w:val="776E0639"/>
    <w:rsid w:val="77B01EF7"/>
    <w:rsid w:val="78EC0A44"/>
    <w:rsid w:val="79FB16A8"/>
    <w:rsid w:val="7BDA3105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0"/>
    <w:pPr>
      <w:jc w:val="left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页眉 字符"/>
    <w:basedOn w:val="14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字符"/>
    <w:basedOn w:val="14"/>
    <w:link w:val="6"/>
    <w:qFormat/>
    <w:uiPriority w:val="0"/>
    <w:rPr>
      <w:kern w:val="2"/>
      <w:sz w:val="18"/>
      <w:szCs w:val="18"/>
    </w:rPr>
  </w:style>
  <w:style w:type="character" w:customStyle="1" w:styleId="19">
    <w:name w:val="标题 字符"/>
    <w:basedOn w:val="14"/>
    <w:link w:val="11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2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25">
    <w:name w:val="text"/>
    <w:basedOn w:val="14"/>
    <w:qFormat/>
    <w:uiPriority w:val="0"/>
  </w:style>
  <w:style w:type="paragraph" w:styleId="26">
    <w:name w:val="List Paragraph"/>
    <w:basedOn w:val="1"/>
    <w:uiPriority w:val="99"/>
    <w:pPr>
      <w:ind w:firstLine="420" w:firstLineChars="200"/>
    </w:pPr>
  </w:style>
  <w:style w:type="character" w:customStyle="1" w:styleId="27">
    <w:name w:val="text-only1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A4570-2C8C-47E6-9803-F3D2B39C0A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1487</Characters>
  <Lines>12</Lines>
  <Paragraphs>3</Paragraphs>
  <TotalTime>91</TotalTime>
  <ScaleCrop>false</ScaleCrop>
  <LinksUpToDate>false</LinksUpToDate>
  <CharactersWithSpaces>1744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2021-08-20T03:56:20Z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