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  <w:jc w:val="center"/>
      </w:pPr>
      <w:r>
        <w:rPr>
          <w:rFonts w:ascii="Times New Roman" w:eastAsia="黑体" w:hAnsi="Times New Roman"/>
          <w:b/>
          <w:bCs/>
          <w:color w:val="000000"/>
          <w:sz w:val="36"/>
          <w:szCs w:val="36"/>
        </w:rPr>
        <w:t xml:space="preserve">机器学习公式详解与应用</w:t>
      </w:r>
    </w:p>
    <w:p>
      <w:pPr>
        <w:pStyle w:val="Heading2"/>
        <w:spacing w:after="0" w:before="0" w:line="360" w:lineRule="auto"/>
        <w:ind w:firstLineChars="200"/>
        <w:jc w:val="left"/>
      </w:pPr>
      <w:r>
        <w:rPr>
          <w:rFonts w:ascii="Times New Roman" w:eastAsia="黑体" w:hAnsi="Times New Roman"/>
          <w:b w:val="false"/>
          <w:color w:val="000000"/>
          <w:sz w:val="24"/>
          <w:szCs w:val="24"/>
        </w:rPr>
        <w:t xml:space="preserve">你说</w:t>
      </w:r>
    </w:p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详细介绍一下机器学习中的各种公式</w:t>
      </w:r>
    </w:p>
    <w:p>
      <w:pPr>
        <w:pStyle w:val="Heading2"/>
        <w:spacing w:after="0" w:before="0" w:line="360" w:lineRule="auto"/>
        <w:ind w:firstLineChars="200"/>
        <w:jc w:val="left"/>
      </w:pPr>
      <w:r>
        <w:rPr>
          <w:rFonts w:ascii="Times New Roman" w:eastAsia="黑体" w:hAnsi="Times New Roman"/>
          <w:b w:val="false"/>
          <w:color w:val="000000"/>
          <w:sz w:val="24"/>
          <w:szCs w:val="24"/>
        </w:rPr>
        <w:t xml:space="preserve">Gemini</w:t>
      </w:r>
    </w:p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机器学习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(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Machine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Learning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)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本质上是一场关于“寻找最优函数”的数学游戏。如果我们把模型比作一辆车,那么损失函数就是油表,优化算法就是方向盘,而评价指标则是仪表盘。</w:t>
      </w:r>
    </w:p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为了让你更直观地理解,我将这些公式分为四个核心模块进行拆解。</w:t>
      </w:r>
    </w:p>
    <w:p>
      <w:pPr>
        <w:pStyle w:val="Heading2"/>
        <w:spacing w:after="0" w:before="0" w:line="360" w:lineRule="auto"/>
        <w:ind w:firstLineChars="200"/>
        <w:jc w:val="left"/>
      </w:pPr>
      <w:r>
        <w:rPr>
          <w:rFonts w:ascii="Times New Roman" w:eastAsia="黑体" w:hAnsi="Times New Roman"/>
          <w:b w:val="false"/>
          <w:color w:val="000000"/>
          <w:sz w:val="24"/>
          <w:szCs w:val="24"/>
        </w:rPr>
        <w:t xml:space="preserve">1. 基础回归与分类：一切的起点</w:t>
      </w:r>
    </w:p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在监督学习中,我们通过已知数据来预测未知。</w:t>
      </w:r>
    </w:p>
    <w:p>
      <w:pPr>
        <w:pStyle w:val="Heading3"/>
        <w:spacing w:after="0" w:before="0" w:line="360" w:lineRule="auto"/>
        <w:ind w:firstLineChars="200"/>
        <w:jc w:val="left"/>
      </w:pPr>
      <w:r>
        <w:rPr>
          <w:rFonts w:ascii="Times New Roman" w:eastAsia="楷体_GB2312" w:hAnsi="Times New Roman"/>
          <w:b w:val="false"/>
          <w:color w:val="000000"/>
          <w:sz w:val="24"/>
          <w:szCs w:val="24"/>
        </w:rPr>
        <w:t xml:space="preserve">线性回归 (Linear Regression)</w:t>
      </w:r>
    </w:p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这是最简单的模型,假设目标 </w:t>
      </w:r>
      <m:oMath>
        <m:r>
          <m:t>y</m:t>
        </m:r>
      </m:oMath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 与特征 </w:t>
      </w:r>
      <m:oMath>
        <m:r>
          <m:t>x</m:t>
        </m:r>
      </m:oMath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 之间是线性关系。</w:t>
      </w:r>
    </w:p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假设函数 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(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Hypothesis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)</w:t>
      </w:r>
    </w:p>
    <w:tbl>
      <w:tblPr>
        <w:tblW w:type="pct" w:w="100%"/>
        <w:tblBorders>
          <w:top w:val="none" w:color="000000" w:sz="0"/>
          <w:left w:val="none" w:color="000000" w:sz="0"/>
          <w:bottom w:val="none" w:color="000000" w:sz="0"/>
          <w:right w:val="none" w:color="000000" w:sz="0"/>
          <w:insideH w:val="none" w:color="000000" w:sz="0"/>
          <w:insideV w:val="none" w:color="000000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850"/>
        <w:gridCol w:w="6803"/>
        <w:gridCol w:w="850"/>
      </w:tblGrid>
      <w:tr>
        <w:tc>
          <w:tcPr>
            <w:tcW w:type="dxa" w:w="850"/>
            <w:vAlign w:val="center"/>
          </w:tcPr>
          <w:p>
            <w:pPr>
              <w:spacing w:after="120" w:before="1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6803"/>
            <w:vAlign w:val="center"/>
          </w:tcPr>
          <w:p>
            <w:pPr>
              <w:spacing w:after="120" w:before="120" w:line="360" w:lineRule="auto"/>
              <w:ind w:firstLine="0"/>
              <w:jc w:val="center"/>
            </w:pPr>
            <m:oMath>
              <m:r>
                <m:t>y</m:t>
              </m:r>
              <m:r>
                <m:t> </m:t>
              </m:r>
              <m:r>
                <m:t>=</m:t>
              </m:r>
              <m:r>
                <m:t> </m:t>
              </m:r>
              <m:sSup>
                <m:sSupPr/>
                <m:e>
                  <m:r>
                    <m:t>w</m:t>
                  </m:r>
                </m:e>
                <m:sup>
                  <m:r>
                    <m:t>T</m:t>
                  </m:r>
                </m:sup>
              </m:sSup>
              <m:r>
                <m:t> </m:t>
              </m:r>
              <m:r>
                <m:t>x</m:t>
              </m:r>
              <m:r>
                <m:t> </m:t>
              </m:r>
              <m:r>
                <m:t>+</m:t>
              </m:r>
              <m:r>
                <m:t> </m:t>
              </m:r>
              <m:r>
                <m:t>b</m:t>
              </m:r>
            </m:oMath>
          </w:p>
        </w:tc>
        <w:tc>
          <w:tcPr>
            <w:tcW w:type="dxa" w:w="850"/>
            <w:vAlign w:val="center"/>
          </w:tcPr>
          <w:p>
            <w:pPr>
              <w:spacing w:after="120" w:before="120" w:line="360" w:lineRule="auto"/>
              <w:ind w:firstLine="0"/>
              <w:jc w:val="right"/>
            </w:pPr>
            <w:r>
              <w:rPr>
                <w:rFonts w:ascii="Times New Roman" w:eastAsia="宋体" w:hAnsi="Times New Roman"/>
                <w:b w:val="false"/>
                <w:color w:val="000000"/>
                <w:sz w:val="21"/>
                <w:szCs w:val="21"/>
              </w:rPr>
              <w:t xml:space="preserve">(</w:t>
            </w:r>
            <w:fldSimple w:instr="SEQ Equation \* ARABIC">
              <w:r>
                <w:t xml:space="preserve">1</w:t>
              </w:r>
            </w:fldSimple>
            <w:r>
              <w:rPr>
                <w:rFonts w:ascii="Times New Roman" w:eastAsia="宋体" w:hAnsi="Times New Roman"/>
                <w:b w:val="false"/>
                <w:color w:val="000000"/>
                <w:sz w:val="21"/>
                <w:szCs w:val="21"/>
              </w:rPr>
              <w:t xml:space="preserve">)</w:t>
            </w:r>
          </w:p>
        </w:tc>
      </w:tr>
    </w:tbl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其中 </w:t>
      </w:r>
      <m:oMath>
        <m:r>
          <m:t>w</m:t>
        </m:r>
      </m:oMath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 是权重向量,</w:t>
      </w:r>
      <m:oMath>
        <m:r>
          <m:t>b</m:t>
        </m:r>
      </m:oMath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 是偏置。</w:t>
      </w:r>
    </w:p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损失函数 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(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MSE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 - 均方误差)</w:t>
      </w:r>
    </w:p>
    <w:tbl>
      <w:tblPr>
        <w:tblW w:type="pct" w:w="100%"/>
        <w:tblBorders>
          <w:top w:val="none" w:color="000000" w:sz="0"/>
          <w:left w:val="none" w:color="000000" w:sz="0"/>
          <w:bottom w:val="none" w:color="000000" w:sz="0"/>
          <w:right w:val="none" w:color="000000" w:sz="0"/>
          <w:insideH w:val="none" w:color="000000" w:sz="0"/>
          <w:insideV w:val="none" w:color="000000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850"/>
        <w:gridCol w:w="6803"/>
        <w:gridCol w:w="850"/>
      </w:tblGrid>
      <w:tr>
        <w:tc>
          <w:tcPr>
            <w:tcW w:type="dxa" w:w="850"/>
            <w:vAlign w:val="center"/>
          </w:tcPr>
          <w:p>
            <w:pPr>
              <w:spacing w:after="120" w:before="1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6803"/>
            <w:vAlign w:val="center"/>
          </w:tcPr>
          <w:p>
            <w:pPr>
              <w:spacing w:after="120" w:before="120" w:line="360" w:lineRule="auto"/>
              <w:ind w:firstLine="0"/>
              <w:jc w:val="center"/>
            </w:pPr>
            <m:oMath>
              <m:r>
                <m:t>J</m:t>
              </m:r>
              <m:r>
                <m:t>(</m:t>
              </m:r>
              <m:r>
                <m:t>w</m:t>
              </m:r>
              <m:r>
                <m:t>,</m:t>
              </m:r>
              <m:r>
                <m:t> </m:t>
              </m:r>
              <m:r>
                <m:t>b</m:t>
              </m:r>
              <m:r>
                <m:t>)</m:t>
              </m:r>
              <m:r>
                <m:t> </m:t>
              </m:r>
              <m:r>
                <m:t>=</m:t>
              </m:r>
              <m:r>
                <m:t> </m:t>
              </m:r>
              <m:f>
                <m:num>
                  <m:r>
                    <m:t>1</m:t>
                  </m:r>
                </m:num>
                <m:den>
                  <m:r>
                    <m:t>2m</m:t>
                  </m:r>
                </m:den>
              </m:f>
              <m:r>
                <m:t> </m:t>
              </m:r>
              <m:nary>
                <m:naryPr>
                  <m:chr m:val="∑"/>
                  <m:limLoc m:val="undOvr"/>
                </m:naryPr>
                <m:sub>
                  <m:r>
                    <m:t>i</m:t>
                  </m:r>
                  <m: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(</m:t>
                  </m:r>
                  <m:sSub>
                    <m:sSubPr/>
                    <m:e>
                      <m:r>
                        <m:t>h</m:t>
                      </m:r>
                    </m:e>
                    <m:sub>
                      <m:r>
                        <m:t>w</m:t>
                      </m:r>
                    </m:sub>
                  </m:sSub>
                  <m:r>
                    <m:t>(</m:t>
                  </m:r>
                  <m:sSup>
                    <m:sSupPr/>
                    <m:e>
                      <m:r>
                        <m:t>x</m:t>
                      </m:r>
                    </m:e>
                    <m:sup>
                      <m:r>
                        <m:t>(</m:t>
                      </m:r>
                      <m:r>
                        <m:t>i</m:t>
                      </m:r>
                      <m:r>
                        <m:t>)</m:t>
                      </m:r>
                    </m:sup>
                  </m:sSup>
                  <m:r>
                    <m:t>)</m:t>
                  </m:r>
                  <m:r>
                    <m:t> </m:t>
                  </m:r>
                  <m:r>
                    <m:t>-</m:t>
                  </m:r>
                  <m:r>
                    <m:t> </m:t>
                  </m:r>
                  <m:sSup>
                    <m:sSupPr/>
                    <m:e>
                      <m:r>
                        <m:t>y</m:t>
                      </m:r>
                    </m:e>
                    <m:sup>
                      <m:r>
                        <m:t>(</m:t>
                      </m:r>
                      <m:r>
                        <m:t>i</m:t>
                      </m:r>
                      <m:r>
                        <m:t>)</m:t>
                      </m:r>
                    </m:sup>
                  </m:sSup>
                  <m:sSup>
                    <m:sSupPr/>
                    <m:e>
                      <m: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oMath>
          </w:p>
        </w:tc>
        <w:tc>
          <w:tcPr>
            <w:tcW w:type="dxa" w:w="850"/>
            <w:vAlign w:val="center"/>
          </w:tcPr>
          <w:p>
            <w:pPr>
              <w:spacing w:after="120" w:before="120" w:line="360" w:lineRule="auto"/>
              <w:ind w:firstLine="0"/>
              <w:jc w:val="right"/>
            </w:pPr>
            <w:r>
              <w:rPr>
                <w:rFonts w:ascii="Times New Roman" w:eastAsia="宋体" w:hAnsi="Times New Roman"/>
                <w:b w:val="false"/>
                <w:color w:val="000000"/>
                <w:sz w:val="21"/>
                <w:szCs w:val="21"/>
              </w:rPr>
              <w:t xml:space="preserve">(</w:t>
            </w:r>
            <w:fldSimple w:instr="SEQ Equation \* ARABIC">
              <w:r>
                <w:t xml:space="preserve">2</w:t>
              </w:r>
            </w:fldSimple>
            <w:r>
              <w:rPr>
                <w:rFonts w:ascii="Times New Roman" w:eastAsia="宋体" w:hAnsi="Times New Roman"/>
                <w:b w:val="false"/>
                <w:color w:val="000000"/>
                <w:sz w:val="21"/>
                <w:szCs w:val="21"/>
              </w:rPr>
              <w:t xml:space="preserve">)</w:t>
            </w:r>
          </w:p>
        </w:tc>
      </w:tr>
    </w:tbl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它是为了衡量预测值与真实值之间的“距离”平方和。</w:t>
      </w:r>
    </w:p>
    <w:p>
      <w:pPr>
        <w:pStyle w:val="Heading3"/>
        <w:spacing w:after="0" w:before="0" w:line="360" w:lineRule="auto"/>
        <w:ind w:firstLineChars="200"/>
        <w:jc w:val="left"/>
      </w:pPr>
      <w:r>
        <w:rPr>
          <w:rFonts w:ascii="Times New Roman" w:eastAsia="楷体_GB2312" w:hAnsi="Times New Roman"/>
          <w:b w:val="false"/>
          <w:color w:val="000000"/>
          <w:sz w:val="24"/>
          <w:szCs w:val="24"/>
        </w:rPr>
        <w:t xml:space="preserve">逻辑回归 (Logistic Regression)</w:t>
      </w:r>
    </w:p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虽然叫回归,但它实际上是做分类。它在线性回归的基础上套了一个 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Sigmoid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 映射,将结果压缩到 </w:t>
      </w:r>
      <m:oMath>
        <m:r>
          <m:t>(</m:t>
        </m:r>
        <m:r>
          <m:t>0</m:t>
        </m:r>
        <m:r>
          <m:t>,</m:t>
        </m:r>
        <m:r>
          <m:t> </m:t>
        </m:r>
        <m:r>
          <m:t>1</m:t>
        </m:r>
        <m:r>
          <m:t>)</m:t>
        </m:r>
      </m:oMath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 之间。</w:t>
      </w:r>
    </w:p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Sigmoid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 函数</w:t>
      </w:r>
    </w:p>
    <w:tbl>
      <w:tblPr>
        <w:tblW w:type="pct" w:w="100%"/>
        <w:tblBorders>
          <w:top w:val="none" w:color="000000" w:sz="0"/>
          <w:left w:val="none" w:color="000000" w:sz="0"/>
          <w:bottom w:val="none" w:color="000000" w:sz="0"/>
          <w:right w:val="none" w:color="000000" w:sz="0"/>
          <w:insideH w:val="none" w:color="000000" w:sz="0"/>
          <w:insideV w:val="none" w:color="000000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850"/>
        <w:gridCol w:w="6803"/>
        <w:gridCol w:w="850"/>
      </w:tblGrid>
      <w:tr>
        <w:tc>
          <w:tcPr>
            <w:tcW w:type="dxa" w:w="850"/>
            <w:vAlign w:val="center"/>
          </w:tcPr>
          <w:p>
            <w:pPr>
              <w:spacing w:after="120" w:before="1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6803"/>
            <w:vAlign w:val="center"/>
          </w:tcPr>
          <w:p>
            <w:pPr>
              <w:spacing w:after="120" w:before="120" w:line="360" w:lineRule="auto"/>
              <w:ind w:firstLine="0"/>
              <w:jc w:val="center"/>
            </w:pPr>
            <m:oMath>
              <m:r>
                <m:t>σ</m:t>
              </m:r>
              <m:r>
                <m:t>(</m:t>
              </m:r>
              <m:r>
                <m:t>z</m:t>
              </m:r>
              <m:r>
                <m:t>)</m:t>
              </m:r>
              <m:r>
                <m:t> </m:t>
              </m:r>
              <m:r>
                <m:t>=</m:t>
              </m:r>
              <m:r>
                <m:t> </m:t>
              </m:r>
              <m:f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t> </m:t>
                  </m:r>
                  <m:r>
                    <m:t>+</m:t>
                  </m:r>
                  <m:r>
                    <m:t> </m:t>
                  </m:r>
                  <m:sSup>
                    <m:sSupPr/>
                    <m:e>
                      <m:r>
                        <m:t>e</m:t>
                      </m:r>
                    </m:e>
                    <m:sup>
                      <m:r>
                        <m:t>-</m:t>
                      </m:r>
                      <m:r>
                        <m:t>z</m:t>
                      </m:r>
                    </m:sup>
                  </m:sSup>
                </m:den>
              </m:f>
            </m:oMath>
          </w:p>
        </w:tc>
        <w:tc>
          <w:tcPr>
            <w:tcW w:type="dxa" w:w="850"/>
            <w:vAlign w:val="center"/>
          </w:tcPr>
          <w:p>
            <w:pPr>
              <w:spacing w:after="120" w:before="120" w:line="360" w:lineRule="auto"/>
              <w:ind w:firstLine="0"/>
              <w:jc w:val="right"/>
            </w:pPr>
            <w:r>
              <w:rPr>
                <w:rFonts w:ascii="Times New Roman" w:eastAsia="宋体" w:hAnsi="Times New Roman"/>
                <w:b w:val="false"/>
                <w:color w:val="000000"/>
                <w:sz w:val="21"/>
                <w:szCs w:val="21"/>
              </w:rPr>
              <w:t xml:space="preserve">(</w:t>
            </w:r>
            <w:fldSimple w:instr="SEQ Equation \* ARABIC">
              <w:r>
                <w:t xml:space="preserve">3</w:t>
              </w:r>
            </w:fldSimple>
            <w:r>
              <w:rPr>
                <w:rFonts w:ascii="Times New Roman" w:eastAsia="宋体" w:hAnsi="Times New Roman"/>
                <w:b w:val="false"/>
                <w:color w:val="000000"/>
                <w:sz w:val="21"/>
                <w:szCs w:val="21"/>
              </w:rPr>
              <w:t xml:space="preserve">)</w:t>
            </w:r>
          </w:p>
        </w:tc>
      </w:tr>
    </w:tbl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预测概率</w:t>
      </w:r>
    </w:p>
    <w:tbl>
      <w:tblPr>
        <w:tblW w:type="pct" w:w="100%"/>
        <w:tblBorders>
          <w:top w:val="none" w:color="000000" w:sz="0"/>
          <w:left w:val="none" w:color="000000" w:sz="0"/>
          <w:bottom w:val="none" w:color="000000" w:sz="0"/>
          <w:right w:val="none" w:color="000000" w:sz="0"/>
          <w:insideH w:val="none" w:color="000000" w:sz="0"/>
          <w:insideV w:val="none" w:color="000000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850"/>
        <w:gridCol w:w="6803"/>
        <w:gridCol w:w="850"/>
      </w:tblGrid>
      <w:tr>
        <w:tc>
          <w:tcPr>
            <w:tcW w:type="dxa" w:w="850"/>
            <w:vAlign w:val="center"/>
          </w:tcPr>
          <w:p>
            <w:pPr>
              <w:spacing w:after="120" w:before="1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6803"/>
            <w:vAlign w:val="center"/>
          </w:tcPr>
          <w:p>
            <w:pPr>
              <w:spacing w:after="120" w:before="120" w:line="360" w:lineRule="auto"/>
              <w:ind w:firstLine="0"/>
              <w:jc w:val="center"/>
            </w:pPr>
            <m:oMath>
              <m:r>
                <m:t>P</m:t>
              </m:r>
              <m:r>
                <m:t>(</m:t>
              </m:r>
              <m:r>
                <m:t>y</m:t>
              </m:r>
              <m:r>
                <m:t>=</m:t>
              </m:r>
              <m:r>
                <m:t>1</m:t>
              </m:r>
              <m:r>
                <m:t>|</m:t>
              </m:r>
              <m:r>
                <m:t>x</m:t>
              </m:r>
              <m:r>
                <m:t>;</m:t>
              </m:r>
              <m:r>
                <m:t> </m:t>
              </m:r>
              <m:r>
                <m:t>w</m:t>
              </m:r>
              <m:r>
                <m:t>)</m:t>
              </m:r>
              <m:r>
                <m:t> </m:t>
              </m:r>
              <m:r>
                <m:t>=</m:t>
              </m:r>
              <m:r>
                <m:t> </m:t>
              </m:r>
              <m:r>
                <m:t>σ</m:t>
              </m:r>
              <m:r>
                <m:t>(</m:t>
              </m:r>
              <m:sSup>
                <m:sSupPr/>
                <m:e>
                  <m:r>
                    <m:t>w</m:t>
                  </m:r>
                </m:e>
                <m:sup>
                  <m:r>
                    <m:t>T</m:t>
                  </m:r>
                </m:sup>
              </m:sSup>
              <m:r>
                <m:t> </m:t>
              </m:r>
              <m:r>
                <m:t>x</m:t>
              </m:r>
              <m:r>
                <m:t> </m:t>
              </m:r>
              <m:r>
                <m:t>+</m:t>
              </m:r>
              <m:r>
                <m:t> </m:t>
              </m:r>
              <m:r>
                <m:t>b</m:t>
              </m:r>
              <m:r>
                <m:t>)</m:t>
              </m:r>
            </m:oMath>
          </w:p>
        </w:tc>
        <w:tc>
          <w:tcPr>
            <w:tcW w:type="dxa" w:w="850"/>
            <w:vAlign w:val="center"/>
          </w:tcPr>
          <w:p>
            <w:pPr>
              <w:spacing w:after="120" w:before="120" w:line="360" w:lineRule="auto"/>
              <w:ind w:firstLine="0"/>
              <w:jc w:val="right"/>
            </w:pPr>
            <w:r>
              <w:rPr>
                <w:rFonts w:ascii="Times New Roman" w:eastAsia="宋体" w:hAnsi="Times New Roman"/>
                <w:b w:val="false"/>
                <w:color w:val="000000"/>
                <w:sz w:val="21"/>
                <w:szCs w:val="21"/>
              </w:rPr>
              <w:t xml:space="preserve">(</w:t>
            </w:r>
            <w:fldSimple w:instr="SEQ Equation \* ARABIC">
              <w:r>
                <w:t xml:space="preserve">4</w:t>
              </w:r>
            </w:fldSimple>
            <w:r>
              <w:rPr>
                <w:rFonts w:ascii="Times New Roman" w:eastAsia="宋体" w:hAnsi="Times New Roman"/>
                <w:b w:val="false"/>
                <w:color w:val="000000"/>
                <w:sz w:val="21"/>
                <w:szCs w:val="21"/>
              </w:rPr>
              <w:t xml:space="preserve">)</w:t>
            </w:r>
          </w:p>
        </w:tc>
      </w:tr>
    </w:tbl>
    <w:p>
      <w:pPr>
        <w:pStyle w:val="Heading2"/>
        <w:spacing w:after="0" w:before="0" w:line="360" w:lineRule="auto"/>
        <w:ind w:firstLineChars="200"/>
        <w:jc w:val="left"/>
      </w:pPr>
      <w:r>
        <w:rPr>
          <w:rFonts w:ascii="Times New Roman" w:eastAsia="黑体" w:hAnsi="Times New Roman"/>
          <w:b w:val="false"/>
          <w:color w:val="000000"/>
          <w:sz w:val="24"/>
          <w:szCs w:val="24"/>
        </w:rPr>
        <w:t xml:space="preserve">2. 损失函数 (Loss Functions)：模型的“痛苦”指标</w:t>
      </w:r>
    </w:p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损失函数告诉模型它做得有多糟糕。模型的目标就是让这个值最小。</w:t>
      </w:r>
    </w:p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| 损失函数名称 | 数学表达式 | 适用场景 || :--- | :--- | :--- || 均方误差 </w:t>
      </w:r>
      <m:oMath>
        <m:r>
          <m:t>(</m:t>
        </m:r>
        <m:r>
          <m:t>MSE</m:t>
        </m:r>
        <m:r>
          <m:t>)</m:t>
        </m:r>
      </m:oMath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 | </w:t>
      </w:r>
      <m:oMath>
        <m:r>
          <m:t>L</m:t>
        </m:r>
        <m:r>
          <m:t> </m:t>
        </m:r>
        <m:r>
          <m:t>=</m:t>
        </m:r>
        <m:r>
          <m:t> </m:t>
        </m:r>
        <m:r>
          <m:t>(</m:t>
        </m:r>
        <m:r>
          <m:t>y</m:t>
        </m:r>
        <m:r>
          <m:t> </m:t>
        </m:r>
        <m:r>
          <m:t>-</m:t>
        </m:r>
        <m:r>
          <m:t> </m:t>
        </m:r>
        <m:r>
          <m:t>ŷ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 | 回归问题,对离群点敏感 || 平均绝对误差 </w:t>
      </w:r>
      <m:oMath>
        <m:r>
          <m:t>(</m:t>
        </m:r>
        <m:r>
          <m:t>MAE</m:t>
        </m:r>
        <m:r>
          <m:t>)</m:t>
        </m:r>
      </m:oMath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 | </w:t>
      </w:r>
      <m:oMath>
        <m:r>
          <m:t>L</m:t>
        </m:r>
        <m:r>
          <m:t> </m:t>
        </m:r>
        <m:r>
          <m:t>=</m:t>
        </m:r>
        <m:r>
          <m:t> </m:t>
        </m:r>
        <m:r>
          <m:t>|</m:t>
        </m:r>
        <m:r>
          <m:t>y</m:t>
        </m:r>
        <m:r>
          <m:t> </m:t>
        </m:r>
        <m:r>
          <m:t>-</m:t>
        </m:r>
        <m:r>
          <m:t> </m:t>
        </m:r>
        <m:r>
          <m:t>ŷ</m:t>
        </m:r>
        <m:r>
          <m:t>|</m:t>
        </m:r>
      </m:oMath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 | 回归问题,比 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MSE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 更具鲁棒性 || 交叉熵 </w:t>
      </w:r>
      <m:oMath>
        <m:r>
          <m:t>(</m:t>
        </m:r>
        <m:r>
          <m:t>Cross</m:t>
        </m:r>
        <m:r>
          <m:t>-</m:t>
        </m:r>
        <m:r>
          <m:t>Entropy</m:t>
        </m:r>
        <m:r>
          <m:t>)</m:t>
        </m:r>
      </m:oMath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 | </w:t>
      </w:r>
      <m:oMath>
        <m:r>
          <m:t>L</m:t>
        </m:r>
        <m:r>
          <m:t> </m:t>
        </m:r>
        <m:r>
          <m:t>=</m:t>
        </m:r>
        <m:r>
          <m:t> </m:t>
        </m:r>
        <m:r>
          <m:t>-</m:t>
        </m:r>
        <m:nary>
          <m:naryPr>
            <m:chr m:val="∑"/>
            <m:limLoc m:val="undOvr"/>
            <m:supHide m:val="1"/>
            <m:subHide m:val="1"/>
          </m:naryPr>
          <m:e>
            <m:r>
              <m:t>y</m:t>
            </m:r>
            <m:r>
              <m:t> </m:t>
            </m:r>
            <m:r>
              <m:t>log</m:t>
            </m:r>
            <m:r>
              <m:t>(</m:t>
            </m:r>
            <m:r>
              <m:t>ŷ</m:t>
            </m:r>
            <m:r>
              <m:t>)</m:t>
            </m:r>
          </m:e>
        </m:nary>
      </m:oMath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 | 分类问题,衡量概率分布的差异 || 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Hinge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Loss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 | </w:t>
      </w:r>
      <m:oMath>
        <m:r>
          <m:t>L</m:t>
        </m:r>
        <m:r>
          <m:t> </m:t>
        </m:r>
        <m:r>
          <m:t>=</m:t>
        </m:r>
        <m:r>
          <m:t> </m:t>
        </m:r>
        <m:r>
          <m:t>max</m:t>
        </m:r>
        <m:r>
          <m:t>(</m:t>
        </m:r>
        <m:r>
          <m:t>0</m:t>
        </m:r>
        <m:r>
          <m:t>,</m:t>
        </m:r>
        <m:r>
          <m:t> </m:t>
        </m:r>
        <m:r>
          <m:t>1</m:t>
        </m:r>
        <m:r>
          <m:t> </m:t>
        </m:r>
        <m:r>
          <m:t>-</m:t>
        </m:r>
        <m:r>
          <m:t> </m:t>
        </m:r>
        <m:r>
          <m:t>y</m:t>
        </m:r>
        <m:r>
          <m:t> </m:t>
        </m:r>
        <m:r>
          <m:t>·</m:t>
        </m:r>
        <m:r>
          <m:t> </m:t>
        </m:r>
        <m:r>
          <m:t>ŷ</m:t>
        </m:r>
        <m:r>
          <m:t>)</m:t>
        </m:r>
      </m:oMath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 | 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SVM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(支持向量机)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,强调“硬分类” |</w:t>
      </w:r>
    </w:p>
    <w:p>
      <w:pPr>
        <w:pStyle w:val="Heading2"/>
        <w:spacing w:after="0" w:before="0" w:line="360" w:lineRule="auto"/>
        <w:ind w:firstLineChars="200"/>
        <w:jc w:val="left"/>
      </w:pPr>
      <w:r>
        <w:rPr>
          <w:rFonts w:ascii="Times New Roman" w:eastAsia="黑体" w:hAnsi="Times New Roman"/>
          <w:b w:val="false"/>
          <w:color w:val="000000"/>
          <w:sz w:val="24"/>
          <w:szCs w:val="24"/>
        </w:rPr>
        <w:t xml:space="preserve">3. 优化算法：如何找到最优解</w:t>
      </w:r>
    </w:p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有了损失函数,我们需要一种方法来更新参数 </w:t>
      </w:r>
      <m:oMath>
        <m:r>
          <m:t>w</m:t>
        </m:r>
      </m:oMath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,让损失降下来。</w:t>
      </w:r>
    </w:p>
    <w:p>
      <w:pPr>
        <w:pStyle w:val="Heading3"/>
        <w:spacing w:after="0" w:before="0" w:line="360" w:lineRule="auto"/>
        <w:ind w:firstLineChars="200"/>
        <w:jc w:val="left"/>
      </w:pPr>
      <w:r>
        <w:rPr>
          <w:rFonts w:ascii="Times New Roman" w:eastAsia="楷体_GB2312" w:hAnsi="Times New Roman"/>
          <w:b w:val="false"/>
          <w:color w:val="000000"/>
          <w:sz w:val="24"/>
          <w:szCs w:val="24"/>
        </w:rPr>
        <w:t xml:space="preserve">梯度下降 (Gradient Descent)</w:t>
      </w:r>
    </w:p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这是最经典的优化思想。就像下山一样,顺着梯度最陡的方向反着走。</w:t>
      </w:r>
    </w:p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参数更新公式</w:t>
      </w:r>
    </w:p>
    <w:tbl>
      <w:tblPr>
        <w:tblW w:type="pct" w:w="100%"/>
        <w:tblBorders>
          <w:top w:val="none" w:color="000000" w:sz="0"/>
          <w:left w:val="none" w:color="000000" w:sz="0"/>
          <w:bottom w:val="none" w:color="000000" w:sz="0"/>
          <w:right w:val="none" w:color="000000" w:sz="0"/>
          <w:insideH w:val="none" w:color="000000" w:sz="0"/>
          <w:insideV w:val="none" w:color="000000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850"/>
        <w:gridCol w:w="6803"/>
        <w:gridCol w:w="850"/>
      </w:tblGrid>
      <w:tr>
        <w:tc>
          <w:tcPr>
            <w:tcW w:type="dxa" w:w="850"/>
            <w:vAlign w:val="center"/>
          </w:tcPr>
          <w:p>
            <w:pPr>
              <w:spacing w:after="120" w:before="1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6803"/>
            <w:vAlign w:val="center"/>
          </w:tcPr>
          <w:p>
            <w:pPr>
              <w:spacing w:after="120" w:before="120" w:line="360" w:lineRule="auto"/>
              <w:ind w:firstLine="0"/>
              <w:jc w:val="center"/>
            </w:pPr>
            <m:oMath>
              <m:r>
                <m:t>w</m:t>
              </m:r>
              <m:r>
                <m:t> </m:t>
              </m:r>
              <m:r>
                <m:t>:</m:t>
              </m:r>
              <m:r>
                <m:t>=</m:t>
              </m:r>
              <m:r>
                <m:t> </m:t>
              </m:r>
              <m:r>
                <m:t>w</m:t>
              </m:r>
              <m:r>
                <m:t> </m:t>
              </m:r>
              <m:r>
                <m:t>-</m:t>
              </m:r>
              <m:r>
                <m:t> </m:t>
              </m:r>
              <m:r>
                <m:t>α</m:t>
              </m:r>
              <m:r>
                <m:t> </m:t>
              </m:r>
              <m:f>
                <m:num>
                  <m:r>
                    <m:t>∂</m:t>
                  </m:r>
                  <m:r>
                    <m:t> </m:t>
                  </m:r>
                  <m:r>
                    <m:t>J</m:t>
                  </m:r>
                  <m:r>
                    <m:t>(</m:t>
                  </m:r>
                  <m:r>
                    <m:t>w</m:t>
                  </m:r>
                  <m:r>
                    <m:t>)</m:t>
                  </m:r>
                </m:num>
                <m:den>
                  <m:r>
                    <m:t>∂</m:t>
                  </m:r>
                  <m:r>
                    <m:t> </m:t>
                  </m:r>
                  <m:r>
                    <m:t>w</m:t>
                  </m:r>
                </m:den>
              </m:f>
            </m:oMath>
          </w:p>
        </w:tc>
        <w:tc>
          <w:tcPr>
            <w:tcW w:type="dxa" w:w="850"/>
            <w:vAlign w:val="center"/>
          </w:tcPr>
          <w:p>
            <w:pPr>
              <w:spacing w:after="120" w:before="120" w:line="360" w:lineRule="auto"/>
              <w:ind w:firstLine="0"/>
              <w:jc w:val="right"/>
            </w:pPr>
            <w:r>
              <w:rPr>
                <w:rFonts w:ascii="Times New Roman" w:eastAsia="宋体" w:hAnsi="Times New Roman"/>
                <w:b w:val="false"/>
                <w:color w:val="000000"/>
                <w:sz w:val="21"/>
                <w:szCs w:val="21"/>
              </w:rPr>
              <w:t xml:space="preserve">(</w:t>
            </w:r>
            <w:fldSimple w:instr="SEQ Equation \* ARABIC">
              <w:r>
                <w:t xml:space="preserve">5</w:t>
              </w:r>
            </w:fldSimple>
            <w:r>
              <w:rPr>
                <w:rFonts w:ascii="Times New Roman" w:eastAsia="宋体" w:hAnsi="Times New Roman"/>
                <w:b w:val="false"/>
                <w:color w:val="000000"/>
                <w:sz w:val="21"/>
                <w:szCs w:val="21"/>
              </w:rPr>
              <w:t xml:space="preserve">)</w:t>
            </w:r>
          </w:p>
        </w:tc>
      </w:tr>
    </w:tbl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其中 </w:t>
      </w:r>
      <m:oMath>
        <m:r>
          <m:t>α</m:t>
        </m:r>
      </m:oMath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 是学习率。如果 </w:t>
      </w:r>
      <m:oMath>
        <m:r>
          <m:t>α</m:t>
        </m:r>
      </m:oMath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 太大,模型会“横冲直撞”;如果太小,则慢得像蜗牛。</w:t>
      </w:r>
    </w:p>
    <w:p>
      <w:pPr>
        <w:pStyle w:val="Heading2"/>
        <w:spacing w:after="0" w:before="0" w:line="360" w:lineRule="auto"/>
        <w:ind w:firstLineChars="200"/>
        <w:jc w:val="left"/>
      </w:pPr>
      <w:r>
        <w:rPr>
          <w:rFonts w:ascii="Times New Roman" w:eastAsia="黑体" w:hAnsi="Times New Roman"/>
          <w:b w:val="false"/>
          <w:color w:val="000000"/>
          <w:sz w:val="24"/>
          <w:szCs w:val="24"/>
        </w:rPr>
        <w:t xml:space="preserve">4. 正则化 (Regularization)：防止“死记硬背”</w:t>
      </w:r>
    </w:p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当模型太复杂时,它会记住训练集里的噪声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(过拟合)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。正则化通过给公式加“惩罚项”来限制参数的大小。</w:t>
      </w:r>
    </w:p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L1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 正则化 </w:t>
      </w:r>
      <m:oMath>
        <m:r>
          <m:t>(</m:t>
        </m:r>
        <m:r>
          <m:t>Lasso</m:t>
        </m:r>
        <m:r>
          <m:t>)</m:t>
        </m:r>
      </m:oMath>
    </w:p>
    <w:tbl>
      <w:tblPr>
        <w:tblW w:type="pct" w:w="100%"/>
        <w:tblBorders>
          <w:top w:val="none" w:color="000000" w:sz="0"/>
          <w:left w:val="none" w:color="000000" w:sz="0"/>
          <w:bottom w:val="none" w:color="000000" w:sz="0"/>
          <w:right w:val="none" w:color="000000" w:sz="0"/>
          <w:insideH w:val="none" w:color="000000" w:sz="0"/>
          <w:insideV w:val="none" w:color="000000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850"/>
        <w:gridCol w:w="6803"/>
        <w:gridCol w:w="850"/>
      </w:tblGrid>
      <w:tr>
        <w:tc>
          <w:tcPr>
            <w:tcW w:type="dxa" w:w="850"/>
            <w:vAlign w:val="center"/>
          </w:tcPr>
          <w:p>
            <w:pPr>
              <w:spacing w:after="120" w:before="1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6803"/>
            <w:vAlign w:val="center"/>
          </w:tcPr>
          <w:p>
            <w:pPr>
              <w:spacing w:after="120" w:before="120" w:line="360" w:lineRule="auto"/>
              <w:ind w:firstLine="0"/>
              <w:jc w:val="center"/>
            </w:pPr>
            <m:oMath>
              <m:sSub>
                <m:sSubPr/>
                <m:e>
                  <m:r>
                    <m:t>J</m:t>
                  </m:r>
                </m:e>
                <m:sub>
                  <m:r>
                    <m:t>new</m:t>
                  </m:r>
                </m:sub>
              </m:sSub>
              <m:r>
                <m:t> </m:t>
              </m:r>
              <m:r>
                <m:t>=</m:t>
              </m:r>
              <m:r>
                <m:t> </m:t>
              </m:r>
              <m:r>
                <m:t>J</m:t>
              </m:r>
              <m:r>
                <m:t> </m:t>
              </m:r>
              <m:r>
                <m:t>+</m:t>
              </m:r>
              <m:r>
                <m:t> </m:t>
              </m:r>
              <m:r>
                <m:t>λ</m:t>
              </m:r>
              <m:r>
                <m:t> </m:t>
              </m:r>
              <m:sSub>
                <m:sSubPr/>
                <m:e>
                  <m:r>
                    <m:t>|</m:t>
                  </m:r>
                  <m:r>
                    <m:t>|</m:t>
                  </m:r>
                  <m:r>
                    <m:t>w</m:t>
                  </m:r>
                  <m:r>
                    <m:t>|</m:t>
                  </m:r>
                  <m:r>
                    <m:t>|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W w:type="dxa" w:w="850"/>
            <w:vAlign w:val="center"/>
          </w:tcPr>
          <w:p>
            <w:pPr>
              <w:spacing w:after="120" w:before="120" w:line="360" w:lineRule="auto"/>
              <w:ind w:firstLine="0"/>
              <w:jc w:val="right"/>
            </w:pPr>
            <w:r>
              <w:rPr>
                <w:rFonts w:ascii="Times New Roman" w:eastAsia="宋体" w:hAnsi="Times New Roman"/>
                <w:b w:val="false"/>
                <w:color w:val="000000"/>
                <w:sz w:val="21"/>
                <w:szCs w:val="21"/>
              </w:rPr>
              <w:t xml:space="preserve">(</w:t>
            </w:r>
            <w:fldSimple w:instr="SEQ Equation \* ARABIC">
              <w:r>
                <w:t xml:space="preserve">6</w:t>
              </w:r>
            </w:fldSimple>
            <w:r>
              <w:rPr>
                <w:rFonts w:ascii="Times New Roman" w:eastAsia="宋体" w:hAnsi="Times New Roman"/>
                <w:b w:val="false"/>
                <w:color w:val="000000"/>
                <w:sz w:val="21"/>
                <w:szCs w:val="21"/>
              </w:rPr>
              <w:t xml:space="preserve">)</w:t>
            </w:r>
          </w:p>
        </w:tc>
      </w:tr>
    </w:tbl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它倾向于让一部分 </w:t>
      </w:r>
      <m:oMath>
        <m:r>
          <m:t>w</m:t>
        </m:r>
      </m:oMath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 变成 0,产生稀疏解,起到特征选择的作用。</w:t>
      </w:r>
    </w:p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L2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 正则化 </w:t>
      </w:r>
      <m:oMath>
        <m:r>
          <m:t>(</m:t>
        </m:r>
        <m:r>
          <m:t>Ridge</m:t>
        </m:r>
        <m:r>
          <m:t>)</m:t>
        </m:r>
      </m:oMath>
    </w:p>
    <w:tbl>
      <w:tblPr>
        <w:tblW w:type="pct" w:w="100%"/>
        <w:tblBorders>
          <w:top w:val="none" w:color="000000" w:sz="0"/>
          <w:left w:val="none" w:color="000000" w:sz="0"/>
          <w:bottom w:val="none" w:color="000000" w:sz="0"/>
          <w:right w:val="none" w:color="000000" w:sz="0"/>
          <w:insideH w:val="none" w:color="000000" w:sz="0"/>
          <w:insideV w:val="none" w:color="000000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850"/>
        <w:gridCol w:w="6803"/>
        <w:gridCol w:w="850"/>
      </w:tblGrid>
      <w:tr>
        <w:tc>
          <w:tcPr>
            <w:tcW w:type="dxa" w:w="850"/>
            <w:vAlign w:val="center"/>
          </w:tcPr>
          <w:p>
            <w:pPr>
              <w:spacing w:after="120" w:before="1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6803"/>
            <w:vAlign w:val="center"/>
          </w:tcPr>
          <w:p>
            <w:pPr>
              <w:spacing w:after="120" w:before="120" w:line="360" w:lineRule="auto"/>
              <w:ind w:firstLine="0"/>
              <w:jc w:val="center"/>
            </w:pPr>
            <m:oMath>
              <m:sSub>
                <m:sSubPr/>
                <m:e>
                  <m:r>
                    <m:t>J</m:t>
                  </m:r>
                </m:e>
                <m:sub>
                  <m:r>
                    <m:t>new</m:t>
                  </m:r>
                </m:sub>
              </m:sSub>
              <m:r>
                <m:t> </m:t>
              </m:r>
              <m:r>
                <m:t>=</m:t>
              </m:r>
              <m:r>
                <m:t> </m:t>
              </m:r>
              <m:r>
                <m:t>J</m:t>
              </m:r>
              <m:r>
                <m:t> </m:t>
              </m:r>
              <m:r>
                <m:t>+</m:t>
              </m:r>
              <m:r>
                <m:t> </m:t>
              </m:r>
              <m:f>
                <m:num>
                  <m:r>
                    <m:t>λ</m:t>
                  </m:r>
                </m:num>
                <m:den>
                  <m:r>
                    <m:t>2</m:t>
                  </m:r>
                </m:den>
              </m:f>
              <m:r>
                <m:t> </m:t>
              </m:r>
              <m:sSubSup>
                <m:sSubSupPr/>
                <m:e>
                  <m:r>
                    <m:t>|</m:t>
                  </m:r>
                  <m:r>
                    <m:t>|</m:t>
                  </m:r>
                  <m:r>
                    <m:t>w</m:t>
                  </m:r>
                  <m:r>
                    <m:t>|</m:t>
                  </m:r>
                  <m:r>
                    <m:t>|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</w:p>
        </w:tc>
        <w:tc>
          <w:tcPr>
            <w:tcW w:type="dxa" w:w="850"/>
            <w:vAlign w:val="center"/>
          </w:tcPr>
          <w:p>
            <w:pPr>
              <w:spacing w:after="120" w:before="120" w:line="360" w:lineRule="auto"/>
              <w:ind w:firstLine="0"/>
              <w:jc w:val="right"/>
            </w:pPr>
            <w:r>
              <w:rPr>
                <w:rFonts w:ascii="Times New Roman" w:eastAsia="宋体" w:hAnsi="Times New Roman"/>
                <w:b w:val="false"/>
                <w:color w:val="000000"/>
                <w:sz w:val="21"/>
                <w:szCs w:val="21"/>
              </w:rPr>
              <w:t xml:space="preserve">(</w:t>
            </w:r>
            <w:fldSimple w:instr="SEQ Equation \* ARABIC">
              <w:r>
                <w:t xml:space="preserve">7</w:t>
              </w:r>
            </w:fldSimple>
            <w:r>
              <w:rPr>
                <w:rFonts w:ascii="Times New Roman" w:eastAsia="宋体" w:hAnsi="Times New Roman"/>
                <w:b w:val="false"/>
                <w:color w:val="000000"/>
                <w:sz w:val="21"/>
                <w:szCs w:val="21"/>
              </w:rPr>
              <w:t xml:space="preserve">)</w:t>
            </w:r>
          </w:p>
        </w:tc>
      </w:tr>
    </w:tbl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它让 </w:t>
      </w:r>
      <m:oMath>
        <m:r>
          <m:t>w</m:t>
        </m:r>
      </m:oMath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 的数值尽量小且平滑,是目前最常用的手段。</w:t>
      </w:r>
    </w:p>
    <w:p>
      <w:pPr>
        <w:pStyle w:val="Heading2"/>
        <w:spacing w:after="0" w:before="0" w:line="360" w:lineRule="auto"/>
        <w:ind w:firstLineChars="200"/>
        <w:jc w:val="left"/>
      </w:pPr>
      <w:r>
        <w:rPr>
          <w:rFonts w:ascii="Times New Roman" w:eastAsia="黑体" w:hAnsi="Times New Roman"/>
          <w:b w:val="false"/>
          <w:color w:val="000000"/>
          <w:sz w:val="24"/>
          <w:szCs w:val="24"/>
        </w:rPr>
        <w:t xml:space="preserve">5. 模型评价指标：如何评价一个模型</w:t>
      </w:r>
    </w:p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光看损失函数是不够的,我们需要更直观的指标。</w:t>
      </w:r>
    </w:p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准确率 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(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Accuracy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)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: 猜对的数量 / 总数。</w:t>
      </w:r>
    </w:p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精确率 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(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Precision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)</w:t>
      </w:r>
    </w:p>
    <w:tbl>
      <w:tblPr>
        <w:tblW w:type="pct" w:w="100%"/>
        <w:tblBorders>
          <w:top w:val="none" w:color="000000" w:sz="0"/>
          <w:left w:val="none" w:color="000000" w:sz="0"/>
          <w:bottom w:val="none" w:color="000000" w:sz="0"/>
          <w:right w:val="none" w:color="000000" w:sz="0"/>
          <w:insideH w:val="none" w:color="000000" w:sz="0"/>
          <w:insideV w:val="none" w:color="000000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850"/>
        <w:gridCol w:w="6803"/>
        <w:gridCol w:w="850"/>
      </w:tblGrid>
      <w:tr>
        <w:tc>
          <w:tcPr>
            <w:tcW w:type="dxa" w:w="850"/>
            <w:vAlign w:val="center"/>
          </w:tcPr>
          <w:p>
            <w:pPr>
              <w:spacing w:after="120" w:before="1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6803"/>
            <w:vAlign w:val="center"/>
          </w:tcPr>
          <w:p>
            <w:pPr>
              <w:spacing w:after="120" w:before="120" w:line="360" w:lineRule="auto"/>
              <w:ind w:firstLine="0"/>
              <w:jc w:val="center"/>
            </w:pPr>
            <m:oMath>
              <m:r>
                <m:t>Precision</m:t>
              </m:r>
              <m:r>
                <m:t> </m:t>
              </m:r>
              <m:r>
                <m:t>=</m:t>
              </m:r>
              <m:r>
                <m:t> </m:t>
              </m:r>
              <m:f>
                <m:num>
                  <m:r>
                    <m:t>TP</m:t>
                  </m:r>
                </m:num>
                <m:den>
                  <m:r>
                    <m:t>TP</m:t>
                  </m:r>
                  <m:r>
                    <m:t> </m:t>
                  </m:r>
                  <m:r>
                    <m:t>+</m:t>
                  </m:r>
                  <m:r>
                    <m:t> </m:t>
                  </m:r>
                  <m:r>
                    <m:t>FP</m:t>
                  </m:r>
                </m:den>
              </m:f>
            </m:oMath>
          </w:p>
        </w:tc>
        <w:tc>
          <w:tcPr>
            <w:tcW w:type="dxa" w:w="850"/>
            <w:vAlign w:val="center"/>
          </w:tcPr>
          <w:p>
            <w:pPr>
              <w:spacing w:after="120" w:before="120" w:line="360" w:lineRule="auto"/>
              <w:ind w:firstLine="0"/>
              <w:jc w:val="right"/>
            </w:pPr>
            <w:r>
              <w:rPr>
                <w:rFonts w:ascii="Times New Roman" w:eastAsia="宋体" w:hAnsi="Times New Roman"/>
                <w:b w:val="false"/>
                <w:color w:val="000000"/>
                <w:sz w:val="21"/>
                <w:szCs w:val="21"/>
              </w:rPr>
              <w:t xml:space="preserve">(</w:t>
            </w:r>
            <w:fldSimple w:instr="SEQ Equation \* ARABIC">
              <w:r>
                <w:t xml:space="preserve">8</w:t>
              </w:r>
            </w:fldSimple>
            <w:r>
              <w:rPr>
                <w:rFonts w:ascii="Times New Roman" w:eastAsia="宋体" w:hAnsi="Times New Roman"/>
                <w:b w:val="false"/>
                <w:color w:val="000000"/>
                <w:sz w:val="21"/>
                <w:szCs w:val="21"/>
              </w:rPr>
              <w:t xml:space="preserve">)</w:t>
            </w:r>
          </w:p>
        </w:tc>
      </w:tr>
    </w:tbl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(在模型预测为“真”的里面,有多少是真的?)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召回率 </w:t>
      </w:r>
      <m:oMath>
        <m:r>
          <m:t>(</m:t>
        </m:r>
        <m:r>
          <m:t>Recall</m:t>
        </m:r>
        <m:r>
          <m:t>)</m:t>
        </m:r>
      </m:oMath>
    </w:p>
    <w:tbl>
      <w:tblPr>
        <w:tblW w:type="pct" w:w="100%"/>
        <w:tblBorders>
          <w:top w:val="none" w:color="000000" w:sz="0"/>
          <w:left w:val="none" w:color="000000" w:sz="0"/>
          <w:bottom w:val="none" w:color="000000" w:sz="0"/>
          <w:right w:val="none" w:color="000000" w:sz="0"/>
          <w:insideH w:val="none" w:color="000000" w:sz="0"/>
          <w:insideV w:val="none" w:color="000000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850"/>
        <w:gridCol w:w="6803"/>
        <w:gridCol w:w="850"/>
      </w:tblGrid>
      <w:tr>
        <w:tc>
          <w:tcPr>
            <w:tcW w:type="dxa" w:w="850"/>
            <w:vAlign w:val="center"/>
          </w:tcPr>
          <w:p>
            <w:pPr>
              <w:spacing w:after="120" w:before="1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6803"/>
            <w:vAlign w:val="center"/>
          </w:tcPr>
          <w:p>
            <w:pPr>
              <w:spacing w:after="120" w:before="120" w:line="360" w:lineRule="auto"/>
              <w:ind w:firstLine="0"/>
              <w:jc w:val="center"/>
            </w:pPr>
            <m:oMath>
              <m:r>
                <m:t>Recall</m:t>
              </m:r>
              <m:r>
                <m:t> </m:t>
              </m:r>
              <m:r>
                <m:t>=</m:t>
              </m:r>
              <m:r>
                <m:t> </m:t>
              </m:r>
              <m:f>
                <m:num>
                  <m:r>
                    <m:t>TP</m:t>
                  </m:r>
                </m:num>
                <m:den>
                  <m:r>
                    <m:t>TP</m:t>
                  </m:r>
                  <m:r>
                    <m:t> </m:t>
                  </m:r>
                  <m:r>
                    <m:t>+</m:t>
                  </m:r>
                  <m:r>
                    <m:t> </m:t>
                  </m:r>
                  <m:r>
                    <m:t>FN</m:t>
                  </m:r>
                </m:den>
              </m:f>
            </m:oMath>
          </w:p>
        </w:tc>
        <w:tc>
          <w:tcPr>
            <w:tcW w:type="dxa" w:w="850"/>
            <w:vAlign w:val="center"/>
          </w:tcPr>
          <w:p>
            <w:pPr>
              <w:spacing w:after="120" w:before="120" w:line="360" w:lineRule="auto"/>
              <w:ind w:firstLine="0"/>
              <w:jc w:val="right"/>
            </w:pPr>
            <w:r>
              <w:rPr>
                <w:rFonts w:ascii="Times New Roman" w:eastAsia="宋体" w:hAnsi="Times New Roman"/>
                <w:b w:val="false"/>
                <w:color w:val="000000"/>
                <w:sz w:val="21"/>
                <w:szCs w:val="21"/>
              </w:rPr>
              <w:t xml:space="preserve">(</w:t>
            </w:r>
            <w:fldSimple w:instr="SEQ Equation \* ARABIC">
              <w:r>
                <w:t xml:space="preserve">9</w:t>
              </w:r>
            </w:fldSimple>
            <w:r>
              <w:rPr>
                <w:rFonts w:ascii="Times New Roman" w:eastAsia="宋体" w:hAnsi="Times New Roman"/>
                <w:b w:val="false"/>
                <w:color w:val="000000"/>
                <w:sz w:val="21"/>
                <w:szCs w:val="21"/>
              </w:rPr>
              <w:t xml:space="preserve">)</w:t>
            </w:r>
          </w:p>
        </w:tc>
      </w:tr>
    </w:tbl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(在所有真的里面,模型抓到了多少?)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F1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Score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: 两者的调和平均数,防止模型“偏科”。</w:t>
      </w:r>
    </w:p>
    <w:tbl>
      <w:tblPr>
        <w:tblW w:type="pct" w:w="100%"/>
        <w:tblBorders>
          <w:top w:val="none" w:color="000000" w:sz="0"/>
          <w:left w:val="none" w:color="000000" w:sz="0"/>
          <w:bottom w:val="none" w:color="000000" w:sz="0"/>
          <w:right w:val="none" w:color="000000" w:sz="0"/>
          <w:insideH w:val="none" w:color="000000" w:sz="0"/>
          <w:insideV w:val="none" w:color="000000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850"/>
        <w:gridCol w:w="6803"/>
        <w:gridCol w:w="850"/>
      </w:tblGrid>
      <w:tr>
        <w:tc>
          <w:tcPr>
            <w:tcW w:type="dxa" w:w="850"/>
            <w:vAlign w:val="center"/>
          </w:tcPr>
          <w:p>
            <w:pPr>
              <w:spacing w:after="120" w:before="1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6803"/>
            <w:vAlign w:val="center"/>
          </w:tcPr>
          <w:p>
            <w:pPr>
              <w:spacing w:after="120" w:before="120" w:line="360" w:lineRule="auto"/>
              <w:ind w:firstLine="0"/>
              <w:jc w:val="center"/>
            </w:pPr>
            <m:oMath>
              <m:r>
                <m:t>F1</m:t>
              </m:r>
              <m:r>
                <m:t> </m:t>
              </m:r>
              <m:r>
                <m:t>=</m:t>
              </m:r>
              <m:r>
                <m:t> </m:t>
              </m:r>
              <m:r>
                <m:t>2</m:t>
              </m:r>
              <m:r>
                <m:t> </m:t>
              </m:r>
              <m:r>
                <m:t>·</m:t>
              </m:r>
              <m:r>
                <m:t> </m:t>
              </m:r>
              <m:f>
                <m:num>
                  <m:r>
                    <m:t>Precision</m:t>
                  </m:r>
                  <m:r>
                    <m:t> </m:t>
                  </m:r>
                  <m:r>
                    <m:t>·</m:t>
                  </m:r>
                  <m:r>
                    <m:t> </m:t>
                  </m:r>
                  <m:r>
                    <m:t>Recall</m:t>
                  </m:r>
                </m:num>
                <m:den>
                  <m:r>
                    <m:t>Precision</m:t>
                  </m:r>
                  <m:r>
                    <m:t> </m:t>
                  </m:r>
                  <m:r>
                    <m:t>+</m:t>
                  </m:r>
                  <m:r>
                    <m:t> </m:t>
                  </m:r>
                  <m:r>
                    <m:t>Recall</m:t>
                  </m:r>
                </m:den>
              </m:f>
            </m:oMath>
          </w:p>
        </w:tc>
        <w:tc>
          <w:tcPr>
            <w:tcW w:type="dxa" w:w="850"/>
            <w:vAlign w:val="center"/>
          </w:tcPr>
          <w:p>
            <w:pPr>
              <w:spacing w:after="120" w:before="120" w:line="360" w:lineRule="auto"/>
              <w:ind w:firstLine="0"/>
              <w:jc w:val="right"/>
            </w:pPr>
            <w:r>
              <w:rPr>
                <w:rFonts w:ascii="Times New Roman" w:eastAsia="宋体" w:hAnsi="Times New Roman"/>
                <w:b w:val="false"/>
                <w:color w:val="000000"/>
                <w:sz w:val="21"/>
                <w:szCs w:val="21"/>
              </w:rPr>
              <w:t xml:space="preserve">(</w:t>
            </w:r>
            <w:fldSimple w:instr="SEQ Equation \* ARABIC">
              <w:r>
                <w:t xml:space="preserve">10</w:t>
              </w:r>
            </w:fldSimple>
            <w:r>
              <w:rPr>
                <w:rFonts w:ascii="Times New Roman" w:eastAsia="宋体" w:hAnsi="Times New Roman"/>
                <w:b w:val="false"/>
                <w:color w:val="000000"/>
                <w:sz w:val="21"/>
                <w:szCs w:val="21"/>
              </w:rPr>
              <w:t xml:space="preserve">)</w:t>
            </w:r>
          </w:p>
        </w:tc>
      </w:tr>
    </w:tbl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注意: 机器学习不仅仅是堆砌这些公式。在实际应用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(比如你可能感兴趣的机器人控制或自动化系统)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中,公式的选择往往取决于数据的分布特征和硬件的实时性要求。</w:t>
      </w:r>
    </w:p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对于这些公式,你最想深入了解哪一个背后的数学推导,或者是它们在特定算法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(如神经网络)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中的演变?</w:t>
      </w:r>
    </w:p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. 梯度下降的各种变体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(如 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Adam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RMSProp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)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有什么区别?</w:t>
      </w:r>
    </w:p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b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. 为什么分类问题通常用交叉熵而不是均方误差?</w:t>
      </w:r>
    </w:p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c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. 如何在实际代码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(如 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PyTorch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 或 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TensorFlow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)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中实现这些公式?</w:t>
      </w:r>
    </w:p>
    <w:sectPr>
      <w:footerReference w:type="default" r:id="rId7"/>
      <w:pgSz w:w="11906" w:h="16838" w:orient="portrait"/>
      <w:pgMar w:top="1417" w:right="1133" w:bottom="1417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 w:hAnsi="Times New Roman"/>
        <w:b w:val="false"/>
        <w:color w:val="000000"/>
        <w:sz w:val="20"/>
        <w:szCs w:val="20"/>
      </w:rPr>
      <w:t xml:space="preserve">第 </w:t>
    </w:r>
    <w:r>
      <w:rPr>
        <w:rFonts w:ascii="Times New Roman" w:cs="Times New Roman" w:eastAsia="Times New Roman" w:hAnsi="Times New Roman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宋体" w:hAnsi="Times New Roman"/>
        <w:b w:val="false"/>
        <w:color w:val="000000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[%1]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2026-04-25T16:03:20.482Z</dcterms:created>
  <dcterms:modified xsi:type="dcterms:W3CDTF">2026-04-25T16:03:20.482Z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