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F3FAC8" w14:textId="77777777" w:rsidR="005026A2" w:rsidRDefault="004D47AE" w:rsidP="004D47AE">
      <w:pPr>
        <w:jc w:val="right"/>
      </w:pPr>
      <w:r>
        <w:t>Skylar Wurster</w:t>
      </w:r>
      <w:r>
        <w:tab/>
      </w:r>
    </w:p>
    <w:p w14:paraId="2DE8A6F8" w14:textId="77777777" w:rsidR="004D47AE" w:rsidRDefault="004D47AE" w:rsidP="004D47AE">
      <w:pPr>
        <w:jc w:val="right"/>
      </w:pPr>
      <w:r>
        <w:t>Neural Networks</w:t>
      </w:r>
    </w:p>
    <w:p w14:paraId="515A498A" w14:textId="77777777" w:rsidR="004D47AE" w:rsidRDefault="004D47AE" w:rsidP="004D47AE">
      <w:pPr>
        <w:jc w:val="right"/>
      </w:pPr>
      <w:r>
        <w:t>Professor Morris</w:t>
      </w:r>
    </w:p>
    <w:p w14:paraId="0FC41DFC" w14:textId="77777777" w:rsidR="004D47AE" w:rsidRDefault="004D47AE" w:rsidP="004D47AE">
      <w:pPr>
        <w:jc w:val="right"/>
      </w:pPr>
      <w:r>
        <w:t>February 15</w:t>
      </w:r>
      <w:r w:rsidRPr="004D47AE">
        <w:rPr>
          <w:vertAlign w:val="superscript"/>
        </w:rPr>
        <w:t>th</w:t>
      </w:r>
      <w:r>
        <w:t>, 2018</w:t>
      </w:r>
    </w:p>
    <w:p w14:paraId="71BF00C5" w14:textId="77777777" w:rsidR="004D47AE" w:rsidRDefault="004D47AE" w:rsidP="004D47AE">
      <w:pPr>
        <w:jc w:val="center"/>
      </w:pPr>
      <w:r>
        <w:t>Lab 1 Report</w:t>
      </w:r>
    </w:p>
    <w:p w14:paraId="3DFDDE63" w14:textId="77777777" w:rsidR="00DC08F8" w:rsidRDefault="00DC08F8" w:rsidP="004D47AE">
      <w:pPr>
        <w:jc w:val="center"/>
      </w:pPr>
    </w:p>
    <w:p w14:paraId="1FC83C75" w14:textId="269993F5" w:rsidR="00331B48" w:rsidRDefault="00ED5A79" w:rsidP="00114618">
      <w:r>
        <w:tab/>
      </w:r>
      <w:r>
        <w:rPr>
          <w:b/>
        </w:rPr>
        <w:t xml:space="preserve">Summary: </w:t>
      </w:r>
      <w:r>
        <w:t>A matrix based approach to the network was taken, where each web of weights or biases formed a matrix to be used for computation. This results in a cleaner implementation with less for loops than the iterative coding solution, and also supports batch updating</w:t>
      </w:r>
      <w:r w:rsidR="00114618">
        <w:t xml:space="preserve"> with multiple inputs at once. For example, instead of a single input of </w:t>
      </w:r>
      <w:r w:rsidR="00114618" w:rsidRPr="00CE4FBC">
        <w:rPr>
          <w:rFonts w:ascii="Consolas" w:hAnsi="Consolas"/>
        </w:rPr>
        <w:t>double[4][1]</w:t>
      </w:r>
      <w:r w:rsidR="00114618">
        <w:t xml:space="preserve">, we can have </w:t>
      </w:r>
      <w:r w:rsidR="00114618" w:rsidRPr="00CE4FBC">
        <w:rPr>
          <w:rFonts w:ascii="Consolas" w:hAnsi="Consolas"/>
        </w:rPr>
        <w:t>double[4][n]</w:t>
      </w:r>
      <w:r w:rsidR="00114618">
        <w:t xml:space="preserve"> with n inputs. Similarly, double[n][1] expected results.</w:t>
      </w:r>
    </w:p>
    <w:p w14:paraId="2A75F4DB" w14:textId="011554E9" w:rsidR="00CE4FBC" w:rsidRDefault="00CE4FBC" w:rsidP="00114618">
      <w:r>
        <w:tab/>
        <w:t xml:space="preserve">Inside of the </w:t>
      </w:r>
      <w:r w:rsidRPr="00915030">
        <w:rPr>
          <w:rFonts w:ascii="Consolas" w:hAnsi="Consolas"/>
        </w:rPr>
        <w:t>NeuralNets.pde</w:t>
      </w:r>
      <w:r>
        <w:t xml:space="preserve"> file holds the main method (setup), where the controls for the GUI are located. A number of inputs, outputs, </w:t>
      </w:r>
      <w:r w:rsidR="00822A17">
        <w:t xml:space="preserve">hidden </w:t>
      </w:r>
      <w:r>
        <w:t>layers, and nodes per</w:t>
      </w:r>
      <w:r w:rsidR="00822A17">
        <w:t xml:space="preserve"> hidden</w:t>
      </w:r>
      <w:r>
        <w:t xml:space="preserve"> layer must be specified before clicking initialize. To choose nodes per layer, separate desired sizes with a space. For instance, if your goal is for two hidden layers of size 4 and 3, set the </w:t>
      </w:r>
      <w:r w:rsidR="00DF1B9B">
        <w:t>“</w:t>
      </w:r>
      <w:r w:rsidR="008A23D2">
        <w:t xml:space="preserve">number of </w:t>
      </w:r>
      <w:r w:rsidR="00160C4D">
        <w:t xml:space="preserve">hidden </w:t>
      </w:r>
      <w:r>
        <w:t>layer</w:t>
      </w:r>
      <w:r w:rsidR="008A23D2">
        <w:t>s</w:t>
      </w:r>
      <w:r w:rsidR="002F0904">
        <w:t>”</w:t>
      </w:r>
      <w:r>
        <w:t xml:space="preserve"> field to “2”, and the </w:t>
      </w:r>
      <w:r w:rsidR="002F0904">
        <w:t>“</w:t>
      </w:r>
      <w:r>
        <w:t xml:space="preserve">nodes per </w:t>
      </w:r>
      <w:r w:rsidR="009A0D29">
        <w:t xml:space="preserve">hidden </w:t>
      </w:r>
      <w:r>
        <w:t>layer</w:t>
      </w:r>
      <w:r w:rsidR="002F0904">
        <w:t>”</w:t>
      </w:r>
      <w:r>
        <w:t xml:space="preserve"> field to “4 3”.</w:t>
      </w:r>
      <w:r w:rsidR="002F0904">
        <w:t xml:space="preserve"> If no hidden layers are desired, set the “hidden layers” field to “0”</w:t>
      </w:r>
      <w:r w:rsidR="003100E4">
        <w:t>, and the “nodes per hidden layer” field can be ignored.</w:t>
      </w:r>
    </w:p>
    <w:p w14:paraId="5F4DD4F7" w14:textId="42958EE8" w:rsidR="00CE4FBC" w:rsidRDefault="00CE4FBC" w:rsidP="00114618">
      <w:r>
        <w:tab/>
        <w:t xml:space="preserve">Since this network is hard-coded to call the functions that generate 4 inputs and 1 output (see </w:t>
      </w:r>
      <w:r w:rsidRPr="00CE4FBC">
        <w:rPr>
          <w:rFonts w:ascii="Consolas" w:hAnsi="Consolas"/>
        </w:rPr>
        <w:t>project1InputSeeded(int)</w:t>
      </w:r>
      <w:r>
        <w:t xml:space="preserve"> and </w:t>
      </w:r>
      <w:r w:rsidRPr="00CE4FBC">
        <w:rPr>
          <w:rFonts w:ascii="Consolas" w:hAnsi="Consolas"/>
        </w:rPr>
        <w:t>project1Output(double[])</w:t>
      </w:r>
      <w:r>
        <w:t>), your input field must say 4 and the output must be 1. Feel free to play with the number of hidden nodes and layers.</w:t>
      </w:r>
      <w:r w:rsidR="000D4116">
        <w:t xml:space="preserve"> </w:t>
      </w:r>
      <w:r w:rsidR="00D83A79">
        <w:t>I’ve been unable t</w:t>
      </w:r>
      <w:r w:rsidR="00001096">
        <w:t>o get a hidden layer with size 2</w:t>
      </w:r>
      <w:r w:rsidR="00D83A79">
        <w:t xml:space="preserve"> to conver</w:t>
      </w:r>
      <w:r w:rsidR="00415C73">
        <w:t>ge, but any single layer with &gt;2</w:t>
      </w:r>
      <w:r w:rsidR="00172AB6">
        <w:t xml:space="preserve"> layers converges. Support for m</w:t>
      </w:r>
      <w:r w:rsidR="00182C13">
        <w:t>ultiple hidden layers is implemented and wor</w:t>
      </w:r>
      <w:r w:rsidR="00AD3CDA">
        <w:t>ks</w:t>
      </w:r>
      <w:bookmarkStart w:id="0" w:name="_GoBack"/>
      <w:bookmarkEnd w:id="0"/>
      <w:r w:rsidR="00182C13">
        <w:t xml:space="preserve"> </w:t>
      </w:r>
      <w:r w:rsidR="00C72EF5">
        <w:t>and successfully converged with hidden layers of size 4 and 3 (see Figure 4).</w:t>
      </w:r>
      <w:r w:rsidR="00182C13">
        <w:t xml:space="preserve"> </w:t>
      </w:r>
    </w:p>
    <w:p w14:paraId="5789BFB5" w14:textId="4ABDA658" w:rsidR="00DC08F8" w:rsidRDefault="00182C13" w:rsidP="00182C13">
      <w:r>
        <w:tab/>
        <w:t>The GUI shows connections, weights, biases, inputs, and desired outputs. The speed of training can be adjusted with the slider on the bottom part of the screen. The integer it is set to is the time in milliseconds between each update. Increase the delay to see the network’s current cost, input, and output.</w:t>
      </w:r>
      <w:r w:rsidR="00625FE2">
        <w:t xml:space="preserve"> </w:t>
      </w:r>
      <w:r w:rsidR="00B06296">
        <w:t>Once “Begin”</w:t>
      </w:r>
      <w:r w:rsidR="005F1CE5">
        <w:t xml:space="preserve"> is clicked, the initialized network will train until all errors for an epoch are less than 0.05.</w:t>
      </w:r>
    </w:p>
    <w:p w14:paraId="7A017FCA" w14:textId="77777777" w:rsidR="00CC4948" w:rsidRDefault="00625FE2" w:rsidP="00625FE2">
      <w:r>
        <w:tab/>
      </w:r>
      <w:r w:rsidR="00915030" w:rsidRPr="00915030">
        <w:rPr>
          <w:rFonts w:ascii="Consolas" w:hAnsi="Consolas"/>
        </w:rPr>
        <w:t>Networks.pde</w:t>
      </w:r>
      <w:r w:rsidR="00915030">
        <w:t xml:space="preserve"> holds the neural network information. Here, you’ll find the SigmoidNetwork being used, and the MPNetwork used for homework 1.</w:t>
      </w:r>
      <w:r w:rsidR="00AF6558">
        <w:t xml:space="preserve"> </w:t>
      </w:r>
      <w:r w:rsidR="00CC4948">
        <w:t xml:space="preserve">Both extend from the parent class Network. </w:t>
      </w:r>
    </w:p>
    <w:p w14:paraId="5FF64A45" w14:textId="041DBCA1" w:rsidR="00DC08F8" w:rsidRDefault="00CC4948" w:rsidP="00CC4948">
      <w:pPr>
        <w:ind w:firstLine="720"/>
      </w:pPr>
      <w:r>
        <w:t xml:space="preserve">The network must first be initialized through </w:t>
      </w:r>
      <w:r w:rsidRPr="00CC4948">
        <w:rPr>
          <w:rFonts w:ascii="Consolas" w:hAnsi="Consolas"/>
        </w:rPr>
        <w:t>Initialize</w:t>
      </w:r>
      <w:r>
        <w:rPr>
          <w:rFonts w:ascii="Consolas" w:hAnsi="Consolas"/>
        </w:rPr>
        <w:t>()</w:t>
      </w:r>
      <w:r>
        <w:t>. This is used to create the network architecture and randomize weights and biases between -1 and 1.</w:t>
      </w:r>
      <w:r w:rsidR="00702AF7">
        <w:t xml:space="preserve"> From here, the main method will create a thread to train the network using the </w:t>
      </w:r>
      <w:r w:rsidR="00702AF7" w:rsidRPr="00702AF7">
        <w:rPr>
          <w:rFonts w:ascii="Consolas" w:hAnsi="Consolas"/>
        </w:rPr>
        <w:t>Train(double[], double[])</w:t>
      </w:r>
      <w:r w:rsidR="00702AF7">
        <w:t xml:space="preserve"> function. This takes the input and desired output and </w:t>
      </w:r>
      <w:r w:rsidR="00AC31FD">
        <w:t>performs weight updates based on feedforward and backpropagation.</w:t>
      </w:r>
      <w:r w:rsidR="00D45264">
        <w:t xml:space="preserve"> </w:t>
      </w:r>
    </w:p>
    <w:p w14:paraId="04C4ECFF" w14:textId="4FEEDDEF" w:rsidR="00992693" w:rsidRDefault="00992693" w:rsidP="00EA2A80">
      <w:pPr>
        <w:ind w:firstLine="720"/>
        <w:rPr>
          <w:rFonts w:eastAsiaTheme="minorEastAsia"/>
        </w:rPr>
      </w:pPr>
      <w:r>
        <w:t xml:space="preserve">Inside of </w:t>
      </w:r>
      <w:r w:rsidR="00EA2A80" w:rsidRPr="00702AF7">
        <w:rPr>
          <w:rFonts w:ascii="Consolas" w:hAnsi="Consolas"/>
        </w:rPr>
        <w:t>Train(double[], double[])</w:t>
      </w:r>
      <w:r w:rsidR="00EA2A80">
        <w:t xml:space="preserve"> </w:t>
      </w:r>
      <w:r>
        <w:t xml:space="preserve"> are a number of fields that store important information. Since backpropagation relies on the values of the nodes before activation (and before an update), the values passed in to the nodes, </w:t>
      </w:r>
      <m:oMath>
        <m:sSub>
          <m:sSubPr>
            <m:ctrlPr>
              <w:rPr>
                <w:rFonts w:ascii="Cambria Math" w:hAnsi="Cambria Math"/>
                <w:i/>
              </w:rPr>
            </m:ctrlPr>
          </m:sSubPr>
          <m:e>
            <m:r>
              <w:rPr>
                <w:rFonts w:ascii="Cambria Math" w:hAnsi="Cambria Math"/>
              </w:rPr>
              <m:t>v</m:t>
            </m:r>
          </m:e>
          <m:sub>
            <m:r>
              <w:rPr>
                <w:rFonts w:ascii="Cambria Math" w:hAnsi="Cambria Math"/>
              </w:rPr>
              <m:t>k, j</m:t>
            </m:r>
          </m:sub>
        </m:sSub>
      </m:oMath>
      <w:r>
        <w:rPr>
          <w:rFonts w:eastAsiaTheme="minorEastAsia"/>
        </w:rPr>
        <w:t xml:space="preserve"> in the notes, where </w:t>
      </w:r>
      <m:oMath>
        <m:r>
          <w:rPr>
            <w:rFonts w:ascii="Cambria Math" w:eastAsiaTheme="minorEastAsia" w:hAnsi="Cambria Math"/>
          </w:rPr>
          <m:t>k</m:t>
        </m:r>
      </m:oMath>
      <w:r>
        <w:rPr>
          <w:rFonts w:eastAsiaTheme="minorEastAsia"/>
        </w:rPr>
        <w:t xml:space="preserve"> is the layer and</w:t>
      </w:r>
      <m:oMath>
        <m:r>
          <w:rPr>
            <w:rFonts w:ascii="Cambria Math" w:eastAsiaTheme="minorEastAsia" w:hAnsi="Cambria Math"/>
          </w:rPr>
          <m:t xml:space="preserve"> j</m:t>
        </m:r>
      </m:oMath>
      <w:r>
        <w:rPr>
          <w:rFonts w:eastAsiaTheme="minorEastAsia"/>
        </w:rPr>
        <w:t xml:space="preserve"> is the node, </w:t>
      </w:r>
      <w:r w:rsidR="00EA2A80">
        <w:rPr>
          <w:rFonts w:eastAsiaTheme="minorEastAsia"/>
        </w:rPr>
        <w:t xml:space="preserve">need to be saved. Similarly,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 j</m:t>
            </m:r>
          </m:sub>
        </m:sSub>
      </m:oMath>
      <w:r w:rsidR="00EA2A80">
        <w:rPr>
          <w:rFonts w:eastAsiaTheme="minorEastAsia"/>
        </w:rPr>
        <w:t xml:space="preserve"> </w:t>
      </w:r>
      <w:r w:rsidR="00B710BF">
        <w:rPr>
          <w:rFonts w:eastAsiaTheme="minorEastAsia"/>
        </w:rPr>
        <w:t xml:space="preserve">- </w:t>
      </w:r>
      <w:r w:rsidR="00EA2A80">
        <w:rPr>
          <w:rFonts w:eastAsiaTheme="minorEastAsia"/>
        </w:rPr>
        <w:t xml:space="preserve">the output of the node, is also saved. The pre-activation values are used in </w:t>
      </w:r>
      <w:r w:rsidR="00EA2A80" w:rsidRPr="00EA2A80">
        <w:rPr>
          <w:rFonts w:ascii="Consolas" w:eastAsiaTheme="minorEastAsia" w:hAnsi="Consolas"/>
        </w:rPr>
        <w:t>populateDeltas(Matrix actual, Matrix, ArrayList&lt;Matrix&gt;)</w:t>
      </w:r>
      <w:r w:rsidR="00EA2A80">
        <w:rPr>
          <w:rFonts w:eastAsiaTheme="minorEastAsia"/>
        </w:rPr>
        <w:t xml:space="preserve"> since </w:t>
      </w:r>
      <m:oMath>
        <m:r>
          <w:rPr>
            <w:rFonts w:ascii="Cambria Math" w:eastAsiaTheme="minorEastAsia" w:hAnsi="Cambria Math"/>
          </w:rPr>
          <m:t>φ'(</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 j</m:t>
            </m:r>
          </m:sub>
        </m:sSub>
        <m:r>
          <w:rPr>
            <w:rFonts w:ascii="Cambria Math" w:eastAsiaTheme="minorEastAsia" w:hAnsi="Cambria Math"/>
          </w:rPr>
          <m:t>)</m:t>
        </m:r>
      </m:oMath>
      <w:r w:rsidR="00EA2A80">
        <w:rPr>
          <w:rFonts w:eastAsiaTheme="minorEastAsia"/>
        </w:rPr>
        <w:t xml:space="preserve"> needs to be calculated.</w:t>
      </w:r>
      <w:r w:rsidR="00B710BF">
        <w:rPr>
          <w:rFonts w:eastAsiaTheme="minorEastAsia"/>
        </w:rPr>
        <w:t xml:space="preserve"> The activated values are used </w:t>
      </w:r>
      <w:r w:rsidR="00B710BF">
        <w:rPr>
          <w:rFonts w:eastAsiaTheme="minorEastAsia"/>
        </w:rPr>
        <w:lastRenderedPageBreak/>
        <w:t xml:space="preserve">when calculating </w:t>
      </w:r>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∂W</m:t>
            </m:r>
          </m:den>
        </m:f>
      </m:oMath>
      <w:r w:rsidR="00B710BF">
        <w:rPr>
          <w:rFonts w:eastAsiaTheme="minorEastAsia"/>
        </w:rPr>
        <w:t xml:space="preserve">, because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 j</m:t>
            </m:r>
          </m:sub>
        </m:sSub>
      </m:oMath>
      <w:r w:rsidR="00B710BF">
        <w:rPr>
          <w:rFonts w:eastAsiaTheme="minorEastAsia"/>
        </w:rPr>
        <w:t xml:space="preserve"> is multiplied with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 j</m:t>
            </m:r>
          </m:sub>
        </m:sSub>
      </m:oMath>
      <w:r w:rsidR="009C587F">
        <w:rPr>
          <w:rFonts w:eastAsiaTheme="minorEastAsia"/>
        </w:rPr>
        <w:t xml:space="preserve"> (see </w:t>
      </w:r>
      <w:r w:rsidR="009C587F" w:rsidRPr="009C587F">
        <w:rPr>
          <w:rFonts w:ascii="Consolas" w:eastAsiaTheme="minorEastAsia" w:hAnsi="Consolas"/>
        </w:rPr>
        <w:t>costFunctionPrime(ArrayList&lt;Matrix&gt;, ArrayList&lt;Matrix&gt;</w:t>
      </w:r>
      <w:r w:rsidR="009C587F" w:rsidRPr="009C587F">
        <w:rPr>
          <w:rFonts w:eastAsiaTheme="minorEastAsia"/>
        </w:rPr>
        <w:t>)</w:t>
      </w:r>
      <w:r w:rsidR="009C587F">
        <w:rPr>
          <w:rFonts w:eastAsiaTheme="minorEastAsia"/>
        </w:rPr>
        <w:t>)</w:t>
      </w:r>
      <w:r w:rsidR="00B710BF">
        <w:rPr>
          <w:rFonts w:eastAsiaTheme="minorEastAsia"/>
        </w:rPr>
        <w:t>.</w:t>
      </w:r>
      <w:r w:rsidR="004D1B3A">
        <w:rPr>
          <w:rFonts w:eastAsiaTheme="minorEastAsia"/>
        </w:rPr>
        <w:t xml:space="preserve"> </w:t>
      </w:r>
    </w:p>
    <w:p w14:paraId="1448D948" w14:textId="731F8E32" w:rsidR="0006518F" w:rsidRDefault="0006518F" w:rsidP="00EA2A80">
      <w:pPr>
        <w:ind w:firstLine="720"/>
        <w:rPr>
          <w:rFonts w:eastAsiaTheme="minorEastAsia"/>
        </w:rPr>
      </w:pPr>
      <w:r>
        <w:rPr>
          <w:rFonts w:eastAsiaTheme="minorEastAsia"/>
        </w:rPr>
        <w:t>Learning rate is hard coded as a public variable in the Network class, and is where it was adjust</w:t>
      </w:r>
      <w:r w:rsidR="00DD58C3">
        <w:rPr>
          <w:rFonts w:eastAsiaTheme="minorEastAsia"/>
        </w:rPr>
        <w:t>ed</w:t>
      </w:r>
      <w:r>
        <w:rPr>
          <w:rFonts w:eastAsiaTheme="minorEastAsia"/>
        </w:rPr>
        <w:t xml:space="preserve"> for tests </w:t>
      </w:r>
      <w:r w:rsidR="00440AB8">
        <w:rPr>
          <w:rFonts w:eastAsiaTheme="minorEastAsia"/>
        </w:rPr>
        <w:t xml:space="preserve">seen </w:t>
      </w:r>
      <w:r>
        <w:rPr>
          <w:rFonts w:eastAsiaTheme="minorEastAsia"/>
        </w:rPr>
        <w:t xml:space="preserve">in the Appendix. </w:t>
      </w:r>
    </w:p>
    <w:p w14:paraId="7C11802B" w14:textId="4D31BB08" w:rsidR="0016643E" w:rsidRDefault="0016643E" w:rsidP="00EA2A80">
      <w:pPr>
        <w:ind w:firstLine="720"/>
        <w:rPr>
          <w:rFonts w:eastAsiaTheme="minorEastAsia"/>
        </w:rPr>
      </w:pPr>
      <w:r>
        <w:rPr>
          <w:rFonts w:eastAsiaTheme="minorEastAsia"/>
        </w:rPr>
        <w:t>Testing went well, but would have been more enlightening if I used seeded random variables for my weights. Because of the randomness, it’s difficult to say where convergence would happen the quickest.</w:t>
      </w:r>
      <w:r w:rsidR="00895EE9">
        <w:rPr>
          <w:rFonts w:eastAsiaTheme="minorEastAsia"/>
        </w:rPr>
        <w:t xml:space="preserve"> Following </w:t>
      </w:r>
      <w:r w:rsidR="002B0F4F">
        <w:rPr>
          <w:rFonts w:eastAsiaTheme="minorEastAsia"/>
        </w:rPr>
        <w:t>trend lines</w:t>
      </w:r>
      <w:r w:rsidR="00895EE9">
        <w:rPr>
          <w:rFonts w:eastAsiaTheme="minorEastAsia"/>
        </w:rPr>
        <w:t xml:space="preserve"> from Figure 3, </w:t>
      </w:r>
      <w:r w:rsidR="002B0F4F">
        <w:rPr>
          <w:rFonts w:eastAsiaTheme="minorEastAsia"/>
        </w:rPr>
        <w:t>it appears to show that larger learning rates cause quicker convergence in general.</w:t>
      </w:r>
      <w:r w:rsidR="008D0502">
        <w:rPr>
          <w:rFonts w:eastAsiaTheme="minorEastAsia"/>
        </w:rPr>
        <w:t xml:space="preserve"> However, from the data that I’ve gathered, there is no statistical significance from using momentum or not.</w:t>
      </w:r>
      <w:r w:rsidR="001D62FC">
        <w:rPr>
          <w:rFonts w:eastAsiaTheme="minorEastAsia"/>
        </w:rPr>
        <w:t xml:space="preserve"> </w:t>
      </w:r>
    </w:p>
    <w:p w14:paraId="23F534B0" w14:textId="23340A14" w:rsidR="00185C00" w:rsidRDefault="001D62FC" w:rsidP="00185C00">
      <w:pPr>
        <w:ind w:firstLine="720"/>
        <w:rPr>
          <w:rFonts w:eastAsiaTheme="minorEastAsia"/>
        </w:rPr>
      </w:pPr>
      <w:r>
        <w:rPr>
          <w:rFonts w:eastAsiaTheme="minorEastAsia"/>
        </w:rPr>
        <w:t xml:space="preserve">I had expected convergence to be quicker, but began to notice a pattern while training. Inputs 0000 through 1110 would have decreasing errors, while 1111 would increase. The cost function for every input except 1111 would be &lt;0.05, while 1111 would be above 0.3. This would happen after some number of epochs, and then the cost for 1111 would slowly begin declining until convergence. </w:t>
      </w:r>
      <w:r w:rsidR="00185C00">
        <w:rPr>
          <w:rFonts w:eastAsiaTheme="minorEastAsia"/>
        </w:rPr>
        <w:t xml:space="preserve">This happens with each learning rate chosen. </w:t>
      </w:r>
    </w:p>
    <w:p w14:paraId="1E7363F4" w14:textId="329AC292" w:rsidR="00185C00" w:rsidRDefault="00185C00" w:rsidP="00185C00">
      <w:pPr>
        <w:ind w:firstLine="720"/>
        <w:rPr>
          <w:rFonts w:eastAsiaTheme="minorEastAsia"/>
        </w:rPr>
      </w:pPr>
      <w:r>
        <w:rPr>
          <w:rFonts w:eastAsiaTheme="minorEastAsia"/>
        </w:rPr>
        <w:t xml:space="preserve">I’ve also observed that the network converges faster with a larger hidden layer. With a hidden layer of 16 nodes, my network took 3183, 1695, 2908, </w:t>
      </w:r>
      <w:r w:rsidR="0045063F">
        <w:rPr>
          <w:rFonts w:eastAsiaTheme="minorEastAsia"/>
        </w:rPr>
        <w:t>8941, and 2686 epochs with the first 5 trials and a learning rate of 0.35.</w:t>
      </w:r>
      <w:r w:rsidR="00894109">
        <w:rPr>
          <w:rFonts w:eastAsiaTheme="minorEastAsia"/>
        </w:rPr>
        <w:t xml:space="preserve"> On average, this took less that 5 seconds each (and was more fun to watch).</w:t>
      </w:r>
    </w:p>
    <w:p w14:paraId="46AEF9E9" w14:textId="57F3D185" w:rsidR="005575E3" w:rsidRPr="00185C00" w:rsidRDefault="005575E3" w:rsidP="00185C00">
      <w:pPr>
        <w:ind w:firstLine="720"/>
        <w:rPr>
          <w:rFonts w:eastAsiaTheme="minorEastAsia"/>
        </w:rPr>
      </w:pPr>
      <w:r>
        <w:rPr>
          <w:rFonts w:eastAsiaTheme="minorEastAsia"/>
        </w:rPr>
        <w:t>After some point, the network takes too long to converge. With 64 nodes in my hidden layer, the cost remained at 0.499999 for most inputs.</w:t>
      </w:r>
      <w:r w:rsidR="00EB12F5">
        <w:rPr>
          <w:rFonts w:eastAsiaTheme="minorEastAsia"/>
        </w:rPr>
        <w:t xml:space="preserve"> A similar result happens with deeper networks; expanding to 2 or 3 hidden layers makes the cost sit at around 0.125.</w:t>
      </w:r>
    </w:p>
    <w:p w14:paraId="068C1B3A" w14:textId="77777777" w:rsidR="00DC08F8" w:rsidRDefault="00DC08F8" w:rsidP="004D47AE">
      <w:pPr>
        <w:jc w:val="center"/>
      </w:pPr>
    </w:p>
    <w:p w14:paraId="47FD3199" w14:textId="77777777" w:rsidR="00DC08F8" w:rsidRDefault="00DC08F8" w:rsidP="004D47AE">
      <w:pPr>
        <w:jc w:val="center"/>
      </w:pPr>
    </w:p>
    <w:p w14:paraId="576496E5" w14:textId="77777777" w:rsidR="00DC08F8" w:rsidRDefault="00DC08F8" w:rsidP="004D47AE">
      <w:pPr>
        <w:jc w:val="center"/>
      </w:pPr>
    </w:p>
    <w:p w14:paraId="48FDA0A3" w14:textId="77777777" w:rsidR="00DC08F8" w:rsidRDefault="00DC08F8" w:rsidP="004D47AE">
      <w:pPr>
        <w:jc w:val="center"/>
      </w:pPr>
    </w:p>
    <w:p w14:paraId="45087810" w14:textId="77777777" w:rsidR="00DC08F8" w:rsidRDefault="00DC08F8" w:rsidP="004D47AE">
      <w:pPr>
        <w:jc w:val="center"/>
      </w:pPr>
    </w:p>
    <w:p w14:paraId="70F2D866" w14:textId="77777777" w:rsidR="00DC08F8" w:rsidRDefault="00DC08F8" w:rsidP="004D47AE">
      <w:pPr>
        <w:jc w:val="center"/>
      </w:pPr>
    </w:p>
    <w:p w14:paraId="2F64B20C" w14:textId="77777777" w:rsidR="00DC08F8" w:rsidRDefault="00DC08F8" w:rsidP="004D47AE">
      <w:pPr>
        <w:jc w:val="center"/>
      </w:pPr>
    </w:p>
    <w:p w14:paraId="450F4CE7" w14:textId="77777777" w:rsidR="00DC08F8" w:rsidRDefault="00DC08F8" w:rsidP="004D47AE">
      <w:pPr>
        <w:jc w:val="center"/>
      </w:pPr>
    </w:p>
    <w:p w14:paraId="77060BE3" w14:textId="77777777" w:rsidR="00DC08F8" w:rsidRDefault="00DC08F8" w:rsidP="004D47AE">
      <w:pPr>
        <w:jc w:val="center"/>
      </w:pPr>
    </w:p>
    <w:p w14:paraId="3E02F8BA" w14:textId="77777777" w:rsidR="00DC08F8" w:rsidRDefault="00DC08F8" w:rsidP="004D47AE">
      <w:pPr>
        <w:jc w:val="center"/>
      </w:pPr>
    </w:p>
    <w:p w14:paraId="7DCB9239" w14:textId="77777777" w:rsidR="00DC08F8" w:rsidRDefault="00DC08F8" w:rsidP="004D47AE">
      <w:pPr>
        <w:jc w:val="center"/>
      </w:pPr>
    </w:p>
    <w:p w14:paraId="05B596B6" w14:textId="77777777" w:rsidR="00DC08F8" w:rsidRDefault="00DC08F8" w:rsidP="004D47AE">
      <w:pPr>
        <w:jc w:val="center"/>
      </w:pPr>
    </w:p>
    <w:p w14:paraId="22637D4A" w14:textId="77777777" w:rsidR="00DC08F8" w:rsidRDefault="00DC08F8" w:rsidP="004D47AE">
      <w:pPr>
        <w:jc w:val="center"/>
      </w:pPr>
    </w:p>
    <w:p w14:paraId="5DCA4A0F" w14:textId="77777777" w:rsidR="00DC08F8" w:rsidRDefault="00DC08F8" w:rsidP="004D47AE">
      <w:pPr>
        <w:jc w:val="center"/>
      </w:pPr>
    </w:p>
    <w:p w14:paraId="34881AE9" w14:textId="77777777" w:rsidR="00DC08F8" w:rsidRDefault="00DC08F8" w:rsidP="004D47AE">
      <w:pPr>
        <w:jc w:val="center"/>
      </w:pPr>
    </w:p>
    <w:p w14:paraId="647D20FA" w14:textId="77777777" w:rsidR="00DC08F8" w:rsidRDefault="00DC08F8" w:rsidP="004D47AE">
      <w:pPr>
        <w:jc w:val="center"/>
      </w:pPr>
    </w:p>
    <w:p w14:paraId="59741CF1" w14:textId="77777777" w:rsidR="005658DA" w:rsidRDefault="005658DA" w:rsidP="004D47AE">
      <w:pPr>
        <w:jc w:val="center"/>
      </w:pPr>
    </w:p>
    <w:p w14:paraId="56873C44" w14:textId="77777777" w:rsidR="005658DA" w:rsidRDefault="005658DA" w:rsidP="004D47AE">
      <w:pPr>
        <w:jc w:val="center"/>
      </w:pPr>
    </w:p>
    <w:p w14:paraId="1D1FDA11" w14:textId="77777777" w:rsidR="005658DA" w:rsidRDefault="005658DA" w:rsidP="004D47AE">
      <w:pPr>
        <w:jc w:val="center"/>
      </w:pPr>
    </w:p>
    <w:p w14:paraId="2F6709D6" w14:textId="77777777" w:rsidR="00DC08F8" w:rsidRDefault="00DC08F8" w:rsidP="004D47AE">
      <w:pPr>
        <w:jc w:val="center"/>
      </w:pPr>
    </w:p>
    <w:p w14:paraId="1EF1299D" w14:textId="77777777" w:rsidR="00DC08F8" w:rsidRDefault="00DC08F8" w:rsidP="004D47AE">
      <w:pPr>
        <w:jc w:val="center"/>
      </w:pPr>
    </w:p>
    <w:p w14:paraId="3CDB0FDF" w14:textId="77777777" w:rsidR="005658DA" w:rsidRDefault="005658DA" w:rsidP="00E21132"/>
    <w:p w14:paraId="478D768F" w14:textId="0D0BED86" w:rsidR="004D47AE" w:rsidRDefault="005658DA" w:rsidP="005658DA">
      <w:pPr>
        <w:pStyle w:val="ListParagraph"/>
        <w:jc w:val="center"/>
        <w:rPr>
          <w:b/>
        </w:rPr>
      </w:pPr>
      <w:r>
        <w:rPr>
          <w:b/>
        </w:rPr>
        <w:t>Appendix</w:t>
      </w:r>
    </w:p>
    <w:p w14:paraId="3AFCBDD8" w14:textId="77777777" w:rsidR="005658DA" w:rsidRPr="005658DA" w:rsidRDefault="005658DA" w:rsidP="005658DA">
      <w:pPr>
        <w:pStyle w:val="ListParagraph"/>
        <w:jc w:val="center"/>
        <w:rPr>
          <w:b/>
        </w:rPr>
      </w:pPr>
    </w:p>
    <w:tbl>
      <w:tblPr>
        <w:tblStyle w:val="TableGrid"/>
        <w:tblW w:w="0" w:type="auto"/>
        <w:tblInd w:w="720" w:type="dxa"/>
        <w:tblLook w:val="04A0" w:firstRow="1" w:lastRow="0" w:firstColumn="1" w:lastColumn="0" w:noHBand="0" w:noVBand="1"/>
      </w:tblPr>
      <w:tblGrid>
        <w:gridCol w:w="4295"/>
        <w:gridCol w:w="4335"/>
      </w:tblGrid>
      <w:tr w:rsidR="004D47AE" w14:paraId="2C4E274A" w14:textId="77777777" w:rsidTr="004D47AE">
        <w:tc>
          <w:tcPr>
            <w:tcW w:w="4675" w:type="dxa"/>
          </w:tcPr>
          <w:p w14:paraId="190A227E" w14:textId="77777777" w:rsidR="004D47AE" w:rsidRDefault="00903234" w:rsidP="00903234">
            <w:pPr>
              <w:pStyle w:val="ListParagraph"/>
              <w:ind w:left="0"/>
              <w:jc w:val="center"/>
            </w:pPr>
            <w:r>
              <w:sym w:font="Symbol" w:char="F068"/>
            </w:r>
          </w:p>
        </w:tc>
        <w:tc>
          <w:tcPr>
            <w:tcW w:w="4675" w:type="dxa"/>
          </w:tcPr>
          <w:p w14:paraId="34DA0DBF" w14:textId="77777777" w:rsidR="004D47AE" w:rsidRDefault="00903234" w:rsidP="00903234">
            <w:pPr>
              <w:pStyle w:val="ListParagraph"/>
              <w:ind w:left="0"/>
              <w:jc w:val="center"/>
            </w:pPr>
            <w:r>
              <w:t>Number of Epochs</w:t>
            </w:r>
          </w:p>
        </w:tc>
      </w:tr>
      <w:tr w:rsidR="004D47AE" w14:paraId="0739C922" w14:textId="77777777" w:rsidTr="004D47AE">
        <w:tc>
          <w:tcPr>
            <w:tcW w:w="4675" w:type="dxa"/>
          </w:tcPr>
          <w:p w14:paraId="4D45FFA0" w14:textId="77777777" w:rsidR="004D47AE" w:rsidRDefault="00903234" w:rsidP="004D47AE">
            <w:pPr>
              <w:pStyle w:val="ListParagraph"/>
              <w:ind w:left="0"/>
            </w:pPr>
            <w:r>
              <w:t>0.05</w:t>
            </w:r>
          </w:p>
        </w:tc>
        <w:tc>
          <w:tcPr>
            <w:tcW w:w="4675" w:type="dxa"/>
          </w:tcPr>
          <w:p w14:paraId="116C6A61" w14:textId="64A495DB" w:rsidR="004D47AE" w:rsidRDefault="008A443C" w:rsidP="004D47AE">
            <w:pPr>
              <w:pStyle w:val="ListParagraph"/>
              <w:ind w:left="0"/>
            </w:pPr>
            <w:r>
              <w:t>1102527</w:t>
            </w:r>
          </w:p>
        </w:tc>
      </w:tr>
      <w:tr w:rsidR="004D47AE" w14:paraId="2691795C" w14:textId="77777777" w:rsidTr="004D47AE">
        <w:tc>
          <w:tcPr>
            <w:tcW w:w="4675" w:type="dxa"/>
          </w:tcPr>
          <w:p w14:paraId="4EE5D22D" w14:textId="77777777" w:rsidR="004D47AE" w:rsidRDefault="00903234" w:rsidP="004D47AE">
            <w:pPr>
              <w:pStyle w:val="ListParagraph"/>
              <w:ind w:left="0"/>
            </w:pPr>
            <w:r>
              <w:t>0.1</w:t>
            </w:r>
          </w:p>
        </w:tc>
        <w:tc>
          <w:tcPr>
            <w:tcW w:w="4675" w:type="dxa"/>
          </w:tcPr>
          <w:p w14:paraId="61BCE45C" w14:textId="6861BE71" w:rsidR="004D47AE" w:rsidRDefault="00E05FC9" w:rsidP="004D47AE">
            <w:pPr>
              <w:pStyle w:val="ListParagraph"/>
              <w:ind w:left="0"/>
            </w:pPr>
            <w:r>
              <w:t>10925</w:t>
            </w:r>
          </w:p>
        </w:tc>
      </w:tr>
      <w:tr w:rsidR="004D47AE" w14:paraId="08C2AD97" w14:textId="77777777" w:rsidTr="004D47AE">
        <w:tc>
          <w:tcPr>
            <w:tcW w:w="4675" w:type="dxa"/>
          </w:tcPr>
          <w:p w14:paraId="35E99364" w14:textId="77777777" w:rsidR="004D47AE" w:rsidRDefault="00903234" w:rsidP="004D47AE">
            <w:pPr>
              <w:pStyle w:val="ListParagraph"/>
              <w:ind w:left="0"/>
            </w:pPr>
            <w:r>
              <w:t>0.15</w:t>
            </w:r>
          </w:p>
        </w:tc>
        <w:tc>
          <w:tcPr>
            <w:tcW w:w="4675" w:type="dxa"/>
          </w:tcPr>
          <w:p w14:paraId="5CC83C6B" w14:textId="319D9578" w:rsidR="004D47AE" w:rsidRDefault="000B24BA" w:rsidP="004D47AE">
            <w:pPr>
              <w:pStyle w:val="ListParagraph"/>
              <w:ind w:left="0"/>
            </w:pPr>
            <w:r>
              <w:t>7204</w:t>
            </w:r>
          </w:p>
        </w:tc>
      </w:tr>
      <w:tr w:rsidR="004D47AE" w14:paraId="7102221C" w14:textId="77777777" w:rsidTr="004D47AE">
        <w:tc>
          <w:tcPr>
            <w:tcW w:w="4675" w:type="dxa"/>
          </w:tcPr>
          <w:p w14:paraId="2F8A2FBB" w14:textId="77777777" w:rsidR="004D47AE" w:rsidRDefault="00903234" w:rsidP="004D47AE">
            <w:pPr>
              <w:pStyle w:val="ListParagraph"/>
              <w:ind w:left="0"/>
            </w:pPr>
            <w:r>
              <w:t>0.2</w:t>
            </w:r>
          </w:p>
        </w:tc>
        <w:tc>
          <w:tcPr>
            <w:tcW w:w="4675" w:type="dxa"/>
          </w:tcPr>
          <w:p w14:paraId="6355E369" w14:textId="60044358" w:rsidR="004D47AE" w:rsidRDefault="00E36765" w:rsidP="004D47AE">
            <w:pPr>
              <w:pStyle w:val="ListParagraph"/>
              <w:ind w:left="0"/>
            </w:pPr>
            <w:r>
              <w:t>43385</w:t>
            </w:r>
          </w:p>
        </w:tc>
      </w:tr>
      <w:tr w:rsidR="004D47AE" w14:paraId="4B20B5C7" w14:textId="77777777" w:rsidTr="004D47AE">
        <w:tc>
          <w:tcPr>
            <w:tcW w:w="4675" w:type="dxa"/>
          </w:tcPr>
          <w:p w14:paraId="79E38CBF" w14:textId="77777777" w:rsidR="004D47AE" w:rsidRDefault="00903234" w:rsidP="004D47AE">
            <w:pPr>
              <w:pStyle w:val="ListParagraph"/>
              <w:ind w:left="0"/>
            </w:pPr>
            <w:r>
              <w:t>0.25</w:t>
            </w:r>
          </w:p>
        </w:tc>
        <w:tc>
          <w:tcPr>
            <w:tcW w:w="4675" w:type="dxa"/>
          </w:tcPr>
          <w:p w14:paraId="299B6FE7" w14:textId="7F4A2C73" w:rsidR="004D47AE" w:rsidRDefault="006750FF" w:rsidP="004D47AE">
            <w:pPr>
              <w:pStyle w:val="ListParagraph"/>
              <w:ind w:left="0"/>
            </w:pPr>
            <w:r>
              <w:t>133532</w:t>
            </w:r>
          </w:p>
        </w:tc>
      </w:tr>
      <w:tr w:rsidR="004D47AE" w14:paraId="06A7089E" w14:textId="77777777" w:rsidTr="004D47AE">
        <w:tc>
          <w:tcPr>
            <w:tcW w:w="4675" w:type="dxa"/>
          </w:tcPr>
          <w:p w14:paraId="40EA6A5C" w14:textId="77777777" w:rsidR="004D47AE" w:rsidRDefault="00903234" w:rsidP="004D47AE">
            <w:pPr>
              <w:pStyle w:val="ListParagraph"/>
              <w:ind w:left="0"/>
            </w:pPr>
            <w:r>
              <w:t>0.3</w:t>
            </w:r>
          </w:p>
        </w:tc>
        <w:tc>
          <w:tcPr>
            <w:tcW w:w="4675" w:type="dxa"/>
          </w:tcPr>
          <w:p w14:paraId="7BFF27CE" w14:textId="5E8A09FA" w:rsidR="004D47AE" w:rsidRDefault="00A27C82" w:rsidP="004D47AE">
            <w:pPr>
              <w:pStyle w:val="ListParagraph"/>
              <w:ind w:left="0"/>
            </w:pPr>
            <w:r>
              <w:t>120385</w:t>
            </w:r>
          </w:p>
        </w:tc>
      </w:tr>
      <w:tr w:rsidR="004D47AE" w14:paraId="76DC49F1" w14:textId="77777777" w:rsidTr="004D47AE">
        <w:tc>
          <w:tcPr>
            <w:tcW w:w="4675" w:type="dxa"/>
          </w:tcPr>
          <w:p w14:paraId="510255C3" w14:textId="77777777" w:rsidR="004D47AE" w:rsidRDefault="00903234" w:rsidP="004D47AE">
            <w:pPr>
              <w:pStyle w:val="ListParagraph"/>
              <w:ind w:left="0"/>
            </w:pPr>
            <w:r>
              <w:t>0.35</w:t>
            </w:r>
          </w:p>
        </w:tc>
        <w:tc>
          <w:tcPr>
            <w:tcW w:w="4675" w:type="dxa"/>
          </w:tcPr>
          <w:p w14:paraId="61A0F4CD" w14:textId="37E9EB43" w:rsidR="004D47AE" w:rsidRDefault="005578A2" w:rsidP="004D47AE">
            <w:pPr>
              <w:pStyle w:val="ListParagraph"/>
              <w:ind w:left="0"/>
            </w:pPr>
            <w:r>
              <w:t>24681</w:t>
            </w:r>
          </w:p>
        </w:tc>
      </w:tr>
      <w:tr w:rsidR="00903234" w14:paraId="16F2E05D" w14:textId="77777777" w:rsidTr="00903234">
        <w:trPr>
          <w:trHeight w:val="260"/>
        </w:trPr>
        <w:tc>
          <w:tcPr>
            <w:tcW w:w="4675" w:type="dxa"/>
          </w:tcPr>
          <w:p w14:paraId="7C0D8AD9" w14:textId="77777777" w:rsidR="00903234" w:rsidRDefault="00903234" w:rsidP="004D47AE">
            <w:pPr>
              <w:pStyle w:val="ListParagraph"/>
              <w:ind w:left="0"/>
            </w:pPr>
            <w:r>
              <w:t>0.4</w:t>
            </w:r>
          </w:p>
        </w:tc>
        <w:tc>
          <w:tcPr>
            <w:tcW w:w="4675" w:type="dxa"/>
          </w:tcPr>
          <w:p w14:paraId="2E94A10B" w14:textId="2AFD7A84" w:rsidR="00903234" w:rsidRDefault="00A9073F" w:rsidP="004D47AE">
            <w:pPr>
              <w:pStyle w:val="ListParagraph"/>
              <w:ind w:left="0"/>
            </w:pPr>
            <w:r>
              <w:t>108960</w:t>
            </w:r>
          </w:p>
        </w:tc>
      </w:tr>
      <w:tr w:rsidR="00903234" w14:paraId="258E4ECE" w14:textId="77777777" w:rsidTr="0016643E">
        <w:trPr>
          <w:trHeight w:val="341"/>
        </w:trPr>
        <w:tc>
          <w:tcPr>
            <w:tcW w:w="4675" w:type="dxa"/>
          </w:tcPr>
          <w:p w14:paraId="7E96208E" w14:textId="77777777" w:rsidR="00903234" w:rsidRDefault="00903234" w:rsidP="004D47AE">
            <w:pPr>
              <w:pStyle w:val="ListParagraph"/>
              <w:ind w:left="0"/>
            </w:pPr>
            <w:r>
              <w:t>0.45</w:t>
            </w:r>
          </w:p>
        </w:tc>
        <w:tc>
          <w:tcPr>
            <w:tcW w:w="4675" w:type="dxa"/>
          </w:tcPr>
          <w:p w14:paraId="606BE072" w14:textId="1D9ECD2B" w:rsidR="00903234" w:rsidRDefault="006E71D1" w:rsidP="004D47AE">
            <w:pPr>
              <w:pStyle w:val="ListParagraph"/>
              <w:ind w:left="0"/>
            </w:pPr>
            <w:r>
              <w:t>24244</w:t>
            </w:r>
          </w:p>
        </w:tc>
      </w:tr>
      <w:tr w:rsidR="00903234" w14:paraId="0AA8AEA8" w14:textId="77777777" w:rsidTr="0016643E">
        <w:trPr>
          <w:trHeight w:val="242"/>
        </w:trPr>
        <w:tc>
          <w:tcPr>
            <w:tcW w:w="4675" w:type="dxa"/>
          </w:tcPr>
          <w:p w14:paraId="5F72030F" w14:textId="77777777" w:rsidR="00903234" w:rsidRDefault="00903234" w:rsidP="004D47AE">
            <w:pPr>
              <w:pStyle w:val="ListParagraph"/>
              <w:ind w:left="0"/>
            </w:pPr>
            <w:r>
              <w:t>0.5</w:t>
            </w:r>
          </w:p>
        </w:tc>
        <w:tc>
          <w:tcPr>
            <w:tcW w:w="4675" w:type="dxa"/>
          </w:tcPr>
          <w:p w14:paraId="33EC4891" w14:textId="5D78138B" w:rsidR="00903234" w:rsidRDefault="005A2A53" w:rsidP="004D47AE">
            <w:pPr>
              <w:pStyle w:val="ListParagraph"/>
              <w:ind w:left="0"/>
            </w:pPr>
            <w:r>
              <w:t>9685</w:t>
            </w:r>
          </w:p>
        </w:tc>
      </w:tr>
    </w:tbl>
    <w:p w14:paraId="04411D8E" w14:textId="0EA14F2A" w:rsidR="004D47AE" w:rsidRDefault="00592B69" w:rsidP="00592B69">
      <w:pPr>
        <w:jc w:val="center"/>
      </w:pPr>
      <w:r w:rsidRPr="00895EE9">
        <w:rPr>
          <w:b/>
        </w:rPr>
        <w:t>Figure 1</w:t>
      </w:r>
      <w:r>
        <w:t>: learning rate affecting convergence without momentum</w:t>
      </w:r>
      <w:r w:rsidR="00454D8F">
        <w:t>, data sampled on Feb 11, 2018</w:t>
      </w:r>
    </w:p>
    <w:p w14:paraId="111AE359" w14:textId="533762C8" w:rsidR="00B64FF5" w:rsidRDefault="00B64FF5" w:rsidP="0016643E">
      <w:pPr>
        <w:pStyle w:val="ListParagraph"/>
      </w:pPr>
    </w:p>
    <w:tbl>
      <w:tblPr>
        <w:tblStyle w:val="TableGrid"/>
        <w:tblW w:w="0" w:type="auto"/>
        <w:tblInd w:w="720" w:type="dxa"/>
        <w:tblLook w:val="04A0" w:firstRow="1" w:lastRow="0" w:firstColumn="1" w:lastColumn="0" w:noHBand="0" w:noVBand="1"/>
      </w:tblPr>
      <w:tblGrid>
        <w:gridCol w:w="4297"/>
        <w:gridCol w:w="4333"/>
      </w:tblGrid>
      <w:tr w:rsidR="00B64FF5" w14:paraId="4477BE16" w14:textId="77777777" w:rsidTr="00103E21">
        <w:tc>
          <w:tcPr>
            <w:tcW w:w="4675" w:type="dxa"/>
          </w:tcPr>
          <w:p w14:paraId="3F33C27F" w14:textId="77777777" w:rsidR="00B64FF5" w:rsidRDefault="00B64FF5" w:rsidP="00103E21">
            <w:pPr>
              <w:pStyle w:val="ListParagraph"/>
              <w:ind w:left="0"/>
              <w:jc w:val="center"/>
            </w:pPr>
            <w:r>
              <w:sym w:font="Symbol" w:char="F068"/>
            </w:r>
          </w:p>
        </w:tc>
        <w:tc>
          <w:tcPr>
            <w:tcW w:w="4675" w:type="dxa"/>
          </w:tcPr>
          <w:p w14:paraId="3FB95828" w14:textId="77777777" w:rsidR="00B64FF5" w:rsidRDefault="00B64FF5" w:rsidP="00103E21">
            <w:pPr>
              <w:pStyle w:val="ListParagraph"/>
              <w:ind w:left="0"/>
              <w:jc w:val="center"/>
            </w:pPr>
            <w:r>
              <w:t>Number of Epochs</w:t>
            </w:r>
          </w:p>
        </w:tc>
      </w:tr>
      <w:tr w:rsidR="00B64FF5" w14:paraId="54DF13FB" w14:textId="77777777" w:rsidTr="00103E21">
        <w:tc>
          <w:tcPr>
            <w:tcW w:w="4675" w:type="dxa"/>
          </w:tcPr>
          <w:p w14:paraId="40C43DBD" w14:textId="77777777" w:rsidR="00B64FF5" w:rsidRDefault="00B64FF5" w:rsidP="00103E21">
            <w:pPr>
              <w:pStyle w:val="ListParagraph"/>
              <w:ind w:left="0"/>
            </w:pPr>
            <w:r>
              <w:t>0.05</w:t>
            </w:r>
          </w:p>
        </w:tc>
        <w:tc>
          <w:tcPr>
            <w:tcW w:w="4675" w:type="dxa"/>
          </w:tcPr>
          <w:p w14:paraId="43815D24" w14:textId="1309E479" w:rsidR="00B64FF5" w:rsidRDefault="004A0FAD" w:rsidP="00103E21">
            <w:pPr>
              <w:pStyle w:val="ListParagraph"/>
              <w:ind w:left="0"/>
            </w:pPr>
            <w:r>
              <w:t>601854</w:t>
            </w:r>
          </w:p>
        </w:tc>
      </w:tr>
      <w:tr w:rsidR="00B64FF5" w14:paraId="5A676BD6" w14:textId="77777777" w:rsidTr="00103E21">
        <w:tc>
          <w:tcPr>
            <w:tcW w:w="4675" w:type="dxa"/>
          </w:tcPr>
          <w:p w14:paraId="0D0E5F3A" w14:textId="77777777" w:rsidR="00B64FF5" w:rsidRDefault="00B64FF5" w:rsidP="00103E21">
            <w:pPr>
              <w:pStyle w:val="ListParagraph"/>
              <w:ind w:left="0"/>
            </w:pPr>
            <w:r>
              <w:t>0.1</w:t>
            </w:r>
          </w:p>
        </w:tc>
        <w:tc>
          <w:tcPr>
            <w:tcW w:w="4675" w:type="dxa"/>
          </w:tcPr>
          <w:p w14:paraId="7B67DBC7" w14:textId="5F2F7963" w:rsidR="00B64FF5" w:rsidRDefault="00447738" w:rsidP="00103E21">
            <w:pPr>
              <w:pStyle w:val="ListParagraph"/>
              <w:ind w:left="0"/>
            </w:pPr>
            <w:r>
              <w:t>552704</w:t>
            </w:r>
          </w:p>
        </w:tc>
      </w:tr>
      <w:tr w:rsidR="00B64FF5" w14:paraId="637400F4" w14:textId="77777777" w:rsidTr="00103E21">
        <w:tc>
          <w:tcPr>
            <w:tcW w:w="4675" w:type="dxa"/>
          </w:tcPr>
          <w:p w14:paraId="4CA0C509" w14:textId="77777777" w:rsidR="00B64FF5" w:rsidRDefault="00B64FF5" w:rsidP="00103E21">
            <w:pPr>
              <w:pStyle w:val="ListParagraph"/>
              <w:ind w:left="0"/>
            </w:pPr>
            <w:r>
              <w:t>0.15</w:t>
            </w:r>
          </w:p>
        </w:tc>
        <w:tc>
          <w:tcPr>
            <w:tcW w:w="4675" w:type="dxa"/>
          </w:tcPr>
          <w:p w14:paraId="4EB3D15F" w14:textId="46505128" w:rsidR="00B64FF5" w:rsidRDefault="00303948" w:rsidP="008B4DE2">
            <w:pPr>
              <w:pStyle w:val="ListParagraph"/>
              <w:ind w:left="0"/>
            </w:pPr>
            <w:r>
              <w:t>11</w:t>
            </w:r>
            <w:r w:rsidR="003277C0">
              <w:t>9068</w:t>
            </w:r>
          </w:p>
        </w:tc>
      </w:tr>
      <w:tr w:rsidR="00B64FF5" w14:paraId="7BB395F1" w14:textId="77777777" w:rsidTr="00103E21">
        <w:tc>
          <w:tcPr>
            <w:tcW w:w="4675" w:type="dxa"/>
          </w:tcPr>
          <w:p w14:paraId="74556981" w14:textId="77777777" w:rsidR="00B64FF5" w:rsidRDefault="00B64FF5" w:rsidP="00103E21">
            <w:pPr>
              <w:pStyle w:val="ListParagraph"/>
              <w:ind w:left="0"/>
            </w:pPr>
            <w:r>
              <w:t>0.2</w:t>
            </w:r>
          </w:p>
        </w:tc>
        <w:tc>
          <w:tcPr>
            <w:tcW w:w="4675" w:type="dxa"/>
          </w:tcPr>
          <w:p w14:paraId="0BBD640A" w14:textId="72A98839" w:rsidR="00B64FF5" w:rsidRDefault="00DA65CB" w:rsidP="00103E21">
            <w:pPr>
              <w:pStyle w:val="ListParagraph"/>
              <w:ind w:left="0"/>
            </w:pPr>
            <w:r>
              <w:t>21634</w:t>
            </w:r>
          </w:p>
        </w:tc>
      </w:tr>
      <w:tr w:rsidR="00B64FF5" w14:paraId="3B56C74C" w14:textId="77777777" w:rsidTr="00103E21">
        <w:tc>
          <w:tcPr>
            <w:tcW w:w="4675" w:type="dxa"/>
          </w:tcPr>
          <w:p w14:paraId="338C353D" w14:textId="77777777" w:rsidR="00B64FF5" w:rsidRDefault="00B64FF5" w:rsidP="00103E21">
            <w:pPr>
              <w:pStyle w:val="ListParagraph"/>
              <w:ind w:left="0"/>
            </w:pPr>
            <w:r>
              <w:t>0.25</w:t>
            </w:r>
          </w:p>
        </w:tc>
        <w:tc>
          <w:tcPr>
            <w:tcW w:w="4675" w:type="dxa"/>
          </w:tcPr>
          <w:p w14:paraId="24E33436" w14:textId="20D7DBC2" w:rsidR="00B64FF5" w:rsidRDefault="009134FA" w:rsidP="00103E21">
            <w:pPr>
              <w:pStyle w:val="ListParagraph"/>
              <w:ind w:left="0"/>
            </w:pPr>
            <w:r>
              <w:t>16688</w:t>
            </w:r>
          </w:p>
        </w:tc>
      </w:tr>
      <w:tr w:rsidR="00B64FF5" w14:paraId="51BA9890" w14:textId="77777777" w:rsidTr="00103E21">
        <w:tc>
          <w:tcPr>
            <w:tcW w:w="4675" w:type="dxa"/>
          </w:tcPr>
          <w:p w14:paraId="0B28739F" w14:textId="77777777" w:rsidR="00B64FF5" w:rsidRDefault="00B64FF5" w:rsidP="00103E21">
            <w:pPr>
              <w:pStyle w:val="ListParagraph"/>
              <w:ind w:left="0"/>
            </w:pPr>
            <w:r>
              <w:t>0.3</w:t>
            </w:r>
          </w:p>
        </w:tc>
        <w:tc>
          <w:tcPr>
            <w:tcW w:w="4675" w:type="dxa"/>
          </w:tcPr>
          <w:p w14:paraId="29E85967" w14:textId="6A001434" w:rsidR="00B64FF5" w:rsidRDefault="000513EF" w:rsidP="00103E21">
            <w:pPr>
              <w:pStyle w:val="ListParagraph"/>
              <w:ind w:left="0"/>
            </w:pPr>
            <w:r>
              <w:t>51789</w:t>
            </w:r>
          </w:p>
        </w:tc>
      </w:tr>
      <w:tr w:rsidR="00B64FF5" w14:paraId="4834138E" w14:textId="77777777" w:rsidTr="00103E21">
        <w:tc>
          <w:tcPr>
            <w:tcW w:w="4675" w:type="dxa"/>
          </w:tcPr>
          <w:p w14:paraId="7E7BA579" w14:textId="77777777" w:rsidR="00B64FF5" w:rsidRDefault="00B64FF5" w:rsidP="00103E21">
            <w:pPr>
              <w:pStyle w:val="ListParagraph"/>
              <w:ind w:left="0"/>
            </w:pPr>
            <w:r>
              <w:t>0.35</w:t>
            </w:r>
          </w:p>
        </w:tc>
        <w:tc>
          <w:tcPr>
            <w:tcW w:w="4675" w:type="dxa"/>
          </w:tcPr>
          <w:p w14:paraId="68881900" w14:textId="44293FD5" w:rsidR="00B64FF5" w:rsidRDefault="001C51C9" w:rsidP="00103E21">
            <w:pPr>
              <w:pStyle w:val="ListParagraph"/>
              <w:ind w:left="0"/>
            </w:pPr>
            <w:r>
              <w:t>1651</w:t>
            </w:r>
          </w:p>
        </w:tc>
      </w:tr>
      <w:tr w:rsidR="00B64FF5" w14:paraId="110F6128" w14:textId="77777777" w:rsidTr="00103E21">
        <w:trPr>
          <w:trHeight w:val="260"/>
        </w:trPr>
        <w:tc>
          <w:tcPr>
            <w:tcW w:w="4675" w:type="dxa"/>
          </w:tcPr>
          <w:p w14:paraId="10DF0069" w14:textId="77777777" w:rsidR="00B64FF5" w:rsidRDefault="00B64FF5" w:rsidP="00103E21">
            <w:pPr>
              <w:pStyle w:val="ListParagraph"/>
              <w:ind w:left="0"/>
            </w:pPr>
            <w:r>
              <w:t>0.4</w:t>
            </w:r>
          </w:p>
        </w:tc>
        <w:tc>
          <w:tcPr>
            <w:tcW w:w="4675" w:type="dxa"/>
          </w:tcPr>
          <w:p w14:paraId="561F7D1B" w14:textId="5F42CBA5" w:rsidR="00B64FF5" w:rsidRDefault="006B535D" w:rsidP="00103E21">
            <w:pPr>
              <w:pStyle w:val="ListParagraph"/>
              <w:ind w:left="0"/>
            </w:pPr>
            <w:r>
              <w:t>104500</w:t>
            </w:r>
          </w:p>
        </w:tc>
      </w:tr>
      <w:tr w:rsidR="00B64FF5" w14:paraId="6A5ED6EC" w14:textId="77777777" w:rsidTr="00103E21">
        <w:trPr>
          <w:trHeight w:val="260"/>
        </w:trPr>
        <w:tc>
          <w:tcPr>
            <w:tcW w:w="4675" w:type="dxa"/>
          </w:tcPr>
          <w:p w14:paraId="160F0809" w14:textId="77777777" w:rsidR="00B64FF5" w:rsidRDefault="00B64FF5" w:rsidP="00103E21">
            <w:pPr>
              <w:pStyle w:val="ListParagraph"/>
              <w:ind w:left="0"/>
            </w:pPr>
            <w:r>
              <w:t>0.45</w:t>
            </w:r>
          </w:p>
        </w:tc>
        <w:tc>
          <w:tcPr>
            <w:tcW w:w="4675" w:type="dxa"/>
          </w:tcPr>
          <w:p w14:paraId="59B40634" w14:textId="0BBD073A" w:rsidR="00B64FF5" w:rsidRDefault="00FC513B" w:rsidP="00103E21">
            <w:pPr>
              <w:pStyle w:val="ListParagraph"/>
              <w:ind w:left="0"/>
            </w:pPr>
            <w:r>
              <w:t>27634</w:t>
            </w:r>
          </w:p>
        </w:tc>
      </w:tr>
      <w:tr w:rsidR="00B64FF5" w14:paraId="2B7BFC9C" w14:textId="77777777" w:rsidTr="00103E21">
        <w:trPr>
          <w:trHeight w:val="260"/>
        </w:trPr>
        <w:tc>
          <w:tcPr>
            <w:tcW w:w="4675" w:type="dxa"/>
          </w:tcPr>
          <w:p w14:paraId="53681A5D" w14:textId="77777777" w:rsidR="00B64FF5" w:rsidRDefault="00B64FF5" w:rsidP="00103E21">
            <w:pPr>
              <w:pStyle w:val="ListParagraph"/>
              <w:ind w:left="0"/>
            </w:pPr>
            <w:r>
              <w:t>0.5</w:t>
            </w:r>
          </w:p>
        </w:tc>
        <w:tc>
          <w:tcPr>
            <w:tcW w:w="4675" w:type="dxa"/>
          </w:tcPr>
          <w:p w14:paraId="5BC83A93" w14:textId="0F1AEA39" w:rsidR="00B64FF5" w:rsidRDefault="00E97061" w:rsidP="00103E21">
            <w:pPr>
              <w:pStyle w:val="ListParagraph"/>
              <w:ind w:left="0"/>
            </w:pPr>
            <w:r>
              <w:t>67451</w:t>
            </w:r>
          </w:p>
        </w:tc>
      </w:tr>
    </w:tbl>
    <w:p w14:paraId="6BE6A35C" w14:textId="5034A4C1" w:rsidR="00B64FF5" w:rsidRDefault="0078369A" w:rsidP="0078369A">
      <w:pPr>
        <w:pStyle w:val="ListParagraph"/>
        <w:jc w:val="center"/>
        <w:rPr>
          <w:rFonts w:eastAsiaTheme="minorEastAsia"/>
        </w:rPr>
      </w:pPr>
      <w:r w:rsidRPr="00895EE9">
        <w:rPr>
          <w:b/>
        </w:rPr>
        <w:t>Figure 2</w:t>
      </w:r>
      <w:r>
        <w:t>: learning rate affecting convergence with momentum</w:t>
      </w:r>
      <w:r w:rsidR="00C248F6">
        <w:t xml:space="preserve"> and </w:t>
      </w:r>
      <m:oMath>
        <m:r>
          <w:rPr>
            <w:rFonts w:ascii="Cambria Math" w:hAnsi="Cambria Math"/>
          </w:rPr>
          <m:t>α=0.9</m:t>
        </m:r>
      </m:oMath>
      <w:r w:rsidR="00454D8F">
        <w:rPr>
          <w:rFonts w:eastAsiaTheme="minorEastAsia"/>
        </w:rPr>
        <w:t>, data sampled on Feb 11, 2018</w:t>
      </w:r>
    </w:p>
    <w:p w14:paraId="79F51015" w14:textId="77777777" w:rsidR="000C54B9" w:rsidRDefault="000C54B9" w:rsidP="0078369A">
      <w:pPr>
        <w:pStyle w:val="ListParagraph"/>
        <w:jc w:val="center"/>
        <w:rPr>
          <w:rFonts w:eastAsiaTheme="minorEastAsia"/>
        </w:rPr>
      </w:pPr>
    </w:p>
    <w:p w14:paraId="73BBFE62" w14:textId="77777777" w:rsidR="000C54B9" w:rsidRDefault="000C54B9" w:rsidP="000C54B9">
      <w:pPr>
        <w:jc w:val="center"/>
      </w:pPr>
      <w:r>
        <w:rPr>
          <w:noProof/>
        </w:rPr>
        <w:drawing>
          <wp:inline distT="0" distB="0" distL="0" distR="0" wp14:anchorId="37CB3A3F" wp14:editId="4B53D123">
            <wp:extent cx="6109335" cy="3761740"/>
            <wp:effectExtent l="0" t="0" r="12065"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E1ADE34" w14:textId="77777777" w:rsidR="000C54B9" w:rsidRDefault="000C54B9" w:rsidP="000C54B9">
      <w:pPr>
        <w:jc w:val="center"/>
      </w:pPr>
      <w:r w:rsidRPr="00895EE9">
        <w:rPr>
          <w:b/>
        </w:rPr>
        <w:t>Figure 3</w:t>
      </w:r>
      <w:r>
        <w:t>: a graph showing how learning rate and momentum affects convergence speed</w:t>
      </w:r>
    </w:p>
    <w:p w14:paraId="4976F5AE" w14:textId="77777777" w:rsidR="000C54B9" w:rsidRDefault="000C54B9" w:rsidP="0078369A">
      <w:pPr>
        <w:pStyle w:val="ListParagraph"/>
        <w:jc w:val="center"/>
      </w:pPr>
    </w:p>
    <w:p w14:paraId="12AC2B77" w14:textId="24205391" w:rsidR="00815290" w:rsidRDefault="00815290" w:rsidP="0078369A">
      <w:pPr>
        <w:pStyle w:val="ListParagraph"/>
        <w:jc w:val="center"/>
      </w:pPr>
      <w:r>
        <w:rPr>
          <w:noProof/>
        </w:rPr>
        <w:drawing>
          <wp:inline distT="0" distB="0" distL="0" distR="0" wp14:anchorId="59E5BF32" wp14:editId="492C2BB8">
            <wp:extent cx="5423535" cy="3278329"/>
            <wp:effectExtent l="0" t="0" r="0" b="0"/>
            <wp:docPr id="2" name="Picture 2" descr="../../../../Desktop/Screen%20Shot%202018-02-11%20at%207.4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2-11%20at%207.41.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0878" cy="3288812"/>
                    </a:xfrm>
                    <a:prstGeom prst="rect">
                      <a:avLst/>
                    </a:prstGeom>
                    <a:noFill/>
                    <a:ln>
                      <a:noFill/>
                    </a:ln>
                  </pic:spPr>
                </pic:pic>
              </a:graphicData>
            </a:graphic>
          </wp:inline>
        </w:drawing>
      </w:r>
    </w:p>
    <w:p w14:paraId="3E961353" w14:textId="3789F28D" w:rsidR="00815290" w:rsidRPr="00815290" w:rsidRDefault="00815290" w:rsidP="0078369A">
      <w:pPr>
        <w:pStyle w:val="ListParagraph"/>
        <w:jc w:val="center"/>
      </w:pPr>
      <w:r>
        <w:rPr>
          <w:b/>
        </w:rPr>
        <w:t xml:space="preserve">Figure 4: </w:t>
      </w:r>
      <w:r>
        <w:t>Example of the NeuralNets applet GUI after a deep network was trained on the project function. This converged after 57845 epochs.</w:t>
      </w:r>
    </w:p>
    <w:sectPr w:rsidR="00815290" w:rsidRPr="00815290" w:rsidSect="00D15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D5434"/>
    <w:multiLevelType w:val="hybridMultilevel"/>
    <w:tmpl w:val="247E3D96"/>
    <w:lvl w:ilvl="0" w:tplc="067C43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015B8E"/>
    <w:multiLevelType w:val="hybridMultilevel"/>
    <w:tmpl w:val="69DCA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7AE"/>
    <w:rsid w:val="00001096"/>
    <w:rsid w:val="0003374A"/>
    <w:rsid w:val="000513EF"/>
    <w:rsid w:val="0006518F"/>
    <w:rsid w:val="000B24BA"/>
    <w:rsid w:val="000C54B9"/>
    <w:rsid w:val="000D4116"/>
    <w:rsid w:val="00114618"/>
    <w:rsid w:val="00160C4D"/>
    <w:rsid w:val="0016643E"/>
    <w:rsid w:val="00172AB6"/>
    <w:rsid w:val="00182C13"/>
    <w:rsid w:val="00185C00"/>
    <w:rsid w:val="001C1097"/>
    <w:rsid w:val="001C51C9"/>
    <w:rsid w:val="001D22C2"/>
    <w:rsid w:val="001D62FC"/>
    <w:rsid w:val="002B0F4F"/>
    <w:rsid w:val="002F0904"/>
    <w:rsid w:val="00303948"/>
    <w:rsid w:val="003100E4"/>
    <w:rsid w:val="003277C0"/>
    <w:rsid w:val="00331B48"/>
    <w:rsid w:val="003339B1"/>
    <w:rsid w:val="003406A8"/>
    <w:rsid w:val="00415C73"/>
    <w:rsid w:val="00440AB8"/>
    <w:rsid w:val="00447738"/>
    <w:rsid w:val="0045063F"/>
    <w:rsid w:val="00454D8F"/>
    <w:rsid w:val="004A0FAD"/>
    <w:rsid w:val="004D1B3A"/>
    <w:rsid w:val="004D47AE"/>
    <w:rsid w:val="005419BB"/>
    <w:rsid w:val="005575E3"/>
    <w:rsid w:val="005578A2"/>
    <w:rsid w:val="005658DA"/>
    <w:rsid w:val="00592B69"/>
    <w:rsid w:val="005A2A53"/>
    <w:rsid w:val="005F1CE5"/>
    <w:rsid w:val="00625FE2"/>
    <w:rsid w:val="006750FF"/>
    <w:rsid w:val="006B535D"/>
    <w:rsid w:val="006D0643"/>
    <w:rsid w:val="006E71D1"/>
    <w:rsid w:val="00702AF7"/>
    <w:rsid w:val="00721EDE"/>
    <w:rsid w:val="0078369A"/>
    <w:rsid w:val="00815290"/>
    <w:rsid w:val="00822A17"/>
    <w:rsid w:val="00894109"/>
    <w:rsid w:val="00895EE9"/>
    <w:rsid w:val="008A23D2"/>
    <w:rsid w:val="008A443C"/>
    <w:rsid w:val="008B4DE2"/>
    <w:rsid w:val="008D0502"/>
    <w:rsid w:val="00903234"/>
    <w:rsid w:val="009134FA"/>
    <w:rsid w:val="00915030"/>
    <w:rsid w:val="00992693"/>
    <w:rsid w:val="009A0D29"/>
    <w:rsid w:val="009C587F"/>
    <w:rsid w:val="009F794C"/>
    <w:rsid w:val="00A27C82"/>
    <w:rsid w:val="00A9073F"/>
    <w:rsid w:val="00AC11D0"/>
    <w:rsid w:val="00AC31FD"/>
    <w:rsid w:val="00AD3CDA"/>
    <w:rsid w:val="00AF6558"/>
    <w:rsid w:val="00B06296"/>
    <w:rsid w:val="00B42770"/>
    <w:rsid w:val="00B56CA7"/>
    <w:rsid w:val="00B64FF5"/>
    <w:rsid w:val="00B70572"/>
    <w:rsid w:val="00B710BF"/>
    <w:rsid w:val="00B71945"/>
    <w:rsid w:val="00B90D16"/>
    <w:rsid w:val="00C248F6"/>
    <w:rsid w:val="00C72EF5"/>
    <w:rsid w:val="00CC4948"/>
    <w:rsid w:val="00CE4FBC"/>
    <w:rsid w:val="00D12522"/>
    <w:rsid w:val="00D158AA"/>
    <w:rsid w:val="00D214F5"/>
    <w:rsid w:val="00D45264"/>
    <w:rsid w:val="00D83A79"/>
    <w:rsid w:val="00DA65CB"/>
    <w:rsid w:val="00DC08F8"/>
    <w:rsid w:val="00DD58C3"/>
    <w:rsid w:val="00DF1B9B"/>
    <w:rsid w:val="00E05FC9"/>
    <w:rsid w:val="00E21132"/>
    <w:rsid w:val="00E36765"/>
    <w:rsid w:val="00E74842"/>
    <w:rsid w:val="00E97061"/>
    <w:rsid w:val="00EA2A80"/>
    <w:rsid w:val="00EB12F5"/>
    <w:rsid w:val="00ED5A79"/>
    <w:rsid w:val="00FC513B"/>
    <w:rsid w:val="00FD3417"/>
    <w:rsid w:val="00FD7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FB367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7AE"/>
    <w:pPr>
      <w:ind w:left="720"/>
      <w:contextualSpacing/>
    </w:pPr>
  </w:style>
  <w:style w:type="table" w:styleId="TableGrid">
    <w:name w:val="Table Grid"/>
    <w:basedOn w:val="TableNormal"/>
    <w:uiPriority w:val="39"/>
    <w:rsid w:val="004D47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406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Learning Rate's Effect</a:t>
            </a:r>
            <a:r>
              <a:rPr lang="en-US" baseline="0"/>
              <a:t> on Convergence Speed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w/o momentum</c:v>
                </c:pt>
              </c:strCache>
            </c:strRef>
          </c:tx>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xVal>
            <c:numRef>
              <c:f>Sheet1!$A$2:$A$11</c:f>
              <c:numCache>
                <c:formatCode>General</c:formatCode>
                <c:ptCount val="10"/>
                <c:pt idx="0">
                  <c:v>0.05</c:v>
                </c:pt>
                <c:pt idx="1">
                  <c:v>0.1</c:v>
                </c:pt>
                <c:pt idx="2">
                  <c:v>0.15</c:v>
                </c:pt>
                <c:pt idx="3">
                  <c:v>0.2</c:v>
                </c:pt>
                <c:pt idx="4">
                  <c:v>0.25</c:v>
                </c:pt>
                <c:pt idx="5">
                  <c:v>0.3</c:v>
                </c:pt>
                <c:pt idx="6">
                  <c:v>0.35</c:v>
                </c:pt>
                <c:pt idx="7">
                  <c:v>0.4</c:v>
                </c:pt>
                <c:pt idx="8">
                  <c:v>0.45</c:v>
                </c:pt>
                <c:pt idx="9">
                  <c:v>0.5</c:v>
                </c:pt>
              </c:numCache>
            </c:numRef>
          </c:xVal>
          <c:yVal>
            <c:numRef>
              <c:f>Sheet1!$B$2:$B$11</c:f>
              <c:numCache>
                <c:formatCode>General</c:formatCode>
                <c:ptCount val="10"/>
                <c:pt idx="0">
                  <c:v>1.102527E6</c:v>
                </c:pt>
                <c:pt idx="1">
                  <c:v>10925.0</c:v>
                </c:pt>
                <c:pt idx="2">
                  <c:v>7204.0</c:v>
                </c:pt>
                <c:pt idx="3">
                  <c:v>43385.0</c:v>
                </c:pt>
                <c:pt idx="4">
                  <c:v>133532.0</c:v>
                </c:pt>
                <c:pt idx="5">
                  <c:v>120385.0</c:v>
                </c:pt>
                <c:pt idx="6">
                  <c:v>24681.0</c:v>
                </c:pt>
                <c:pt idx="7">
                  <c:v>108960.0</c:v>
                </c:pt>
                <c:pt idx="8">
                  <c:v>24244.0</c:v>
                </c:pt>
                <c:pt idx="9">
                  <c:v>9685.0</c:v>
                </c:pt>
              </c:numCache>
            </c:numRef>
          </c:yVal>
          <c:smooth val="0"/>
        </c:ser>
        <c:ser>
          <c:idx val="1"/>
          <c:order val="1"/>
          <c:tx>
            <c:strRef>
              <c:f>Sheet1!$C$1</c:f>
              <c:strCache>
                <c:ptCount val="1"/>
                <c:pt idx="0">
                  <c:v>w/ momentum</c:v>
                </c:pt>
              </c:strCache>
            </c:strRef>
          </c:tx>
          <c:spPr>
            <a:ln w="19050"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xVal>
            <c:numRef>
              <c:f>Sheet1!$A$2:$A$11</c:f>
              <c:numCache>
                <c:formatCode>General</c:formatCode>
                <c:ptCount val="10"/>
                <c:pt idx="0">
                  <c:v>0.05</c:v>
                </c:pt>
                <c:pt idx="1">
                  <c:v>0.1</c:v>
                </c:pt>
                <c:pt idx="2">
                  <c:v>0.15</c:v>
                </c:pt>
                <c:pt idx="3">
                  <c:v>0.2</c:v>
                </c:pt>
                <c:pt idx="4">
                  <c:v>0.25</c:v>
                </c:pt>
                <c:pt idx="5">
                  <c:v>0.3</c:v>
                </c:pt>
                <c:pt idx="6">
                  <c:v>0.35</c:v>
                </c:pt>
                <c:pt idx="7">
                  <c:v>0.4</c:v>
                </c:pt>
                <c:pt idx="8">
                  <c:v>0.45</c:v>
                </c:pt>
                <c:pt idx="9">
                  <c:v>0.5</c:v>
                </c:pt>
              </c:numCache>
            </c:numRef>
          </c:xVal>
          <c:yVal>
            <c:numRef>
              <c:f>Sheet1!$C$2:$C$11</c:f>
              <c:numCache>
                <c:formatCode>General</c:formatCode>
                <c:ptCount val="10"/>
                <c:pt idx="0">
                  <c:v>601854.0</c:v>
                </c:pt>
                <c:pt idx="1">
                  <c:v>552704.0</c:v>
                </c:pt>
                <c:pt idx="2">
                  <c:v>119068.0</c:v>
                </c:pt>
                <c:pt idx="3">
                  <c:v>21634.0</c:v>
                </c:pt>
                <c:pt idx="4">
                  <c:v>16688.0</c:v>
                </c:pt>
                <c:pt idx="5">
                  <c:v>51789.0</c:v>
                </c:pt>
                <c:pt idx="6">
                  <c:v>1651.0</c:v>
                </c:pt>
                <c:pt idx="7">
                  <c:v>104500.0</c:v>
                </c:pt>
                <c:pt idx="8">
                  <c:v>27634.0</c:v>
                </c:pt>
                <c:pt idx="9">
                  <c:v>67451.0</c:v>
                </c:pt>
              </c:numCache>
            </c:numRef>
          </c:yVal>
          <c:smooth val="0"/>
        </c:ser>
        <c:dLbls>
          <c:showLegendKey val="0"/>
          <c:showVal val="0"/>
          <c:showCatName val="0"/>
          <c:showSerName val="0"/>
          <c:showPercent val="0"/>
          <c:showBubbleSize val="0"/>
        </c:dLbls>
        <c:axId val="-1567548560"/>
        <c:axId val="-1567546432"/>
      </c:scatterChart>
      <c:valAx>
        <c:axId val="-1567548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7546432"/>
        <c:crosses val="autoZero"/>
        <c:crossBetween val="midCat"/>
      </c:valAx>
      <c:valAx>
        <c:axId val="-1567546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Epochs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75485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834</Words>
  <Characters>4754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Wurster, Skylar W.</dc:creator>
  <cp:keywords/>
  <dc:description/>
  <cp:lastModifiedBy>Wurster, Skylar W.</cp:lastModifiedBy>
  <cp:revision>84</cp:revision>
  <dcterms:created xsi:type="dcterms:W3CDTF">2018-02-11T18:00:00Z</dcterms:created>
  <dcterms:modified xsi:type="dcterms:W3CDTF">2018-02-12T01:03:00Z</dcterms:modified>
</cp:coreProperties>
</file>