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  <Override PartName="/word/theme/theme1.xml" ContentType="application/vnd.openxmlformats-officedocument.theme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trHeight w:val="12600" w:hRule="atLeast"/>
        </w:trPr>
        <w:tc>
          <w:tcPr>
            <w:tcW w:type="dxa" w:w="9360"/>
            <w:tcBorders>
              <w:top w:val="none" w:color="070F16" w:sz="0"/>
              <w:left w:val="none" w:color="070F16" w:sz="0"/>
              <w:bottom w:val="none" w:color="070F16" w:sz="0"/>
              <w:right w:val="none" w:color="070F16" w:sz="0"/>
            </w:tcBorders>
            <w:shd w:fill="070F16" w:color="auto" w:val="clear"/>
            <w:tcMar>
              <w:top w:type="dxa" w:w="720"/>
              <w:left w:type="dxa" w:w="720"/>
              <w:bottom w:type="dxa" w:w="720"/>
              <w:right w:type="dxa" w:w="720"/>
            </w:tcMar>
            <w:vAlign w:val="top"/>
          </w:tcPr>
          <w:p>
            <w:pPr>
              <w:spacing w:after="1800" w:line="240" w:lineRule="auto"/>
            </w:pPr>
            <w:r>
              <w:drawing>
                <wp:inline distT="0" distB="0" distL="0" distR="0">
                  <wp:extent cx="552450" cy="552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52450" cy="552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pStyle w:val="Title"/>
            </w:pPr>
            <w:r>
              <w:rPr>
                <w:color w:val="F2EDE5"/>
              </w:rPr>
              <w:t xml:space="preserve">Proposal for fractional technology leadership</w:t>
            </w:r>
          </w:p>
          <w:p>
            <w:pPr>
              <w:spacing w:after="1200"/>
            </w:pPr>
            <w:r>
              <w:rPr>
                <w:color w:val="D9BC7E"/>
              </w:rPr>
              <w:t xml:space="preserve">Two-week audit and twelve-month roadmap</w:t>
            </w:r>
          </w:p>
          <w:p>
            <w:pPr>
              <w:pStyle w:val="SkyXCover"/>
              <w:rPr>
                <w:color w:val="D9BC7E"/>
                <w:sz w:val="18"/>
                <w:szCs w:val="18"/>
              </w:rPr>
            </w:pPr>
            <w:r>
              <w:rPr>
                <w:color w:val="D9BC7E"/>
                <w:sz w:val="18"/>
                <w:szCs w:val="18"/>
              </w:rPr>
              <w:t xml:space="preserve">Prepared for</w:t>
            </w:r>
          </w:p>
          <w:p>
            <w:pPr>
              <w:pStyle w:val="SkyXCover"/>
              <w:spacing w:after="240"/>
              <w:rPr>
                <w:color w:val="F2EDE5"/>
                <w:sz w:val="28"/>
                <w:szCs w:val="28"/>
              </w:rPr>
            </w:pPr>
            <w:r>
              <w:rPr>
                <w:color w:val="F2EDE5"/>
                <w:sz w:val="28"/>
                <w:szCs w:val="28"/>
              </w:rPr>
              <w:t xml:space="preserve">[Client name]</w:t>
            </w:r>
          </w:p>
          <w:p>
            <w:pPr>
              <w:pStyle w:val="SkyXCover"/>
              <w:rPr>
                <w:color w:val="D9BC7E"/>
                <w:sz w:val="18"/>
                <w:szCs w:val="18"/>
              </w:rPr>
            </w:pPr>
            <w:r>
              <w:rPr>
                <w:color w:val="D9BC7E"/>
                <w:sz w:val="18"/>
                <w:szCs w:val="18"/>
              </w:rPr>
              <w:t xml:space="preserve">Prepared by</w:t>
            </w:r>
          </w:p>
          <w:p>
            <w:pPr>
              <w:pStyle w:val="SkyXCover"/>
              <w:spacing w:after="240"/>
              <w:rPr>
                <w:color w:val="F2EDE5"/>
                <w:sz w:val="24"/>
                <w:szCs w:val="24"/>
              </w:rPr>
            </w:pPr>
            <w:r>
              <w:rPr>
                <w:color w:val="F2EDE5"/>
                <w:sz w:val="24"/>
                <w:szCs w:val="24"/>
              </w:rPr>
              <w:t xml:space="preserve">Merv Lally, Sky X Advisors</w:t>
            </w:r>
          </w:p>
          <w:p>
            <w:pPr>
              <w:pStyle w:val="SkyXCover"/>
              <w:rPr>
                <w:color w:val="D9BC7E"/>
                <w:sz w:val="18"/>
                <w:szCs w:val="18"/>
              </w:rPr>
            </w:pPr>
            <w:r>
              <w:rPr>
                <w:color w:val="D9BC7E"/>
                <w:sz w:val="18"/>
                <w:szCs w:val="18"/>
              </w:rPr>
              <w:t xml:space="preserve">Date</w:t>
            </w:r>
          </w:p>
          <w:p>
            <w:pPr>
              <w:pStyle w:val="SkyXCover"/>
              <w:spacing w:after="2400"/>
              <w:rPr>
                <w:color w:val="F2EDE5"/>
                <w:sz w:val="24"/>
                <w:szCs w:val="24"/>
              </w:rPr>
            </w:pPr>
            <w:r>
              <w:rPr>
                <w:color w:val="F2EDE5"/>
                <w:sz w:val="24"/>
                <w:szCs w:val="24"/>
              </w:rPr>
              <w:t xml:space="preserve">18 October 2026</w:t>
            </w:r>
          </w:p>
          <w:p>
            <w:pPr>
              <w:pStyle w:val="SkyXCover"/>
              <w:spacing w:after="0"/>
            </w:pPr>
            <w:r>
              <w:rPr>
                <w:color w:val="F2EDE5"/>
                <w:sz w:val="22"/>
                <w:szCs w:val="22"/>
              </w:rPr>
              <w:t xml:space="preserve">Advice that builds </w:t>
            </w:r>
            <w:r>
              <w:rPr>
                <w:i/>
                <w:iCs/>
                <w:color w:val="D9BC7E"/>
                <w:sz w:val="22"/>
                <w:szCs w:val="22"/>
              </w:rPr>
              <w:t xml:space="preserve">for the future.</w:t>
            </w:r>
            <w:r>
              <w:rPr>
                <w:color w:val="F2EDE5"/>
                <w:sz w:val="22"/>
                <w:szCs w:val="22"/>
              </w:rPr>
              <w:t xml:space="preserve"> Fractional CIO/CTO leadership and AI transformation.</w:t>
            </w:r>
          </w:p>
        </w:tc>
      </w:tr>
    </w:tbl>
    <w:p>
      <w:r>
        <w:br w:type="page"/>
      </w:r>
    </w:p>
    <w:p>
      <w:pPr>
        <w:pStyle w:val="Heading1"/>
      </w:pPr>
      <w:r>
        <w:t xml:space="preserve">Executive summary</w:t>
      </w:r>
    </w:p>
    <w:p>
      <w:r>
        <w:t xml:space="preserve">[Client name] has asked Sky X Advisors to help its leadership team make confident technology decisions over the next twelve months. This proposal sets out a two-week audit that establishes where the business stands today, followed by a costed, prioritised roadmap and an option for ongoing fractional CIO/CTO leadership to deliver it.</w:t>
      </w:r>
    </w:p>
    <w:p>
      <w:r>
        <w:t xml:space="preserve">The engagement is designed to be light on your team's time, concrete in its outputs and clear on what it costs. Every recommendation is tied to a business outcome, a budget and an owner.</w:t>
      </w:r>
    </w:p>
    <w:p>
      <w:pPr>
        <w:pStyle w:val="Heading1"/>
      </w:pPr>
      <w:r>
        <w:t xml:space="preserve">The two-week audit</w:t>
      </w:r>
    </w:p>
    <w:p>
      <w:pPr>
        <w:pStyle w:val="Heading2"/>
      </w:pPr>
      <w:r>
        <w:t xml:space="preserve">Week one: map the stack, data and goals</w:t>
      </w:r>
    </w:p>
    <w:p>
      <w:r>
        <w:t xml:space="preserve">We inventory the applications, infrastructure, integrations and data flows that run the business, interview the leadership team and key operators, and capture the goals the technology must serve. The output is a single, shared picture of what exists, what it costs and where it is fragile.</w:t>
      </w:r>
    </w:p>
    <w:p>
      <w:pPr>
        <w:pStyle w:val="Heading2"/>
      </w:pPr>
      <w:r>
        <w:t xml:space="preserve">Week two: deliver a costed, prioritised roadmap</w:t>
      </w:r>
    </w:p>
    <w:p>
      <w:r>
        <w:t xml:space="preserve">We turn that picture into a roadmap: the initiatives worth doing, in order, each with an estimated cost, a timeline, the risks it retires and the capability it unlocks. The roadmap is presented to the leadership team in a working session and handed over as a document the business owns.</w:t>
      </w:r>
    </w:p>
    <w:p>
      <w:pPr>
        <w:pStyle w:val="Heading1"/>
      </w:pPr>
      <w:r>
        <w:t xml:space="preserve">Scope and deliverables</w:t>
      </w:r>
    </w:p>
    <w:tbl>
      <w:tblPr>
        <w:tblStyle w:val="SkyXTable"/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600"/>
        <w:gridCol w:w="4360"/>
        <w:gridCol w:w="2400"/>
      </w:tblGrid>
      <w:tr>
        <w:trPr>
          <w:tblHeader/>
        </w:trPr>
        <w:tc>
          <w:tcPr>
            <w:tcW w:type="dxa" w:w="260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shd w:fill="070F16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/>
                <w:bCs/>
                <w:color w:val="F2EDE5"/>
                <w:sz w:val="20"/>
                <w:szCs w:val="20"/>
              </w:rPr>
              <w:t xml:space="preserve">Deliverable</w:t>
            </w:r>
          </w:p>
        </w:tc>
        <w:tc>
          <w:tcPr>
            <w:tcW w:type="dxa" w:w="436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shd w:fill="070F16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/>
                <w:bCs/>
                <w:color w:val="F2EDE5"/>
                <w:sz w:val="20"/>
                <w:szCs w:val="20"/>
              </w:rPr>
              <w:t xml:space="preserve">Description</w:t>
            </w:r>
          </w:p>
        </w:tc>
        <w:tc>
          <w:tcPr>
            <w:tcW w:type="dxa" w:w="240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shd w:fill="070F16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/>
                <w:bCs/>
                <w:color w:val="F2EDE5"/>
                <w:sz w:val="20"/>
                <w:szCs w:val="20"/>
              </w:rPr>
              <w:t xml:space="preserve">Timing</w:t>
            </w:r>
          </w:p>
        </w:tc>
      </w:tr>
      <w:tr>
        <w:tc>
          <w:tcPr>
            <w:tcW w:type="dxa" w:w="260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Current-state assessment</w:t>
            </w:r>
          </w:p>
        </w:tc>
        <w:tc>
          <w:tcPr>
            <w:tcW w:type="dxa" w:w="436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Application, infrastructure, data and vendor inventory with cost and risk ratings</w:t>
            </w:r>
          </w:p>
        </w:tc>
        <w:tc>
          <w:tcPr>
            <w:tcW w:type="dxa" w:w="240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End of week one</w:t>
            </w:r>
          </w:p>
        </w:tc>
      </w:tr>
      <w:tr>
        <w:tc>
          <w:tcPr>
            <w:tcW w:type="dxa" w:w="260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Leadership interviews</w:t>
            </w:r>
          </w:p>
        </w:tc>
        <w:tc>
          <w:tcPr>
            <w:tcW w:type="dxa" w:w="436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Structured conversations with executives and key operators; synthesised findings</w:t>
            </w:r>
          </w:p>
        </w:tc>
        <w:tc>
          <w:tcPr>
            <w:tcW w:type="dxa" w:w="240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Week one</w:t>
            </w:r>
          </w:p>
        </w:tc>
      </w:tr>
      <w:tr>
        <w:tc>
          <w:tcPr>
            <w:tcW w:type="dxa" w:w="260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Prioritised roadmap</w:t>
            </w:r>
          </w:p>
        </w:tc>
        <w:tc>
          <w:tcPr>
            <w:tcW w:type="dxa" w:w="436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Sequenced initiatives with cost, timeline, owner and expected outcome</w:t>
            </w:r>
          </w:p>
        </w:tc>
        <w:tc>
          <w:tcPr>
            <w:tcW w:type="dxa" w:w="240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End of week two</w:t>
            </w:r>
          </w:p>
        </w:tc>
      </w:tr>
      <w:tr>
        <w:tc>
          <w:tcPr>
            <w:tcW w:type="dxa" w:w="260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Roadmap working session</w:t>
            </w:r>
          </w:p>
        </w:tc>
        <w:tc>
          <w:tcPr>
            <w:tcW w:type="dxa" w:w="436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Ninety-minute presentation and discussion with the leadership team</w:t>
            </w:r>
          </w:p>
        </w:tc>
        <w:tc>
          <w:tcPr>
            <w:tcW w:type="dxa" w:w="240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End of week two</w:t>
            </w:r>
          </w:p>
        </w:tc>
      </w:tr>
      <w:tr>
        <w:tc>
          <w:tcPr>
            <w:tcW w:type="dxa" w:w="260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Ongoing leadership (optional)</w:t>
            </w:r>
          </w:p>
        </w:tc>
        <w:tc>
          <w:tcPr>
            <w:tcW w:type="dxa" w:w="436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Fractional CIO/CTO support to execute the roadmap, governance and vendor management</w:t>
            </w:r>
          </w:p>
        </w:tc>
        <w:tc>
          <w:tcPr>
            <w:tcW w:type="dxa" w:w="240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Monthly from week three</w:t>
            </w:r>
          </w:p>
        </w:tc>
      </w:tr>
    </w:tbl>
    <w:p>
      <w:pPr>
        <w:spacing w:after="0"/>
      </w:pPr>
      <w:r>
        <w:t xml:space="preserve"/>
      </w:r>
    </w:p>
    <w:p>
      <w:pPr>
        <w:pStyle w:val="Heading3"/>
      </w:pPr>
      <w:r>
        <w:t xml:space="preserve">Out of scope</w:t>
      </w:r>
    </w:p>
    <w:p>
      <w:r>
        <w:t xml:space="preserve">Hands-on implementation, software licences and third-party fees are outside this proposal and will be quoted separately where required.</w:t>
      </w:r>
    </w:p>
    <w:p>
      <w:pPr>
        <w:pStyle w:val="Heading1"/>
      </w:pPr>
      <w:r>
        <w:t xml:space="preserve">Investment</w:t>
      </w:r>
    </w:p>
    <w:tbl>
      <w:tblPr>
        <w:tblStyle w:val="SkyXTable"/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800"/>
        <w:gridCol w:w="2200"/>
        <w:gridCol w:w="2360"/>
      </w:tblGrid>
      <w:tr>
        <w:trPr>
          <w:tblHeader/>
        </w:trPr>
        <w:tc>
          <w:tcPr>
            <w:tcW w:type="dxa" w:w="480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shd w:fill="070F16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/>
                <w:bCs/>
                <w:color w:val="F2EDE5"/>
                <w:sz w:val="20"/>
                <w:szCs w:val="20"/>
              </w:rPr>
              <w:t xml:space="preserve">Item</w:t>
            </w:r>
          </w:p>
        </w:tc>
        <w:tc>
          <w:tcPr>
            <w:tcW w:type="dxa" w:w="220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shd w:fill="070F16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/>
                <w:bCs/>
                <w:color w:val="F2EDE5"/>
                <w:sz w:val="20"/>
                <w:szCs w:val="20"/>
              </w:rPr>
              <w:t xml:space="preserve">Basis</w:t>
            </w:r>
          </w:p>
        </w:tc>
        <w:tc>
          <w:tcPr>
            <w:tcW w:type="dxa" w:w="236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shd w:fill="070F16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/>
                <w:bCs/>
                <w:color w:val="F2EDE5"/>
                <w:sz w:val="20"/>
                <w:szCs w:val="20"/>
              </w:rPr>
              <w:t xml:space="preserve">Fee</w:t>
            </w:r>
          </w:p>
        </w:tc>
      </w:tr>
      <w:tr>
        <w:tc>
          <w:tcPr>
            <w:tcW w:type="dxa" w:w="480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Two-week audit and roadmap</w:t>
            </w:r>
          </w:p>
        </w:tc>
        <w:tc>
          <w:tcPr>
            <w:tcW w:type="dxa" w:w="220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Fixed fee</w:t>
            </w:r>
          </w:p>
        </w:tc>
        <w:tc>
          <w:tcPr>
            <w:tcW w:type="dxa" w:w="236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righ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$[amount]</w:t>
            </w:r>
          </w:p>
        </w:tc>
      </w:tr>
      <w:tr>
        <w:tc>
          <w:tcPr>
            <w:tcW w:type="dxa" w:w="480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Fractional CIO/CTO leadership</w:t>
            </w:r>
          </w:p>
        </w:tc>
        <w:tc>
          <w:tcPr>
            <w:tcW w:type="dxa" w:w="220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Monthly retainer, [n] days per month</w:t>
            </w:r>
          </w:p>
        </w:tc>
        <w:tc>
          <w:tcPr>
            <w:tcW w:type="dxa" w:w="236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righ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$[amount] per month</w:t>
            </w:r>
          </w:p>
        </w:tc>
      </w:tr>
      <w:tr>
        <w:tc>
          <w:tcPr>
            <w:tcW w:type="dxa" w:w="480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Travel and expenses</w:t>
            </w:r>
          </w:p>
        </w:tc>
        <w:tc>
          <w:tcPr>
            <w:tcW w:type="dxa" w:w="220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At cost, pre-approved</w:t>
            </w:r>
          </w:p>
        </w:tc>
        <w:tc>
          <w:tcPr>
            <w:tcW w:type="dxa" w:w="236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As incurred</w:t>
            </w:r>
          </w:p>
        </w:tc>
      </w:tr>
    </w:tbl>
    <w:p>
      <w:pPr>
        <w:spacing w:after="0"/>
      </w:pPr>
      <w:r>
        <w:t xml:space="preserve"/>
      </w:r>
    </w:p>
    <w:p>
      <w:r>
        <w:t xml:space="preserve">Fees are invoiced 50% on commencement and 50% on delivery of the roadmap. Retainer months are invoiced in advance. All figures exclude applicable taxes.</w:t>
      </w:r>
    </w:p>
    <w:p>
      <w:pPr>
        <w:pStyle w:val="Heading1"/>
      </w:pPr>
      <w:r>
        <w:t xml:space="preserve">Next steps</w:t>
      </w:r>
    </w:p>
    <w:p>
      <w:pPr>
        <w:pStyle w:val="ListParagraph"/>
        <w:numPr>
          <w:ilvl w:val="0"/>
          <w:numId w:val="2"/>
        </w:numPr>
      </w:pPr>
      <w:r>
        <w:t xml:space="preserve">Confirm the start date and the audit sponsor on your side.</w:t>
      </w:r>
    </w:p>
    <w:p>
      <w:pPr>
        <w:pStyle w:val="ListParagraph"/>
        <w:numPr>
          <w:ilvl w:val="0"/>
          <w:numId w:val="2"/>
        </w:numPr>
      </w:pPr>
      <w:r>
        <w:t xml:space="preserve">Sign the engagement letter and return the countersigned proposal.</w:t>
      </w:r>
    </w:p>
    <w:p>
      <w:pPr>
        <w:pStyle w:val="ListParagraph"/>
        <w:numPr>
          <w:ilvl w:val="0"/>
          <w:numId w:val="2"/>
        </w:numPr>
      </w:pPr>
      <w:r>
        <w:t xml:space="preserve">Share system access and the initial document pack one week before the start date.</w:t>
      </w:r>
    </w:p>
    <w:p>
      <w:pPr>
        <w:pStyle w:val="ListParagraph"/>
        <w:numPr>
          <w:ilvl w:val="0"/>
          <w:numId w:val="2"/>
        </w:numPr>
      </w:pPr>
      <w:r>
        <w:t xml:space="preserve">Schedule leadership interviews for week one.</w:t>
      </w:r>
    </w:p>
    <w:p>
      <w:pPr>
        <w:pStyle w:val="Heading1"/>
      </w:pPr>
      <w:r>
        <w:t xml:space="preserve">Agreement</w:t>
      </w:r>
    </w:p>
    <w:p>
      <w:r>
        <w:t xml:space="preserve">Signed on behalf of each party by an authorised representative.</w:t>
      </w:r>
    </w:p>
    <w:tbl>
      <w:tblPr>
        <w:tblStyle w:val="SkyXTable"/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680"/>
        <w:gridCol w:w="4680"/>
      </w:tblGrid>
      <w:tr>
        <w:trPr>
          <w:tblHeader/>
        </w:trPr>
        <w:tc>
          <w:tcPr>
            <w:tcW w:type="dxa" w:w="468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shd w:fill="070F16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/>
                <w:bCs/>
                <w:color w:val="F2EDE5"/>
                <w:sz w:val="20"/>
                <w:szCs w:val="20"/>
              </w:rPr>
              <w:t xml:space="preserve">Sky X Advisors</w:t>
            </w:r>
          </w:p>
        </w:tc>
        <w:tc>
          <w:tcPr>
            <w:tcW w:type="dxa" w:w="468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shd w:fill="070F16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/>
                <w:bCs/>
                <w:color w:val="F2EDE5"/>
                <w:sz w:val="20"/>
                <w:szCs w:val="20"/>
              </w:rPr>
              <w:t xml:space="preserve">[Client name]</w:t>
            </w:r>
          </w:p>
        </w:tc>
      </w:tr>
      <w:tr>
        <w:tc>
          <w:tcPr>
            <w:tcW w:type="dxa" w:w="468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Signature: ______________________</w:t>
            </w:r>
          </w:p>
        </w:tc>
        <w:tc>
          <w:tcPr>
            <w:tcW w:type="dxa" w:w="468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Signature: ______________________</w:t>
            </w:r>
          </w:p>
        </w:tc>
      </w:tr>
      <w:tr>
        <w:tc>
          <w:tcPr>
            <w:tcW w:type="dxa" w:w="468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Name: Merv Lally</w:t>
            </w:r>
          </w:p>
        </w:tc>
        <w:tc>
          <w:tcPr>
            <w:tcW w:type="dxa" w:w="468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Name: ______________________</w:t>
            </w:r>
          </w:p>
        </w:tc>
      </w:tr>
      <w:tr>
        <w:tc>
          <w:tcPr>
            <w:tcW w:type="dxa" w:w="468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Title: Founder, Sky X Advisors</w:t>
            </w:r>
          </w:p>
        </w:tc>
        <w:tc>
          <w:tcPr>
            <w:tcW w:type="dxa" w:w="468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Title: ______________________</w:t>
            </w:r>
          </w:p>
        </w:tc>
      </w:tr>
      <w:tr>
        <w:tc>
          <w:tcPr>
            <w:tcW w:type="dxa" w:w="468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Date: ______________________</w:t>
            </w:r>
          </w:p>
        </w:tc>
        <w:tc>
          <w:tcPr>
            <w:tcW w:type="dxa" w:w="4680"/>
            <w:tcBorders>
              <w:top w:val="single" w:color="D8D2C6" w:sz="4"/>
              <w:left w:val="single" w:color="D8D2C6" w:sz="4"/>
              <w:bottom w:val="single" w:color="D8D2C6" w:sz="4"/>
              <w:right w:val="single" w:color="D8D2C6" w:sz="4"/>
            </w:tcBorders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spacing w:after="0" w:line="240" w:lineRule="auto"/>
              <w:jc w:val="left"/>
            </w:pPr>
            <w:r>
              <w:rPr>
                <w:b w:val="false"/>
                <w:bCs w:val="false"/>
                <w:color w:val="3C4A56"/>
                <w:sz w:val="21"/>
                <w:szCs w:val="21"/>
              </w:rPr>
              <w:t xml:space="preserve">Date: ______________________</w:t>
            </w:r>
          </w:p>
        </w:tc>
      </w:tr>
    </w:tbl>
    <w:sectPr>
      <w:headerReference w:type="default" r:id="rId7"/>
      <w:headerReference w:type="first" r:id="rId8"/>
      <w:footerReference w:type="default" r:id="rId9"/>
      <w:footerReference w:type="first" r:id="rId10"/>
      <w:pgSz w:w="12240" w:h="15840" w:orient="portrait"/>
      <w:pgMar w:top="1440" w:right="1440" w:bottom="1440" w:left="1440" w:header="720" w:footer="720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SkyXFooter"/>
    </w:pPr>
    <w:r>
      <w:t xml:space="preserve">Sky X Advisors · skyxadvisors.com · Confidential</w:t>
    </w:r>
    <w:r>
      <w:t xml:space="preserve">	</w:t>
      <w:fldChar w:fldCharType="begin"/>
      <w:instrText xml:space="preserve">PAGE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r>
      <w:t xml:space="preserve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20" w:line="240" w:lineRule="auto"/>
      <w:jc w:val="right"/>
    </w:pPr>
    <w:r>
      <w:drawing>
        <wp:inline distT="0" distB="0" distL="0" distR="0">
          <wp:extent cx="323850" cy="3238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238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r>
      <w:t xml:space="preserve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540" w:hanging="27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cs="Calibri" w:eastAsia="Calibri" w:hAnsi="Calibri"/>
        <w:color w:val="3C4A56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60" w:line="259" w:lineRule="auto"/>
    </w:pPr>
    <w:rPr>
      <w:rFonts w:ascii="Calibri" w:cs="Calibri" w:eastAsia="Calibri" w:hAnsi="Calibri"/>
      <w:color w:val="3C4A56"/>
      <w:sz w:val="22"/>
      <w:szCs w:val="22"/>
    </w:rPr>
  </w:style>
  <w:style w:type="paragraph" w:styleId="Title">
    <w:name w:val="Title"/>
    <w:basedOn w:val="Normal"/>
    <w:next w:val="Normal"/>
    <w:qFormat/>
    <w:pPr>
      <w:spacing w:after="240" w:before="0" w:line="240" w:lineRule="auto"/>
    </w:pPr>
    <w:rPr>
      <w:rFonts w:ascii="Playfair Display" w:cs="Playfair Display" w:eastAsia="Playfair Display" w:hAnsi="Playfair Display"/>
      <w:color w:val="070F16"/>
      <w:sz w:val="56"/>
      <w:szCs w:val="56"/>
    </w:rPr>
  </w:style>
  <w:style w:type="paragraph" w:styleId="Subtitle">
    <w:name w:val="Subtitle"/>
    <w:basedOn w:val="Normal"/>
    <w:next w:val="Normal"/>
    <w:qFormat/>
    <w:pPr>
      <w:spacing w:after="120" w:line="259" w:lineRule="auto"/>
    </w:pPr>
    <w:rPr>
      <w:rFonts w:ascii="Calibri" w:cs="Calibri" w:eastAsia="Calibri" w:hAnsi="Calibri"/>
      <w:color w:val="3C4A56"/>
      <w:sz w:val="26"/>
      <w:szCs w:val="26"/>
    </w:rPr>
  </w:style>
  <w:style w:type="paragraph" w:styleId="Heading1">
    <w:name w:val="heading 1"/>
    <w:basedOn w:val="Normal"/>
    <w:next w:val="Normal"/>
    <w:qFormat/>
    <w:pPr>
      <w:keepNext/>
      <w:spacing w:after="160" w:before="480" w:line="240" w:lineRule="auto"/>
      <w:outlineLvl w:val="0"/>
    </w:pPr>
    <w:rPr>
      <w:rFonts w:ascii="Playfair Display" w:cs="Playfair Display" w:eastAsia="Playfair Display" w:hAnsi="Playfair Display"/>
      <w:color w:val="070F16"/>
      <w:sz w:val="40"/>
      <w:szCs w:val="40"/>
    </w:rPr>
  </w:style>
  <w:style w:type="paragraph" w:styleId="Heading2">
    <w:name w:val="heading 2"/>
    <w:basedOn w:val="Normal"/>
    <w:next w:val="Normal"/>
    <w:qFormat/>
    <w:pPr>
      <w:keepNext/>
      <w:spacing w:after="120" w:before="320" w:line="240" w:lineRule="auto"/>
      <w:outlineLvl w:val="1"/>
    </w:pPr>
    <w:rPr>
      <w:rFonts w:ascii="Playfair Display" w:cs="Playfair Display" w:eastAsia="Playfair Display" w:hAnsi="Playfair Display"/>
      <w:color w:val="070F16"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spacing w:after="80" w:before="240" w:line="259" w:lineRule="auto"/>
      <w:outlineLvl w:val="2"/>
    </w:pPr>
    <w:rPr>
      <w:rFonts w:ascii="Calibri" w:cs="Calibri" w:eastAsia="Calibri" w:hAnsi="Calibri"/>
      <w:b/>
      <w:bCs/>
      <w:color w:val="C2A05E"/>
      <w:sz w:val="22"/>
      <w:szCs w:val="22"/>
    </w:rPr>
  </w:style>
  <w:style w:type="paragraph" w:styleId="SkyXFooter">
    <w:name w:val="SkyX Footer"/>
    <w:basedOn w:val="Normal"/>
    <w:qFormat w:val="false"/>
    <w:pPr>
      <w:tabs>
        <w:tab w:val="right" w:pos="9360"/>
      </w:tabs>
      <w:spacing w:after="0" w:before="0" w:line="240" w:lineRule="auto"/>
    </w:pPr>
    <w:rPr>
      <w:rFonts w:ascii="Calibri" w:cs="Calibri" w:eastAsia="Calibri" w:hAnsi="Calibri"/>
      <w:color w:val="3C4A56"/>
      <w:sz w:val="17"/>
      <w:szCs w:val="17"/>
    </w:rPr>
  </w:style>
  <w:style w:type="paragraph" w:styleId="SkyXCover">
    <w:name w:val="SkyX Cover Text"/>
    <w:basedOn w:val="Normal"/>
    <w:qFormat w:val="false"/>
    <w:pPr>
      <w:spacing w:after="120" w:before="0" w:line="259" w:lineRule="auto"/>
    </w:pPr>
    <w:rPr>
      <w:rFonts w:ascii="Calibri" w:cs="Calibri" w:eastAsia="Calibri" w:hAnsi="Calibri"/>
      <w:color w:val="F2EDE5"/>
      <w:sz w:val="24"/>
      <w:szCs w:val="24"/>
    </w:rPr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kyXTable">
    <w:name w:val="SkyX Table"/>
    <w:basedOn w:val="TableGrid"/>
    <w:uiPriority w:val="59"/>
    <w:pPr>
      <w:spacing w:after="0" w:line="240" w:lineRule="auto"/>
    </w:pPr>
    <w:rPr>
      <w:rFonts w:ascii="Calibri" w:hAnsi="Calibri"/>
      <w:color w:val="3C4A56"/>
      <w:sz w:val="21"/>
    </w:rPr>
    <w:tblPr>
      <w:tblBorders>
        <w:top w:val="single" w:sz="4" w:space="0" w:color="D8D2C6"/>
        <w:left w:val="single" w:sz="4" w:space="0" w:color="D8D2C6"/>
        <w:bottom w:val="single" w:sz="4" w:space="0" w:color="D8D2C6"/>
        <w:right w:val="single" w:sz="4" w:space="0" w:color="D8D2C6"/>
        <w:insideH w:val="single" w:sz="4" w:space="0" w:color="D8D2C6"/>
        <w:insideV w:val="single" w:sz="4" w:space="0" w:color="D8D2C6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color w:val="F2EDE5"/>
        <w:sz w:val="20"/>
      </w:rPr>
      <w:tcPr>
        <w:shd w:val="clear" w:color="auto" w:fill="070F16"/>
      </w:tcPr>
    </w:tblStyle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ba582e82697e69b13a841ea445d4dfaa1d644996.png"/><Relationship Id="rId12" Type="http://schemas.openxmlformats.org/officeDocument/2006/relationships/fontTable" Target="fontTable.xml"/><Relationship Id="rIdTheme1" Type="http://schemas.openxmlformats.org/officeDocument/2006/relationships/theme" Target="theme/theme1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ba582e82697e69b13a841ea445d4dfaa1d644996.png"/></Relationships>
</file>

<file path=word/_rels/header2.xml.rels><?xml version="1.0" encoding="UTF-8"?><Relationships xmlns="http://schemas.openxmlformats.org/package/2006/relationships"/>
</file>

<file path=word/theme/theme1.xml><?xml version="1.0" encoding="utf-8"?>
<a:theme xmlns:a="http://schemas.openxmlformats.org/drawingml/2006/main" name="SkyX">
  <a:themeElements>
    <a:clrScheme name="SkyX">
      <a:dk1>
        <a:srgbClr val="070F16"/>
      </a:dk1>
      <a:lt1>
        <a:srgbClr val="FFFFFF"/>
      </a:lt1>
      <a:dk2>
        <a:srgbClr val="3C4A56"/>
      </a:dk2>
      <a:lt2>
        <a:srgbClr val="F2EDE5"/>
      </a:lt2>
      <a:accent1>
        <a:srgbClr val="C2A05E"/>
      </a:accent1>
      <a:accent2>
        <a:srgbClr val="D9BC7E"/>
      </a:accent2>
      <a:accent3>
        <a:srgbClr val="3C4A56"/>
      </a:accent3>
      <a:accent4>
        <a:srgbClr val="D8D2C6"/>
      </a:accent4>
      <a:accent5>
        <a:srgbClr val="7A6020"/>
      </a:accent5>
      <a:accent6>
        <a:srgbClr val="070F16"/>
      </a:accent6>
      <a:hlink>
        <a:srgbClr val="7A6020"/>
      </a:hlink>
      <a:folHlink>
        <a:srgbClr val="3C4A56"/>
      </a:folHlink>
    </a:clrScheme>
    <a:fontScheme name="SkyX">
      <a:majorFont>
        <a:latin typeface="Playfair Display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Sky X Advisors proposal</dc:title>
  <dc:creator>Sky X Advisors</dc:creator>
  <cp:lastModifiedBy>Un-named</cp:lastModifiedBy>
  <cp:revision>1</cp:revision>
  <dcterms:created xsi:type="dcterms:W3CDTF">2026-10-18T17:58:45.805Z</dcterms:created>
  <dcterms:modified xsi:type="dcterms:W3CDTF">2026-10-18T17:58:45.805Z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