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非对应于数据表的，---实体类和数据表字段不需要对应；实体类扩展主数据表，加入关联字段；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扩展实体类；---主实体类对应于数据表字段；扩展实体类继承主实体类，然后加入关联字段；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2014-10-22T03:31:17Z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