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非对应于数据表的</w:t>
      </w:r>
      <w:r>
        <w:rPr>
          <w:rFonts w:hint="eastAsia"/>
          <w:lang w:val="en-US" w:eastAsia="zh-CN"/>
        </w:rPr>
        <w:t>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继承实体类</w:t>
      </w:r>
      <w:r>
        <w:rPr>
          <w:rFonts w:hint="eastAsia"/>
          <w:lang w:val="en-US" w:eastAsia="zh-CN"/>
        </w:rPr>
        <w:t>；---主实体类对应于数据表字段；继承实体类继承主实体类，然后加入关联字段；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2014-10-29T06:27:50Z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