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BigDecimal.ROUND_HALF_UP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  <w:lang w:val="en-US" w:eastAsia="zh-CN"/>
        </w:rPr>
        <w:t>3位加,号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：如，112,223.45元；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BigDecimal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DecimalFormat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",##0.00"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.format(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  //返回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DAD243E"/>
    <w:rsid w:val="1F5F1E04"/>
    <w:rsid w:val="29812B49"/>
    <w:rsid w:val="2AC32EB5"/>
    <w:rsid w:val="331039D5"/>
    <w:rsid w:val="339B5B37"/>
    <w:rsid w:val="3507280B"/>
    <w:rsid w:val="3B6E2603"/>
    <w:rsid w:val="3BC14218"/>
    <w:rsid w:val="41F533C3"/>
    <w:rsid w:val="545F71FB"/>
    <w:rsid w:val="66CF38B7"/>
    <w:rsid w:val="6D075FF0"/>
    <w:rsid w:val="711B771F"/>
    <w:rsid w:val="76A342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2014-12-08T03:28:12Z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