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</w:p>
    <w:p>
      <w:pPr>
        <w:rPr>
          <w:rFonts w:hint="eastAsia"/>
        </w:rPr>
      </w:pPr>
    </w:p>
    <w:p/>
    <w:p>
      <w:r>
        <w:rPr>
          <w:color w:val="0070C0"/>
        </w:rPr>
        <w:t>el和</w:t>
      </w:r>
      <w:r>
        <w:rPr>
          <w:rFonts w:hint="eastAsia"/>
          <w:color w:val="0070C0"/>
        </w:rPr>
        <w:t>jstl</w:t>
      </w:r>
      <w:r>
        <w:rPr>
          <w:rFonts w:hint="eastAsia"/>
        </w:rPr>
        <w:t>：jsp、jsf等中使用；</w:t>
      </w:r>
    </w:p>
    <w:p>
      <w:r>
        <w:rPr>
          <w:rFonts w:hint="eastAsia"/>
        </w:rPr>
        <w:t>el，页面直接使用；</w:t>
      </w:r>
    </w:p>
    <w:p>
      <w:pPr>
        <w:rPr>
          <w:rFonts w:hint="eastAsia"/>
        </w:rPr>
      </w:pPr>
      <w:r>
        <w:rPr>
          <w:rFonts w:hint="eastAsia"/>
        </w:rPr>
        <w:t>jstl，指令引入；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el表达式和jstl</w:t>
      </w:r>
      <w:r>
        <w:rPr>
          <w:rFonts w:hint="eastAsia"/>
        </w:rPr>
        <w:t>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>
      <w:r>
        <w:rPr>
          <w:rFonts w:hint="eastAsia"/>
        </w:rPr>
        <w:t>写法，${...}</w:t>
      </w:r>
    </w:p>
    <w:p>
      <w:pPr>
        <w:rPr>
          <w:rFonts w:hint="eastAsia"/>
        </w:rPr>
      </w:pPr>
      <w:r>
        <w:t>~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/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/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/>
          <w:lang w:val="en-US" w:eastAsia="zh-CN"/>
        </w:rPr>
        <w:t>item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  <w:bookmarkStart w:id="0" w:name="_GoBack"/>
      <w:bookmarkEnd w:id="0"/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/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"${fn:length(str)&gt;0}"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99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link w:val="3"/>
    <w:uiPriority w:val="0"/>
    <w:rPr>
      <w:kern w:val="2"/>
      <w:sz w:val="18"/>
      <w:szCs w:val="18"/>
    </w:rPr>
  </w:style>
  <w:style w:type="character" w:customStyle="1" w:styleId="10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2014-10-29T01:40:34Z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