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研发附件 03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Tool Specification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2"/>
        </w:rPr>
        <w:t>Agent 工具契约、缓存中间件、权限、安全与错误语义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Sky Research Agent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文档性质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基于已实现代码反向还原的产品研发规格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主要读者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产品 / AI Engineer / 后端 / QA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 · 2026-09-21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说明：本文档用于训练 AI 产品经理的交付能力；“当前实现”与“产品规格”会显式区分。</w:t>
      </w:r>
    </w:p>
    <w:p>
      <w:r>
        <w:br w:type="page"/>
      </w:r>
    </w:p>
    <w:p>
      <w:pPr>
        <w:pStyle w:val="Heading1"/>
      </w:pPr>
      <w:r>
        <w:t>0. Tool Spec 的定位</w:t>
      </w:r>
    </w:p>
    <w:p>
      <w:r>
        <w:rPr>
          <w:rFonts w:ascii="Noto Sans CJK SC" w:hAnsi="Noto Sans CJK SC" w:eastAsia="Noto Sans CJK SC"/>
          <w:sz w:val="19"/>
        </w:rPr>
        <w:t>对 Agent 来说，Tool Schema 相当于“给模型看的产品界面”。工具名、description、参数、返回结构和错误文案都会直接改变模型行为，因此应像 API + UX 文案一样被产品化管理。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087"/>
      </w:tblGrid>
      <w:tr>
        <w:trPr>
          <w:cantSplit w:val="1"/>
        </w:trPr>
        <w:tc>
          <w:tcPr>
            <w:tcW w:type="dxa" w:w="498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PM 深度边界</w:t>
            </w:r>
          </w:p>
        </w:tc>
        <w:tc>
          <w:tcPr>
            <w:tcW w:type="dxa" w:w="4986"/>
            <w:shd w:fill="EEF5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7365D"/>
                <w:sz w:val="18"/>
              </w:rPr>
              <w:t>PM 定义工具能力、使用/禁用场景、权限等级、输入输出语义、失败后的下一步；研发决定具体供应商、HTTP库、缓存实现和浏览器技术栈。</w:t>
            </w:r>
          </w:p>
        </w:tc>
      </w:tr>
    </w:tbl>
    <w:p>
      <w:pPr>
        <w:pStyle w:val="Heading1"/>
      </w:pPr>
      <w:r>
        <w:t>1. Tool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24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核心用途</w:t>
            </w:r>
          </w:p>
        </w:tc>
        <w:tc>
          <w:tcPr>
            <w:tcW w:type="dxa" w:w="175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是否进入模型 tools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web_search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Read / Web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多源检索，返回标题/URL/snippet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fetch_url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Read / Web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静态抓取正文；自动 JS fallback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fetch_js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Read / Browser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低-中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显式 JS 渲染抓取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note_write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Internal Write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把关键发现写入任务 Notes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note_read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Internal Read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报告前读取 Notes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update_checklist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Internal State Write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低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更新子问题进度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MCP tools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External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按工具动态分级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扩展第三方能力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可选；动态加入</w:t>
            </w:r>
          </w:p>
        </w:tc>
      </w:tr>
    </w:tbl>
    <w:p>
      <w:pPr>
        <w:pStyle w:val="Heading1"/>
      </w:pPr>
      <w:r>
        <w:t>2. 通用 Tool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字段/规则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产品要求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动词性、稳定、唯一；改名视为行为变更。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description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写清楚“何时用 / 何时不要用 / 关键边界 / 与相邻工具的分工”。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parameters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JSON Schema；required 明确；禁止让模型猜隐含字段。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return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默认结构化 JSON 字符串；保留高信号字段；超长结果必须裁剪/提取。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error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错误也作为模型上下文；必须可行动，告诉模型换关键词/换来源/基于已有证据收敛。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idempotency/cache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可复用的读取型工具应提供 Session 级缓存，避免重复成本与反爬。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risk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外部写、删除、移动、发送、付款、权限变更默认需要人工审批。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observability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记录 tool_name、args、full_result、latency、cache_hit、fallback、extraction。</w:t>
            </w:r>
          </w:p>
        </w:tc>
      </w:tr>
    </w:tbl>
    <w:p>
      <w:pPr>
        <w:pStyle w:val="Heading2"/>
      </w:pPr>
      <w:r>
        <w:t>T01 · web_search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搜索公开互联网，为事实查证提供候选证据。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 When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需要新事实、官方页面、对比对象、发布日期或当前信息；优先用更具体的关键词。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 Not Use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已有相同/高度相似 Query 结果足够时；已有 URL 可直接抓取时。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 Schema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{"query": string}；query 非空。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Success Result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最多5条 [{title≤100,url,snippet≤300}]；整体受 MAX_TOOL_RESULT_CHARS 限制。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Semantics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Tavily 失败/未配→DDGS；DDGS 最多3次退避重试；仍失败返回“换更短关键词或访问已知官方URL”的可行动错误。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 Middleware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Session Cache：exact 命中直接复用；fuzzy similarity≥0.75 复用并附 advisory；记录 saved_calls。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Acceptance Tests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空Query；exact cache；fuzzy cache；Tavily失败降级；DDGS连续失败；结果总长裁剪。</w:t>
            </w:r>
          </w:p>
        </w:tc>
      </w:tr>
    </w:tbl>
    <w:p>
      <w:pPr>
        <w:pStyle w:val="Heading2"/>
      </w:pPr>
      <w:r>
        <w:t>T02 · fetch_url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快速读取网页正文，并对 SPA/静态提取失败自动降级 JS。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 When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搜索摘要不足以支撑关键事实，需要页面正文/表格/具体条款。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 Not Use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snippet 已足够；URL 已抓取；域名已多次失败且有替代来源。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 Schema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{"url": string(http/https)}。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Success Result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JSON {url,content,note}；正文头尾保留截断≤MAX_TOOL_RESULT_CHARS；若自动 JS fallback 增加 auto_fallback=true。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Semantics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URL非法→指导复制完整URL；两种抓取都失败→建议用 snippet 或换来源。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 Middleware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URL exact cache；静态正文&lt;150字/SPA关键词且&lt;400字→自动 fetch_js(wait=3000)；同域失败≥2给改道 advisory。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Acceptance Tests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URL格式；静态成功；SPA自动fallback；登录/反爬失败；URL cache；domain advisory。</w:t>
            </w:r>
          </w:p>
        </w:tc>
      </w:tr>
    </w:tbl>
    <w:p>
      <w:pPr>
        <w:pStyle w:val="Heading2"/>
      </w:pPr>
      <w:r>
        <w:t>T03 · fetch_js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用无头浏览器执行 JavaScript 后读取可见正文。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 When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fetch_url 内容过少；确认页面由 JS 动态渲染；需要懒加载/页脚信息。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 Not Use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普通静态页；已有有效 fetch_url 结果；Playwright不可用且已有其他证据。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 Schema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{"url":string,"wait_ms":integer?}；默认4000ms，慢页可到8000ms。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Success Result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JSON {url,title,content,note}；会滚动页面触发懒加载；头尾保留截断。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Semantics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Playwright未安装→明确安装提示或改用 fetch_url；渲染失败→改用其他来源。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 Middleware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运行耗时高；应纳入 latency 监控；同 URL 缓存由 dispatch 层复用。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Acceptance Tests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动态页；空body；超时；wait_ms；缓存；结果截断。</w:t>
            </w:r>
          </w:p>
        </w:tc>
      </w:tr>
    </w:tbl>
    <w:p>
      <w:pPr>
        <w:pStyle w:val="Heading2"/>
      </w:pPr>
      <w:r>
        <w:t>T04 · note_write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把已验证的关键发现写入 Context 之外的任务 Notes。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 When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完成一个子问题、拿到关键数据/冲突证据时立即写。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 Not Use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未验证猜测、纯过程描述、用户长期偏好。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 Schema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{"content":string}；单次写入最多约2000字符。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Success Result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追加 Markdown，带时间戳；返回“已写入笔记”回执。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Semantics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Notes路径未初始化→明确错误；不应让整个 Run 崩溃。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 Middleware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同 Session 共用 notes.md；多 Agent 用 thread-local 隔离；写入后 Runtime 可启发式核销 Checklist。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Acceptance Tests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路径未初始化；多次追加；Session续跑；Worker隔离；超长截断。</w:t>
            </w:r>
          </w:p>
        </w:tc>
      </w:tr>
    </w:tbl>
    <w:p>
      <w:pPr>
        <w:pStyle w:val="Heading2"/>
      </w:pPr>
      <w:r>
        <w:t>T05 · note_read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在结题前读取任务 Notes，避免压缩后的事实丢失。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 When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准备写最终报告或需要恢复早期事实时。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 Not Use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研究刚开始且 Notes 为空。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 Schema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{}。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Success Result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返回 Notes；过长时 smart_truncate 至 MAX_TOOL_RESULT_CHARS。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Semantics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无 Notes→“笔记为空，请先记录关键发现”。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 Middleware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Forced Final 场景由 Runtime 直接读文件并嵌入，不依赖模型再调用此工具。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Acceptance Tests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空Notes；长Notes截断；正常报告前读取；强制结题不调用。</w:t>
            </w:r>
          </w:p>
        </w:tc>
      </w:tr>
    </w:tbl>
    <w:p>
      <w:pPr>
        <w:pStyle w:val="Heading2"/>
      </w:pPr>
      <w:r>
        <w:t>T06 · update_checklist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显式维护 Planner 子问题的研究完成状态。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 When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开始查某子问题→in_progress；已验证并写 Note→completed + summary。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 Not Use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没有对应 sub_id；只因为“搜过一次”就标 completed。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 Schema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{"sub_id":int,"status":"in_progress|completed","summary":string?}；completed时产品要求summary。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Success Result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更新状态并返回回执；Runtime同时发 checklist 事件。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Semantics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sub_id不存在→返回当前可用编号；不抛异常。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 Middleware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全部 completed 后每轮进度 Prompt 强制要求结题；note_write 也可启发式自动核销。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Acceptance Tests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状态流转；错误sub_id；全量完成收敛；自动核销与显式更新一致。</w:t>
            </w:r>
          </w:p>
        </w:tc>
      </w:tr>
    </w:tbl>
    <w:p>
      <w:pPr>
        <w:pStyle w:val="Heading2"/>
      </w:pPr>
      <w:r>
        <w:t>T07 · Dynamic MCP Tool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扩展 Agent 到外部服务/文件系统。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 When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需求需要内置研究工具之外能力，且已配置 MCP Server。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 Not Use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MCP 未配置；没有业务必要；只为“多工具”而增加工具面。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 Schema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由 MCP Tool Schema 动态转换为 OpenAI tool schema。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Success Result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由 MCP client 返回，仍作为 role=tool 回填。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Error Semantics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连接/调用失败转为可行动错误并进入失败计数。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 Middleware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名称包含 write/edit/move/create 的工具默认加入 DANGEROUS_TOOLS；执行前 HITL。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Acceptance Tests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发现工具；只读调用；写类审批批准/拒绝/超时；MCP故障不影响内置工具。</w:t>
            </w:r>
          </w:p>
        </w:tc>
      </w:tr>
    </w:tbl>
    <w:p>
      <w:pPr>
        <w:pStyle w:val="Heading1"/>
      </w:pPr>
      <w:r>
        <w:t>3. Cache / Dedup Middleware（不是模型工具）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83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0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模型看到什么</w:t>
            </w:r>
          </w:p>
        </w:tc>
        <w:tc>
          <w:tcPr>
            <w:tcW w:type="dxa" w:w="198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产品价值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Search exact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normalize 后完全相同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真实旧结果 + “重复检索” advisory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0网络成本，阻断原地踏步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Search fuzzy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Jaccard/Overlap 综合相似度≥0.75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最相似旧结果 + 重合度 advisory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阻断伪改写重复搜索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URL exact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去尾斜杠后相同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已解析旧正文 + 防重 advisory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避免重复下载/429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Domain failures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同域失败累计≥2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建议换来源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减少反爬死循环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Extraction flags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长页提取时记录 before/after/ratio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前端显示提纯徽章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让成本优化可观察</w:t>
            </w:r>
          </w:p>
        </w:tc>
      </w:tr>
    </w:tbl>
    <w:p>
      <w:pPr>
        <w:pStyle w:val="Heading1"/>
      </w:pPr>
      <w:r>
        <w:t>4. Tool Error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75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26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62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Tool 返回原则</w:t>
            </w:r>
          </w:p>
        </w:tc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是否计入 fail_streak</w:t>
            </w:r>
          </w:p>
        </w:tc>
      </w:tr>
      <w:tr>
        <w:trPr>
          <w:cantSplit w:val="1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参数错误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URL缺协议、非法表达式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指出正确格式和下一步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网络/限流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timeout、429、搜索源失败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重试有限；然后换源/关键词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内容不可得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登录墙、纯视频、反爬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明确“不要继续该URL”，用snippet/换来源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依赖缺失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Playwright未安装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给出依赖或替代工具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rPr>
          <w:cantSplit w:val="1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缓存命中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重复Query/URL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不是错误；返回真实缓存 + advisory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 w:val="1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业务拒绝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HITL reject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作为 tool receipt 回填，要求尊重用户决定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否；但不得再次同动作</w:t>
            </w:r>
          </w:p>
        </w:tc>
      </w:tr>
    </w:tbl>
    <w:p>
      <w:pPr>
        <w:pStyle w:val="Heading1"/>
      </w:pPr>
      <w:r>
        <w:t>5. Risk &amp; Permission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风险级</w:t>
            </w:r>
          </w:p>
        </w:tc>
        <w:tc>
          <w:tcPr>
            <w:tcW w:type="dxa" w:w="283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动作例子</w:t>
            </w:r>
          </w:p>
        </w:tc>
        <w:tc>
          <w:tcPr>
            <w:tcW w:type="dxa" w:w="283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默认策略</w:t>
            </w:r>
          </w:p>
        </w:tc>
        <w:tc>
          <w:tcPr>
            <w:tcW w:type="dxa" w:w="249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UI/日志要求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R0 Read-only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Search/Fetch/Read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自动执行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正常 tool_result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R1 Internal reversible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任务内 Note/Checklist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自动执行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记录状态变化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R2 External write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MCP create/write/edit/move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必须 HITL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显示工具、参数、风险原因；批准/拒绝回执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R3 Destructive / financial / permission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delete/send/pay/permission change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MVP默认不开放；若开放必须强审批+额外校验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单独风险提示与审计</w:t>
            </w:r>
          </w:p>
        </w:tc>
      </w:tr>
    </w:tbl>
    <w:p>
      <w:pPr>
        <w:pStyle w:val="Heading1"/>
      </w:pPr>
      <w:r>
        <w:t>6. Tool Observability Schema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"tool_name": "fetch_url",</w:t>
        <w:br/>
        <w:t xml:space="preserve">  "args": {"url": "..."},</w:t>
        <w:br/>
        <w:t xml:space="preserve">  "success": true,</w:t>
        <w:br/>
        <w:t xml:space="preserve">  "latency_ms": 1234,</w:t>
        <w:br/>
        <w:t xml:space="preserve">  "cache_hit": false,</w:t>
        <w:br/>
        <w:t xml:space="preserve">  "cache_type": null,</w:t>
        <w:br/>
        <w:t xml:space="preserve">  "auto_fallback": true,</w:t>
        <w:br/>
        <w:t xml:space="preserve">  "extracted": true,</w:t>
        <w:br/>
        <w:t xml:space="preserve">  "before_chars": 3500,</w:t>
        <w:br/>
        <w:t xml:space="preserve">  "after_chars": 380,</w:t>
        <w:br/>
        <w:t xml:space="preserve">  "extract_ratio": 89,</w:t>
        <w:br/>
        <w:t xml:space="preserve">  "full_result": "..."</w:t>
        <w:br/>
        <w:t>}</w:t>
      </w:r>
    </w:p>
    <w:p>
      <w:pPr>
        <w:pStyle w:val="Heading1"/>
      </w:pPr>
      <w:r>
        <w:t>7. PM 应写到哪里为止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17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PM 写</w:t>
            </w:r>
          </w:p>
        </w:tc>
        <w:tc>
          <w:tcPr>
            <w:tcW w:type="dxa" w:w="30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研发写</w:t>
            </w:r>
          </w:p>
        </w:tc>
        <w:tc>
          <w:tcPr>
            <w:tcW w:type="dxa" w:w="272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</w:t>
            </w:r>
          </w:p>
        </w:tc>
      </w:tr>
      <w:tr>
        <w:trPr>
          <w:cantSplit w:val="1"/>
        </w:trP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Tool用途、触发/禁用条件、参数语义、返回字段、错误行为、风险级、验收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HTTP client、trafilatura/playwright实现、缓存类、重试代码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前者决定 Agent 行为；后者是工程实现</w:t>
            </w:r>
          </w:p>
        </w:tc>
      </w:tr>
      <w:tr>
        <w:trPr>
          <w:cantSplit w:val="1"/>
        </w:trP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“静态正文无效时应自动降级JS”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如何判断SPA、Browser参数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产品定义体验，研发选择算法</w:t>
            </w:r>
          </w:p>
        </w:tc>
      </w:tr>
      <w:tr>
        <w:trPr>
          <w:cantSplit w:val="1"/>
        </w:trP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“外部写操作必须审批”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危险工具注册表实现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权限规则不能只藏在代码里</w:t>
            </w:r>
          </w:p>
        </w:tc>
      </w:tr>
    </w:tbl>
    <w:p>
      <w:pPr>
        <w:pStyle w:val="Heading1"/>
      </w:pPr>
      <w:r>
        <w:t>实现映射（便于产品与代码对照）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需求域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当前实现位置</w:t>
            </w:r>
          </w:p>
        </w:tc>
        <w:tc>
          <w:tcPr>
            <w:tcW w:type="dxa" w:w="408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工具声明/执行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common/tools.py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Search/Fetch/JS/Notes/Checklist + dispatch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缓存去重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common/cache.py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Search exact/fuzzy、URL cache、domain failures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工具执行/HITL/事件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common/agent_core.py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Tool loop、MCP、approval、evidence收集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危险分级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common/guardrails.py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DANGEROUS_TOOLS + approval_required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 xml:space="preserve">Training Edition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Sky Research Agent · AI PM 研发交付附件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70" w:right="170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