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/>
        <w:jc w:val="center"/>
      </w:pPr>
      <w:r>
        <w:rPr>
          <w:rFonts w:ascii="Noto Sans CJK SC" w:hAnsi="Noto Sans CJK SC" w:eastAsia="Noto Sans CJK SC"/>
          <w:b/>
          <w:color w:val="162B42"/>
          <w:sz w:val="58"/>
        </w:rPr>
        <w:t>Sky Research Agent</w:t>
      </w:r>
    </w:p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36"/>
        </w:rPr>
        <w:t>产品需求文档 PRD · V4.0</w:t>
      </w:r>
    </w:p>
    <w:p>
      <w:pPr>
        <w:spacing w:before="160"/>
        <w:jc w:val="center"/>
      </w:pPr>
      <w:r>
        <w:rPr>
          <w:rFonts w:ascii="Noto Sans CJK SC" w:hAnsi="Noto Sans CJK SC" w:eastAsia="Noto Sans CJK SC"/>
          <w:color w:val="505A64"/>
          <w:sz w:val="22"/>
        </w:rPr>
        <w:t>Deep Research Agent · 图表增强标准版 · 正式研发交付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EEF3F8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D465F"/>
                <w:sz w:val="18"/>
              </w:rPr>
              <w:t>文档状态</w:t>
            </w:r>
          </w:p>
        </w:tc>
        <w:tc>
          <w:tcPr>
            <w:tcW w:type="dxa" w:w="5112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研发评审版</w:t>
            </w:r>
          </w:p>
        </w:tc>
      </w:tr>
      <w:tr>
        <w:trPr>
          <w:cantSplit/>
        </w:trPr>
        <w:tc>
          <w:tcPr>
            <w:tcW w:type="dxa" w:w="5112"/>
            <w:shd w:fill="EEF3F8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D465F"/>
                <w:sz w:val="18"/>
              </w:rPr>
              <w:t>产品版本</w:t>
            </w:r>
          </w:p>
        </w:tc>
        <w:tc>
          <w:tcPr>
            <w:tcW w:type="dxa" w:w="5112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V1.0 MVP / PRD V4.0</w:t>
            </w:r>
          </w:p>
        </w:tc>
      </w:tr>
      <w:tr>
        <w:trPr>
          <w:cantSplit/>
        </w:trPr>
        <w:tc>
          <w:tcPr>
            <w:tcW w:type="dxa" w:w="5112"/>
            <w:shd w:fill="EEF3F8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D465F"/>
                <w:sz w:val="18"/>
              </w:rPr>
              <w:t>基线日期</w:t>
            </w:r>
          </w:p>
        </w:tc>
        <w:tc>
          <w:tcPr>
            <w:tcW w:type="dxa" w:w="5112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2026-09-21</w:t>
            </w:r>
          </w:p>
        </w:tc>
      </w:tr>
      <w:tr>
        <w:trPr>
          <w:cantSplit/>
        </w:trPr>
        <w:tc>
          <w:tcPr>
            <w:tcW w:type="dxa" w:w="5112"/>
            <w:shd w:fill="EEF3F8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D465F"/>
                <w:sz w:val="18"/>
              </w:rPr>
              <w:t>默认研究档位</w:t>
            </w:r>
          </w:p>
        </w:tc>
        <w:tc>
          <w:tcPr>
            <w:tcW w:type="dxa" w:w="5112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Standard · 50,000 tokens</w:t>
            </w:r>
          </w:p>
        </w:tc>
      </w:tr>
      <w:tr>
        <w:trPr>
          <w:cantSplit/>
        </w:trPr>
        <w:tc>
          <w:tcPr>
            <w:tcW w:type="dxa" w:w="5112"/>
            <w:shd w:fill="EEF3F8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D465F"/>
                <w:sz w:val="18"/>
              </w:rPr>
              <w:t>流程节点</w:t>
            </w:r>
          </w:p>
        </w:tc>
        <w:tc>
          <w:tcPr>
            <w:tcW w:type="dxa" w:w="5112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N00-N32，共33个产品节点</w:t>
            </w:r>
          </w:p>
        </w:tc>
      </w:tr>
      <w:tr>
        <w:trPr>
          <w:cantSplit/>
        </w:trPr>
        <w:tc>
          <w:tcPr>
            <w:tcW w:type="dxa" w:w="5112"/>
            <w:shd w:fill="EEF3F8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D465F"/>
                <w:sz w:val="18"/>
              </w:rPr>
              <w:t>图表</w:t>
            </w:r>
          </w:p>
        </w:tc>
        <w:tc>
          <w:tcPr>
            <w:tcW w:type="dxa" w:w="5112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12张流程/状态/决策图</w:t>
            </w:r>
          </w:p>
        </w:tc>
      </w:tr>
      <w:tr>
        <w:trPr>
          <w:cantSplit/>
        </w:trPr>
        <w:tc>
          <w:tcPr>
            <w:tcW w:type="dxa" w:w="5112"/>
            <w:shd w:fill="EEF3F8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D465F"/>
                <w:sz w:val="18"/>
              </w:rPr>
              <w:t>研发基线</w:t>
            </w:r>
          </w:p>
        </w:tc>
        <w:tc>
          <w:tcPr>
            <w:tcW w:type="dxa" w:w="5112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github.com/skyzizhu/sky-agent-mvp-stu</w:t>
            </w:r>
          </w:p>
        </w:tc>
      </w:tr>
      <w:tr>
        <w:trPr>
          <w:cantSplit/>
        </w:trPr>
        <w:tc>
          <w:tcPr>
            <w:tcW w:type="dxa" w:w="5112"/>
            <w:shd w:fill="EEF3F8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D465F"/>
                <w:sz w:val="18"/>
              </w:rPr>
              <w:t>约束</w:t>
            </w:r>
          </w:p>
        </w:tc>
        <w:tc>
          <w:tcPr>
            <w:tcW w:type="dxa" w:w="5112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若当前实现与本 PRD 不一致，以本 PRD 目标行为为准。</w:t>
            </w:r>
          </w:p>
        </w:tc>
      </w:tr>
    </w:tbl>
    <w:p>
      <w:r>
        <w:br w:type="page"/>
      </w:r>
    </w:p>
    <w:p>
      <w:pPr>
        <w:pStyle w:val="Heading1"/>
      </w:pPr>
      <w:r>
        <w:t>0. 文档控制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440"/>
            <w:shd w:fill="EAF0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374F"/>
                <w:sz w:val="17"/>
              </w:rPr>
              <w:t>版本</w:t>
            </w:r>
          </w:p>
        </w:tc>
        <w:tc>
          <w:tcPr>
            <w:tcW w:type="dxa" w:w="1800"/>
            <w:shd w:fill="EAF0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374F"/>
                <w:sz w:val="17"/>
              </w:rPr>
              <w:t>日期</w:t>
            </w:r>
          </w:p>
        </w:tc>
        <w:tc>
          <w:tcPr>
            <w:tcW w:type="dxa" w:w="7128"/>
            <w:shd w:fill="EAF0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374F"/>
                <w:sz w:val="17"/>
              </w:rPr>
              <w:t>变更内容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V3.0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2026-09-21</w:t>
            </w:r>
          </w:p>
        </w:tc>
        <w:tc>
          <w:tcPr>
            <w:tcW w:type="dxa" w:w="71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明确33个产品节点、阈值、重试/兜底、Evidence与Eval标准。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V4.0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2026-09-21</w:t>
            </w:r>
          </w:p>
        </w:tc>
        <w:tc>
          <w:tcPr>
            <w:tcW w:type="dxa" w:w="71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在V3.0业务规则基础上新增整体流程图、状态图、关键子流程图、节点映射和图表化决策表达；核心业务阈值保持一致。</w:t>
            </w:r>
          </w:p>
        </w:tc>
      </w:tr>
      <w:tr>
        <w:tc>
          <w:tcPr>
            <w:tcW w:type="dxa" w:w="3408"/>
          </w:tcPr>
          <w:p>
            <w:r>
              <w:t>V4.1</w:t>
            </w:r>
          </w:p>
        </w:tc>
        <w:tc>
          <w:tcPr>
            <w:tcW w:type="dxa" w:w="3408"/>
          </w:tcPr>
          <w:p>
            <w:r>
              <w:t>2026-09-21</w:t>
            </w:r>
          </w:p>
        </w:tc>
        <w:tc>
          <w:tcPr>
            <w:tcW w:type="dxa" w:w="3408"/>
          </w:tcPr>
          <w:p>
            <w:r>
              <w:t>同步压缩参数：阈值 4000→600,000（1M×60%）；保留 6→20 条（配置化自动推导）</w:t>
            </w:r>
          </w:p>
        </w:tc>
      </w:tr>
    </w:tbl>
    <w:p>
      <w:pPr>
        <w:spacing w:after="20"/>
      </w:pPr>
    </w:p>
    <w:p>
      <w:pPr>
        <w:pStyle w:val="Heading2"/>
      </w:pPr>
      <w:r>
        <w:t>0.1 文档结构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1296"/>
            <w:shd w:fill="EAF0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374F"/>
                <w:sz w:val="17"/>
              </w:rPr>
              <w:t>章节</w:t>
            </w:r>
          </w:p>
        </w:tc>
        <w:tc>
          <w:tcPr>
            <w:tcW w:type="dxa" w:w="9072"/>
            <w:shd w:fill="EAF0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374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1</w:t>
            </w:r>
          </w:p>
        </w:tc>
        <w:tc>
          <w:tcPr>
            <w:tcW w:type="dxa" w:w="90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产品定义、目标、场景与范围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2</w:t>
            </w:r>
          </w:p>
        </w:tc>
        <w:tc>
          <w:tcPr>
            <w:tcW w:type="dxa" w:w="90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全局参数与硬边界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3</w:t>
            </w:r>
          </w:p>
        </w:tc>
        <w:tc>
          <w:tcPr>
            <w:tcW w:type="dxa" w:w="90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整体流程、Run状态与节点地图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4</w:t>
            </w:r>
          </w:p>
        </w:tc>
        <w:tc>
          <w:tcPr>
            <w:tcW w:type="dxa" w:w="90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关键子流程图与决策图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5</w:t>
            </w:r>
          </w:p>
        </w:tc>
        <w:tc>
          <w:tcPr>
            <w:tcW w:type="dxa" w:w="90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N00-N32详细节点规格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6</w:t>
            </w:r>
          </w:p>
        </w:tc>
        <w:tc>
          <w:tcPr>
            <w:tcW w:type="dxa" w:w="90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Evidence与交叉验证标准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7</w:t>
            </w:r>
          </w:p>
        </w:tc>
        <w:tc>
          <w:tcPr>
            <w:tcW w:type="dxa" w:w="90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异常与兜底矩阵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8</w:t>
            </w:r>
          </w:p>
        </w:tc>
        <w:tc>
          <w:tcPr>
            <w:tcW w:type="dxa" w:w="90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最终报告内容合同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9</w:t>
            </w:r>
          </w:p>
        </w:tc>
        <w:tc>
          <w:tcPr>
            <w:tcW w:type="dxa" w:w="90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验收与Eval发布Gate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10</w:t>
            </w:r>
          </w:p>
        </w:tc>
        <w:tc>
          <w:tcPr>
            <w:tcW w:type="dxa" w:w="90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扩展能力规则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11</w:t>
            </w:r>
          </w:p>
        </w:tc>
        <w:tc>
          <w:tcPr>
            <w:tcW w:type="dxa" w:w="90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上线观测指标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12</w:t>
            </w:r>
          </w:p>
        </w:tc>
        <w:tc>
          <w:tcPr>
            <w:tcW w:type="dxa" w:w="90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研发基线资料</w:t>
            </w:r>
          </w:p>
        </w:tc>
      </w:tr>
    </w:tbl>
    <w:p>
      <w:pPr>
        <w:spacing w:after="20"/>
      </w:pPr>
    </w:p>
    <w:p>
      <w:pPr>
        <w:pStyle w:val="Heading1"/>
      </w:pPr>
      <w:r>
        <w:t>1. 产品定义、目标与范围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</w:rPr>
        <w:t>Sky Research Agent 是面向开放式研究任务的 Deep Research Agent。用户输入一个研究问题后，系统自主完成问题理解、研究大纲、检索、网页深读、证据沉淀、交叉验证、上下文管理、收敛与报告生成，并输出可追溯来源的结构化研究结果。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</w:rPr>
        <w:t>本版本以“有限预算内完成核心研究并形成可信交付”为目标，不追求无限搜索。所有异常出口均必须优先保留已有研究成果。</w:t>
      </w:r>
    </w:p>
    <w:p>
      <w:pPr>
        <w:pStyle w:val="Heading2"/>
      </w:pPr>
      <w:r>
        <w:t>1.1 核心产品目标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sz w:val="18"/>
        </w:rPr>
        <w:t>准确有据：关键事实必须来自本次 Evidence；价格、数字、日期、限额、规格不得靠模型记忆补齐。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sz w:val="18"/>
        </w:rPr>
        <w:t>来源可追溯：关键事实附完整 URL 引用；用户可以核验原始来源。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sz w:val="18"/>
        </w:rPr>
        <w:t>主动收敛：通过 Checklist、Budget、Step、熔断和硬结题避免无限研究。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sz w:val="18"/>
        </w:rPr>
        <w:t>异常可恢复：LLM、Search、Fetch、Tool、Context、Final 任一失败均有明确降级链。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sz w:val="18"/>
        </w:rPr>
        <w:t>过程可控：用户可选择研究预算、查看进度、停止任务并审批危险动作。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sz w:val="18"/>
        </w:rPr>
        <w:t>质量可评测：固定 Eval Set + 四维评分 + 回归 Gate 决定版本是否可发布。</w:t>
      </w:r>
    </w:p>
    <w:p>
      <w:pPr>
        <w:pStyle w:val="Heading2"/>
      </w:pPr>
      <w:r>
        <w:t>1.2 核心用户场景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944"/>
            <w:shd w:fill="EAF0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374F"/>
                <w:sz w:val="17"/>
              </w:rPr>
              <w:t>场景</w:t>
            </w:r>
          </w:p>
        </w:tc>
        <w:tc>
          <w:tcPr>
            <w:tcW w:type="dxa" w:w="3816"/>
            <w:shd w:fill="EAF0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374F"/>
                <w:sz w:val="17"/>
              </w:rPr>
              <w:t>典型输入</w:t>
            </w:r>
          </w:p>
        </w:tc>
        <w:tc>
          <w:tcPr>
            <w:tcW w:type="dxa" w:w="4608"/>
            <w:shd w:fill="EAF0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374F"/>
                <w:sz w:val="17"/>
              </w:rPr>
              <w:t>期望结果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产品/竞品调研</w:t>
            </w:r>
          </w:p>
        </w:tc>
        <w:tc>
          <w:tcPr>
            <w:tcW w:type="dxa" w:w="38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“对比 Notion 与飞书知识库免费版的能力差异”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按维度比较、引用官方/可靠来源、明确未验证项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行业研究</w:t>
            </w:r>
          </w:p>
        </w:tc>
        <w:tc>
          <w:tcPr>
            <w:tcW w:type="dxa" w:w="38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“调研 AI Coding Agent 市场格局与主要玩家”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多来源归纳、关键事实交叉验证、时间语境清晰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产品决策资料收集</w:t>
            </w:r>
          </w:p>
        </w:tc>
        <w:tc>
          <w:tcPr>
            <w:tcW w:type="dxa" w:w="38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“研究某 SaaS 的商业模式、价格与企业权限”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关键数字有依据，冲突来源明确列出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持续追问</w:t>
            </w:r>
          </w:p>
        </w:tc>
        <w:tc>
          <w:tcPr>
            <w:tcW w:type="dxa" w:w="38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“继续看上一轮中的企业权限和最新价格”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复用 Session Notes，时效型事实必要时刷新</w:t>
            </w:r>
          </w:p>
        </w:tc>
      </w:tr>
    </w:tbl>
    <w:p>
      <w:pPr>
        <w:spacing w:after="20"/>
      </w:pPr>
    </w:p>
    <w:p>
      <w:pPr>
        <w:pStyle w:val="Heading2"/>
      </w:pPr>
      <w:r>
        <w:t>1.3 产品范围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1944"/>
            <w:shd w:fill="EAF0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374F"/>
                <w:sz w:val="17"/>
              </w:rPr>
              <w:t>范围</w:t>
            </w:r>
          </w:p>
        </w:tc>
        <w:tc>
          <w:tcPr>
            <w:tcW w:type="dxa" w:w="8424"/>
            <w:shd w:fill="EAF0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374F"/>
                <w:sz w:val="17"/>
              </w:rPr>
              <w:t>V4.0要求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研究主链路</w:t>
            </w:r>
          </w:p>
        </w:tc>
        <w:tc>
          <w:tcPr>
            <w:tcW w:type="dxa" w:w="84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输入 → 规划 → Checklist → Research Loop → Search/Fetch → Evidence/Notes → 验证 → Context → 收敛 → Final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工具能力</w:t>
            </w:r>
          </w:p>
        </w:tc>
        <w:tc>
          <w:tcPr>
            <w:tcW w:type="dxa" w:w="84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Web Search、静态抓取、JS降级、Notes、Checklist；MCP为可扩展工具入口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控制机制</w:t>
            </w:r>
          </w:p>
        </w:tc>
        <w:tc>
          <w:tcPr>
            <w:tcW w:type="dxa" w:w="84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20步上限、Budget三水位、Stop、HITL、失败熔断、强制无Tools结题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持续使用</w:t>
            </w:r>
          </w:p>
        </w:tc>
        <w:tc>
          <w:tcPr>
            <w:tcW w:type="dxa" w:w="84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Session续跑、长期偏好Memory、历史回放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质量体系</w:t>
            </w:r>
          </w:p>
        </w:tc>
        <w:tc>
          <w:tcPr>
            <w:tcW w:type="dxa" w:w="84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Evidence规则、12题Eval、四维评分、发布Gate、运行观测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非目标</w:t>
            </w:r>
          </w:p>
        </w:tc>
        <w:tc>
          <w:tcPr>
            <w:tcW w:type="dxa" w:w="84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不以通用聊天、自动交易/支付、无人监管高风险写操作为V1核心目标</w:t>
            </w:r>
          </w:p>
        </w:tc>
      </w:tr>
    </w:tbl>
    <w:p>
      <w:pPr>
        <w:spacing w:after="20"/>
      </w:pPr>
    </w:p>
    <w:p>
      <w:pPr>
        <w:pStyle w:val="Heading1"/>
      </w:pPr>
      <w:r>
        <w:t>2. 全局产品参数与硬边界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</w:rPr>
        <w:t>以下参数属于 V4.0 产品合同。实现方式可以变化，但未经需求变更不得修改这些阈值或出口行为。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304"/>
            <w:shd w:fill="EAF0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374F"/>
                <w:sz w:val="16"/>
              </w:rPr>
              <w:t>规则</w:t>
            </w:r>
          </w:p>
        </w:tc>
        <w:tc>
          <w:tcPr>
            <w:tcW w:type="dxa" w:w="3197"/>
            <w:shd w:fill="EAF0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374F"/>
                <w:sz w:val="16"/>
              </w:rPr>
              <w:t>数值 / 方案</w:t>
            </w:r>
          </w:p>
        </w:tc>
        <w:tc>
          <w:tcPr>
            <w:tcW w:type="dxa" w:w="4867"/>
            <w:shd w:fill="EAF0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374F"/>
                <w:sz w:val="16"/>
              </w:rPr>
              <w:t>产品含义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默认预算</w:t>
            </w:r>
          </w:p>
        </w:tc>
        <w:tc>
          <w:tcPr>
            <w:tcW w:type="dxa" w:w="319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Standard = 50,000 tokens</w:t>
            </w:r>
          </w:p>
        </w:tc>
        <w:tc>
          <w:tcPr>
            <w:tcW w:type="dxa" w:w="48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用户未选择时使用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预算档位</w:t>
            </w:r>
          </w:p>
        </w:tc>
        <w:tc>
          <w:tcPr>
            <w:tcW w:type="dxa" w:w="319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Quick 20,000 / Standard 50,000 / Deep 120,000 / Unlimited 无 token 上限</w:t>
            </w:r>
          </w:p>
        </w:tc>
        <w:tc>
          <w:tcPr>
            <w:tcW w:type="dxa" w:w="48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Unlimited 仍受步数与熔断约束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最大 Agent 步数</w:t>
            </w:r>
          </w:p>
        </w:tc>
        <w:tc>
          <w:tcPr>
            <w:tcW w:type="dxa" w:w="319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20 步</w:t>
            </w:r>
          </w:p>
        </w:tc>
        <w:tc>
          <w:tcPr>
            <w:tcW w:type="dxa" w:w="48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第 19 步起进入死线收敛；20 步结束后强制结题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进展自检</w:t>
            </w:r>
          </w:p>
        </w:tc>
        <w:tc>
          <w:tcPr>
            <w:tcW w:type="dxa" w:w="319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step ≥ 4 或预算 ≥ 50%</w:t>
            </w:r>
          </w:p>
        </w:tc>
        <w:tc>
          <w:tcPr>
            <w:tcW w:type="dxa" w:w="48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提醒检查核心主干是否已充分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软收敛</w:t>
            </w:r>
          </w:p>
        </w:tc>
        <w:tc>
          <w:tcPr>
            <w:tcW w:type="dxa" w:w="319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预算 ≥ 80%</w:t>
            </w:r>
          </w:p>
        </w:tc>
        <w:tc>
          <w:tcPr>
            <w:tcW w:type="dxa" w:w="48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停止非核心扩展，只补关键缺口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硬收敛</w:t>
            </w:r>
          </w:p>
        </w:tc>
        <w:tc>
          <w:tcPr>
            <w:tcW w:type="dxa" w:w="319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预算 ≥ 95%</w:t>
            </w:r>
          </w:p>
        </w:tc>
        <w:tc>
          <w:tcPr>
            <w:tcW w:type="dxa" w:w="48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物理移除 tools，直接强制结题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预算耗尽</w:t>
            </w:r>
          </w:p>
        </w:tc>
        <w:tc>
          <w:tcPr>
            <w:tcW w:type="dxa" w:w="319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≥ 100%</w:t>
            </w:r>
          </w:p>
        </w:tc>
        <w:tc>
          <w:tcPr>
            <w:tcW w:type="dxa" w:w="48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禁止任何研究型工具；仅允许无工具结题/笔记兜底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搜索结果数</w:t>
            </w:r>
          </w:p>
        </w:tc>
        <w:tc>
          <w:tcPr>
            <w:tcW w:type="dxa" w:w="319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每个 Query 最多 5 条</w:t>
            </w:r>
          </w:p>
        </w:tc>
        <w:tc>
          <w:tcPr>
            <w:tcW w:type="dxa" w:w="48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超出不进入主上下文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相似搜索阈值</w:t>
            </w:r>
          </w:p>
        </w:tc>
        <w:tc>
          <w:tcPr>
            <w:tcW w:type="dxa" w:w="319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max(Jaccard, Overlap) ≥ 0.75</w:t>
            </w:r>
          </w:p>
        </w:tc>
        <w:tc>
          <w:tcPr>
            <w:tcW w:type="dxa" w:w="48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复用已有搜索结果，不再发网络请求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重复 URL</w:t>
            </w:r>
          </w:p>
        </w:tc>
        <w:tc>
          <w:tcPr>
            <w:tcW w:type="dxa" w:w="319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同一 Run 内成功抓取过的规范化 URL 不再网络抓取</w:t>
            </w:r>
          </w:p>
        </w:tc>
        <w:tc>
          <w:tcPr>
            <w:tcW w:type="dxa" w:w="48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直接返回缓存正文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域名失败阈值</w:t>
            </w:r>
          </w:p>
        </w:tc>
        <w:tc>
          <w:tcPr>
            <w:tcW w:type="dxa" w:w="319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同域累计失败 ≥ 2 次</w:t>
            </w:r>
          </w:p>
        </w:tc>
        <w:tc>
          <w:tcPr>
            <w:tcW w:type="dxa" w:w="48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本 Run 后续优先换域名；不得继续原地撞墙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静态正文有效阈值</w:t>
            </w:r>
          </w:p>
        </w:tc>
        <w:tc>
          <w:tcPr>
            <w:tcW w:type="dxa" w:w="319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≥ 150 字</w:t>
            </w:r>
          </w:p>
        </w:tc>
        <w:tc>
          <w:tcPr>
            <w:tcW w:type="dxa" w:w="48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低于阈值或命中 SPA 特征自动 JS 降级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SPA 特征阈值</w:t>
            </w:r>
          </w:p>
        </w:tc>
        <w:tc>
          <w:tcPr>
            <w:tcW w:type="dxa" w:w="319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命中 loading/enable javascript 等关键词且正文 &lt; 400 字</w:t>
            </w:r>
          </w:p>
        </w:tc>
        <w:tc>
          <w:tcPr>
            <w:tcW w:type="dxa" w:w="48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进入 JS 渲染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JS 抓取有效阈值</w:t>
            </w:r>
          </w:p>
        </w:tc>
        <w:tc>
          <w:tcPr>
            <w:tcW w:type="dxa" w:w="319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正文 ≥ 100 字</w:t>
            </w:r>
          </w:p>
        </w:tc>
        <w:tc>
          <w:tcPr>
            <w:tcW w:type="dxa" w:w="48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不足视为失败，换来源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单次工具结果</w:t>
            </w:r>
          </w:p>
        </w:tc>
        <w:tc>
          <w:tcPr>
            <w:tcW w:type="dxa" w:w="319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最多 4,000 字符</w:t>
            </w:r>
          </w:p>
        </w:tc>
        <w:tc>
          <w:tcPr>
            <w:tcW w:type="dxa" w:w="48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网页头 70% + 尾 30% 保留；搜索结果按条目丢弃保持结构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单页事实萃取</w:t>
            </w:r>
          </w:p>
        </w:tc>
        <w:tc>
          <w:tcPr>
            <w:tcW w:type="dxa" w:w="319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网页正文 &gt; 800 字触发</w:t>
            </w:r>
          </w:p>
        </w:tc>
        <w:tc>
          <w:tcPr>
            <w:tcW w:type="dxa" w:w="48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失败时保留裁剪后的原文，不阻断 Run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Context 压缩阈值</w:t>
            </w:r>
          </w:p>
        </w:tc>
        <w:tc>
          <w:tcPr>
            <w:tcW w:type="dxa" w:w="319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600,000 tokens（窗口 1M × 60%，配置化自动推导）；超阈值触发 Compaction</w:t>
            </w:r>
          </w:p>
        </w:tc>
        <w:tc>
          <w:tcPr>
            <w:tcW w:type="dxa" w:w="48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本 MVP 版本固定值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Compaction 保留</w:t>
            </w:r>
          </w:p>
        </w:tc>
        <w:tc>
          <w:tcPr>
            <w:tcW w:type="dxa" w:w="319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最近 20 条合法原始消息</w:t>
            </w:r>
          </w:p>
        </w:tc>
        <w:tc>
          <w:tcPr>
            <w:tcW w:type="dxa" w:w="48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摘要必须保留目标/发现/待办/约束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单条 Notes 写入</w:t>
            </w:r>
          </w:p>
        </w:tc>
        <w:tc>
          <w:tcPr>
            <w:tcW w:type="dxa" w:w="319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最多 2,000 字符</w:t>
            </w:r>
          </w:p>
        </w:tc>
        <w:tc>
          <w:tcPr>
            <w:tcW w:type="dxa" w:w="48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关键事实按子问题沉淀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工具熔断</w:t>
            </w:r>
          </w:p>
        </w:tc>
        <w:tc>
          <w:tcPr>
            <w:tcW w:type="dxa" w:w="319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连续 4 个失败结果触发；最多 2 次改道</w:t>
            </w:r>
          </w:p>
        </w:tc>
        <w:tc>
          <w:tcPr>
            <w:tcW w:type="dxa" w:w="48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第三次达到同等失败条件直接进入阶段性结题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HITL 等待</w:t>
            </w:r>
          </w:p>
        </w:tc>
        <w:tc>
          <w:tcPr>
            <w:tcW w:type="dxa" w:w="319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10 分钟</w:t>
            </w:r>
          </w:p>
        </w:tc>
        <w:tc>
          <w:tcPr>
            <w:tcW w:type="dxa" w:w="48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超时视为拒绝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SSE 心跳</w:t>
            </w:r>
          </w:p>
        </w:tc>
        <w:tc>
          <w:tcPr>
            <w:tcW w:type="dxa" w:w="319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15 秒</w:t>
            </w:r>
          </w:p>
        </w:tc>
        <w:tc>
          <w:tcPr>
            <w:tcW w:type="dxa" w:w="48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无事件时保持连接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SSE 自动重连</w:t>
            </w:r>
          </w:p>
        </w:tc>
        <w:tc>
          <w:tcPr>
            <w:tcW w:type="dxa" w:w="319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最多 5 次；0.8s × 次数退避</w:t>
            </w:r>
          </w:p>
        </w:tc>
        <w:tc>
          <w:tcPr>
            <w:tcW w:type="dxa" w:w="48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失败后提示可从历史回放查看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长期 Memory</w:t>
            </w:r>
          </w:p>
        </w:tc>
        <w:tc>
          <w:tcPr>
            <w:tcW w:type="dxa" w:w="319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最多 20 条</w:t>
            </w:r>
          </w:p>
        </w:tc>
        <w:tc>
          <w:tcPr>
            <w:tcW w:type="dxa" w:w="48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只保存稳定用户偏好，不保存研究事实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有效最终报告</w:t>
            </w:r>
          </w:p>
        </w:tc>
        <w:tc>
          <w:tcPr>
            <w:tcW w:type="dxa" w:w="319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清洗后 ≥ 30 个有效字符</w:t>
            </w:r>
          </w:p>
        </w:tc>
        <w:tc>
          <w:tcPr>
            <w:tcW w:type="dxa" w:w="48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否则视为无效，进入结题兜底</w:t>
            </w:r>
          </w:p>
        </w:tc>
      </w:tr>
    </w:tbl>
    <w:p>
      <w:pPr>
        <w:spacing w:after="20"/>
      </w:pPr>
    </w:p>
    <w:p>
      <w:pPr>
        <w:pStyle w:val="Heading1"/>
      </w:pPr>
      <w:r>
        <w:t>3. 整体流程、状态与节点地图</w:t>
      </w:r>
    </w:p>
    <w:p>
      <w:pPr>
        <w:spacing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6080760" cy="44170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end_to_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417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  <w:keepNext/>
      </w:pPr>
      <w:r>
        <w:rPr>
          <w:rFonts w:ascii="Noto Sans CJK SC" w:hAnsi="Noto Sans CJK SC" w:eastAsia="Noto Sans CJK SC"/>
          <w:b/>
          <w:color w:val="374B5F"/>
          <w:sz w:val="17"/>
        </w:rPr>
        <w:t>图 1  Sky Research Agent 端到端主流程</w:t>
      </w:r>
    </w:p>
    <w:p>
      <w:pPr>
        <w:spacing w:after="100"/>
        <w:ind w:left="288" w:right="288"/>
      </w:pPr>
      <w:r>
        <w:rPr>
          <w:rFonts w:ascii="Noto Sans CJK SC" w:hAnsi="Noto Sans CJK SC" w:eastAsia="Noto Sans CJK SC"/>
          <w:color w:val="586069"/>
          <w:sz w:val="17"/>
        </w:rPr>
        <w:t>主流程不是固定 Workflow：进入 Research Loop 后，由模型在产品边界内动态选择 Search、Fetch、Notes、验证或收尾；代码态 Guardrail 决定何时必须停止。</w:t>
      </w:r>
    </w:p>
    <w:p>
      <w:pPr>
        <w:spacing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6080760" cy="19998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state_mach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999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  <w:keepNext/>
      </w:pPr>
      <w:r>
        <w:rPr>
          <w:rFonts w:ascii="Noto Sans CJK SC" w:hAnsi="Noto Sans CJK SC" w:eastAsia="Noto Sans CJK SC"/>
          <w:b/>
          <w:color w:val="374B5F"/>
          <w:sz w:val="17"/>
        </w:rPr>
        <w:t>图 2  Research Run 状态机</w:t>
      </w:r>
    </w:p>
    <w:p>
      <w:pPr>
        <w:spacing w:after="100"/>
        <w:ind w:left="288" w:right="288"/>
      </w:pPr>
      <w:r>
        <w:rPr>
          <w:rFonts w:ascii="Noto Sans CJK SC" w:hAnsi="Noto Sans CJK SC" w:eastAsia="Noto Sans CJK SC"/>
          <w:color w:val="586069"/>
          <w:sz w:val="17"/>
        </w:rPr>
        <w:t>terminal state 与 stop_reason 分开记录：正常完成进入 completed；用户主动停止并形成阶段性报告进入 stopped；全部兜底仍无有效交付才进入 failed。</w:t>
      </w:r>
    </w:p>
    <w:p>
      <w:pPr>
        <w:pStyle w:val="Heading2"/>
      </w:pPr>
      <w:r>
        <w:t>3.1 节点总览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936"/>
            <w:shd w:fill="EAF0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374F"/>
                <w:sz w:val="15"/>
              </w:rPr>
              <w:t>节点</w:t>
            </w:r>
          </w:p>
        </w:tc>
        <w:tc>
          <w:tcPr>
            <w:tcW w:type="dxa" w:w="1800"/>
            <w:shd w:fill="EAF0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374F"/>
                <w:sz w:val="15"/>
              </w:rPr>
              <w:t>阶段</w:t>
            </w:r>
          </w:p>
        </w:tc>
        <w:tc>
          <w:tcPr>
            <w:tcW w:type="dxa" w:w="3096"/>
            <w:shd w:fill="EAF0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374F"/>
                <w:sz w:val="15"/>
              </w:rPr>
              <w:t>名称</w:t>
            </w:r>
          </w:p>
        </w:tc>
        <w:tc>
          <w:tcPr>
            <w:tcW w:type="dxa" w:w="4536"/>
            <w:shd w:fill="EAF0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374F"/>
                <w:sz w:val="15"/>
              </w:rPr>
              <w:t>主要出口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N00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启动与规划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用户输入与启动校验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合法问题进入 N01；非法空问题直接提示用户补充，不启动 Run。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N01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启动与规划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长期偏好与 Session 上下文注入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形成当前轮 System Context，进入 N02。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N02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启动与规划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预算、步数与安全边界初始化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生成运行约束并进入 N03。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N03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启动与规划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问题理解与研究边界归一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形成 Planner 输入，进入 N04。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N04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启动与规划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研究大纲生成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输出 Goal + Sub-questions + Constraints，进入 N05。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N05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启动与规划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Dynamic Checklist 初始化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进入 N06 Agent Loop。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N06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Research Loop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循环进度与收敛门禁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进入 N07。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N07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Research Loop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下一步研究动作决策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转入 N08/N11/N17/N20/N28 等相应节点。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N08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Research Loop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搜索 Query 生成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交给 N09/N10。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N09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Research Loop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搜索 Provider 与失败降级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成功 → N10/N11；失败 → 回到 N07 改 Query 或用已知 URL。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N10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Research Loop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搜索去重与历史复用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返回已有搜索结果，进入 N11。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N11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Research Loop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搜索结果初筛与 Snippet-First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可直接进入 N17，或挑选高价值 URL 进入 N12/N13。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N12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Research Loop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信源优先级与时效判断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选择进入 N13/N14 的 URL 或直接 N17。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N13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Research Loop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URL 规范化、防重与再次访问规则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缓存命中 → N16/N17；未命中 → N14。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N14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Research Loop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网页抓取与 JS 自动降级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成功 → N16；失败 → N15/N07。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N15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Research Loop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域名失败与反爬改道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返回 N07/N08 选择新来源。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N16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Research Loop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网页裁剪与单页事实萃取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精炼内容进入 N17。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N17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Research Loop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Evidence 与 Notes 沉淀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进入 N18/N20，并可自动核销 Checklist。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N18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Research Loop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关键事实交叉验证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证据充分 → N20；有冲突 → N19；不足 → N08。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N19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Research Loop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信源冲突处理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冲突已解释 → N20；仍需关键查证 → N08。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N20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Research Loop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Checklist 核销与信息充分度判断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有未完成关键项 → 回 N07；全部完成 → N28。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N21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Context / Protocol / Failure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Context 监测与 Compaction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压缩后的 Context 返回 N07。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N22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Context / Protocol / Failure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Tool 参数、协议与执行异常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可恢复 → N07；连续失败 → N24。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N23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Context / Protocol / Failure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LLM 请求失败、重试与模型降级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恢复成功 → 原节点继续；持续失败 → 按各节点专属兜底。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N24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Context / Protocol / Failure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工具连续失败熔断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可改道 → N07；第三次达到阈值 → N27/N28。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N25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控制与结题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用户主动停止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进入 N28/N29，stop_reason=user_stop。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N26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控制与结题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HITL 高风险操作审批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批准→执行并回 N07；拒绝→回 N07 或直接结题。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N27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控制与结题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硬收敛：Budget 与最大步数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进入 N28/N29；stop_reason=budget_hard_stop / max_steps。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N28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控制与结题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最终报告生成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有效报告 → N30/N31。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N29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控制与结题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最终输出兜底链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产生最终交付物 → N30。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N30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控制与结题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Session 上下文与长期 Memory 沉淀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Run 完成，供未来 N01 使用。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N31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观测与质量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运行可观测与历史回放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RunLog / Event Archive / 历史详情。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N32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观测与质量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Eval 与发布 Gate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生成维度均分、总分、逐题 issues 与回归结论。</w:t>
            </w:r>
          </w:p>
        </w:tc>
      </w:tr>
    </w:tbl>
    <w:p>
      <w:pPr>
        <w:spacing w:after="20"/>
      </w:pPr>
    </w:p>
    <w:p>
      <w:pPr>
        <w:pStyle w:val="Heading1"/>
      </w:pPr>
      <w:r>
        <w:t>4. 关键子流程与决策图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</w:rPr>
        <w:t>以下图用于明确复杂节点内部的分支、回跳和硬出口。详细阈值与验收以第5章节点规格为准。</w:t>
      </w:r>
    </w:p>
    <w:p>
      <w:pPr>
        <w:pStyle w:val="Heading2"/>
      </w:pPr>
      <w:r>
        <w:t>4.1 问题理解、Plan 与 Checklist</w:t>
      </w:r>
    </w:p>
    <w:p>
      <w:pPr>
        <w:spacing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4277032" cy="6629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plann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7032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  <w:keepNext/>
      </w:pPr>
      <w:r>
        <w:rPr>
          <w:rFonts w:ascii="Noto Sans CJK SC" w:hAnsi="Noto Sans CJK SC" w:eastAsia="Noto Sans CJK SC"/>
          <w:b/>
          <w:color w:val="374B5F"/>
          <w:sz w:val="17"/>
        </w:rPr>
        <w:t>图 3  问题理解与研究大纲子流程</w:t>
      </w:r>
    </w:p>
    <w:p>
      <w:pPr>
        <w:spacing w:after="100"/>
        <w:ind w:left="288" w:right="288"/>
      </w:pPr>
      <w:r>
        <w:rPr>
          <w:rFonts w:ascii="Noto Sans CJK SC" w:hAnsi="Noto Sans CJK SC" w:eastAsia="Noto Sans CJK SC"/>
          <w:color w:val="586069"/>
          <w:sz w:val="17"/>
        </w:rPr>
        <w:t>对应 N03-N05。Plan 最多 3 个子问题；结构修复最多 1 次，仍失败进入最小计划。</w:t>
      </w:r>
    </w:p>
    <w:p>
      <w:pPr>
        <w:pStyle w:val="Heading2"/>
      </w:pPr>
      <w:r>
        <w:t>4.2 Agent Research Loop</w:t>
      </w:r>
    </w:p>
    <w:p>
      <w:pPr>
        <w:spacing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989320" cy="64891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research_lo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6489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  <w:keepNext/>
      </w:pPr>
      <w:r>
        <w:rPr>
          <w:rFonts w:ascii="Noto Sans CJK SC" w:hAnsi="Noto Sans CJK SC" w:eastAsia="Noto Sans CJK SC"/>
          <w:b/>
          <w:color w:val="374B5F"/>
          <w:sz w:val="17"/>
        </w:rPr>
        <w:t>图 4  核心 Research Loop</w:t>
      </w:r>
    </w:p>
    <w:p>
      <w:pPr>
        <w:spacing w:after="100"/>
        <w:ind w:left="288" w:right="288"/>
      </w:pPr>
      <w:r>
        <w:rPr>
          <w:rFonts w:ascii="Noto Sans CJK SC" w:hAnsi="Noto Sans CJK SC" w:eastAsia="Noto Sans CJK SC"/>
          <w:color w:val="586069"/>
          <w:sz w:val="17"/>
        </w:rPr>
        <w:t>对应 N06-N20。每轮必须经过门禁；Evidence 不充分则回到下一轮，充分或命中硬出口才进入 Final。</w:t>
      </w:r>
    </w:p>
    <w:p>
      <w:pPr>
        <w:pStyle w:val="Heading2"/>
      </w:pPr>
      <w:r>
        <w:t>4.3 检索、去重、网页深读</w:t>
      </w:r>
    </w:p>
    <w:p>
      <w:pPr>
        <w:spacing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3332317" cy="66293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retriev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2317" cy="6629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  <w:keepNext/>
      </w:pPr>
      <w:r>
        <w:rPr>
          <w:rFonts w:ascii="Noto Sans CJK SC" w:hAnsi="Noto Sans CJK SC" w:eastAsia="Noto Sans CJK SC"/>
          <w:b/>
          <w:color w:val="374B5F"/>
          <w:sz w:val="17"/>
        </w:rPr>
        <w:t>图 5  Search / Fetch / JS Fallback 子流程</w:t>
      </w:r>
    </w:p>
    <w:p>
      <w:pPr>
        <w:spacing w:after="100"/>
        <w:ind w:left="288" w:right="288"/>
      </w:pPr>
      <w:r>
        <w:rPr>
          <w:rFonts w:ascii="Noto Sans CJK SC" w:hAnsi="Noto Sans CJK SC" w:eastAsia="Noto Sans CJK SC"/>
          <w:color w:val="586069"/>
          <w:sz w:val="17"/>
        </w:rPr>
        <w:t>对应 N08-N16。相似搜索≥0.75复用；同Run重复URL不再发网络请求；静态正文&lt;150字或SPA特征自动JS降级。</w:t>
      </w:r>
    </w:p>
    <w:p>
      <w:pPr>
        <w:pStyle w:val="Heading2"/>
      </w:pPr>
      <w:r>
        <w:t>4.4 Evidence 交叉验证与冲突</w:t>
      </w:r>
    </w:p>
    <w:p>
      <w:pPr>
        <w:spacing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4288756" cy="66293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evide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8756" cy="6629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  <w:keepNext/>
      </w:pPr>
      <w:r>
        <w:rPr>
          <w:rFonts w:ascii="Noto Sans CJK SC" w:hAnsi="Noto Sans CJK SC" w:eastAsia="Noto Sans CJK SC"/>
          <w:b/>
          <w:color w:val="374B5F"/>
          <w:sz w:val="17"/>
        </w:rPr>
        <w:t>图 6  Evidence 验证与冲突处理</w:t>
      </w:r>
    </w:p>
    <w:p>
      <w:pPr>
        <w:spacing w:after="100"/>
        <w:ind w:left="288" w:right="288"/>
      </w:pPr>
      <w:r>
        <w:rPr>
          <w:rFonts w:ascii="Noto Sans CJK SC" w:hAnsi="Noto Sans CJK SC" w:eastAsia="Noto Sans CJK SC"/>
          <w:color w:val="586069"/>
          <w:sz w:val="17"/>
        </w:rPr>
        <w:t>对应 N17-N20。A级关键事实优先1个当前官方来源；无一手来源时至少2个独立二手来源；最多3个不同Query角度仍不足则标记未验证。</w:t>
      </w:r>
    </w:p>
    <w:p>
      <w:pPr>
        <w:pStyle w:val="Heading2"/>
      </w:pPr>
      <w:r>
        <w:t>4.5 Context / Notes / Memory / Evidence 数据关系</w:t>
      </w:r>
    </w:p>
    <w:p>
      <w:pPr>
        <w:spacing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6080760" cy="137617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context_da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376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  <w:keepNext/>
      </w:pPr>
      <w:r>
        <w:rPr>
          <w:rFonts w:ascii="Noto Sans CJK SC" w:hAnsi="Noto Sans CJK SC" w:eastAsia="Noto Sans CJK SC"/>
          <w:b/>
          <w:color w:val="374B5F"/>
          <w:sz w:val="17"/>
        </w:rPr>
        <w:t>图 7  研究状态与数据资产关系</w:t>
      </w:r>
    </w:p>
    <w:p>
      <w:pPr>
        <w:spacing w:after="100"/>
        <w:ind w:left="288" w:right="288"/>
      </w:pPr>
      <w:r>
        <w:rPr>
          <w:rFonts w:ascii="Noto Sans CJK SC" w:hAnsi="Noto Sans CJK SC" w:eastAsia="Noto Sans CJK SC"/>
          <w:color w:val="586069"/>
          <w:sz w:val="17"/>
        </w:rPr>
        <w:t>Memory仅保存稳定偏好；Notes保存本次研究事实；Evidence必须带来源；Active Context可被压缩但不能丢失Goal、已验证发现、待办与约束。</w:t>
      </w:r>
    </w:p>
    <w:p>
      <w:pPr>
        <w:pStyle w:val="Heading2"/>
      </w:pPr>
      <w:r>
        <w:t>4.6 Budget 与收敛</w:t>
      </w:r>
    </w:p>
    <w:p>
      <w:pPr>
        <w:spacing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3843025" cy="66293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budge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43025" cy="6629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  <w:keepNext/>
      </w:pPr>
      <w:r>
        <w:rPr>
          <w:rFonts w:ascii="Noto Sans CJK SC" w:hAnsi="Noto Sans CJK SC" w:eastAsia="Noto Sans CJK SC"/>
          <w:b/>
          <w:color w:val="374B5F"/>
          <w:sz w:val="17"/>
        </w:rPr>
        <w:t>图 8  Budget / Step 收敛决策</w:t>
      </w:r>
    </w:p>
    <w:p>
      <w:pPr>
        <w:spacing w:after="100"/>
        <w:ind w:left="288" w:right="288"/>
      </w:pPr>
      <w:r>
        <w:rPr>
          <w:rFonts w:ascii="Noto Sans CJK SC" w:hAnsi="Noto Sans CJK SC" w:eastAsia="Noto Sans CJK SC"/>
          <w:color w:val="586069"/>
          <w:sz w:val="17"/>
        </w:rPr>
        <w:t>对应 N06、N27。50%/Step4开始自检，80%软收敛，95%物理移除Tools，Step20硬截止。</w:t>
      </w:r>
    </w:p>
    <w:p>
      <w:pPr>
        <w:pStyle w:val="Heading2"/>
      </w:pPr>
      <w:r>
        <w:t>4.7 User Stop 与 HITL</w:t>
      </w:r>
    </w:p>
    <w:p>
      <w:pPr>
        <w:spacing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989320" cy="410642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human_contro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106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  <w:keepNext/>
      </w:pPr>
      <w:r>
        <w:rPr>
          <w:rFonts w:ascii="Noto Sans CJK SC" w:hAnsi="Noto Sans CJK SC" w:eastAsia="Noto Sans CJK SC"/>
          <w:b/>
          <w:color w:val="374B5F"/>
          <w:sz w:val="17"/>
        </w:rPr>
        <w:t>图 9  用户控制子流程</w:t>
      </w:r>
    </w:p>
    <w:p>
      <w:pPr>
        <w:spacing w:after="100"/>
        <w:ind w:left="288" w:right="288"/>
      </w:pPr>
      <w:r>
        <w:rPr>
          <w:rFonts w:ascii="Noto Sans CJK SC" w:hAnsi="Noto Sans CJK SC" w:eastAsia="Noto Sans CJK SC"/>
          <w:color w:val="586069"/>
          <w:sz w:val="17"/>
        </w:rPr>
        <w:t>对应 N25-N26。Stop不粗暴Kill；危险操作等待最多10分钟，拒绝或超时均不执行且不得重复同一动作。</w:t>
      </w:r>
    </w:p>
    <w:p>
      <w:pPr>
        <w:pStyle w:val="Heading2"/>
      </w:pPr>
      <w:r>
        <w:t>4.8 异常恢复总链</w:t>
      </w:r>
    </w:p>
    <w:p>
      <w:pPr>
        <w:spacing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897880" cy="2012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failur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0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  <w:keepNext/>
      </w:pPr>
      <w:r>
        <w:rPr>
          <w:rFonts w:ascii="Noto Sans CJK SC" w:hAnsi="Noto Sans CJK SC" w:eastAsia="Noto Sans CJK SC"/>
          <w:b/>
          <w:color w:val="374B5F"/>
          <w:sz w:val="17"/>
        </w:rPr>
        <w:t>图 10  异常、重试、降级与熔断</w:t>
      </w:r>
    </w:p>
    <w:p>
      <w:pPr>
        <w:spacing w:after="100"/>
        <w:ind w:left="288" w:right="288"/>
      </w:pPr>
      <w:r>
        <w:rPr>
          <w:rFonts w:ascii="Noto Sans CJK SC" w:hAnsi="Noto Sans CJK SC" w:eastAsia="Noto Sans CJK SC"/>
          <w:color w:val="586069"/>
          <w:sz w:val="17"/>
        </w:rPr>
        <w:t>对应 N22-N24、N29。异常优先恢复原节点；无法恢复时进入阶段性结题，已有Notes/Evidence不得丢失。</w:t>
      </w:r>
    </w:p>
    <w:p>
      <w:pPr>
        <w:pStyle w:val="Heading2"/>
      </w:pPr>
      <w:r>
        <w:t>4.9 Final 与兜底</w:t>
      </w:r>
    </w:p>
    <w:p>
      <w:pPr>
        <w:spacing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760720" cy="594074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fin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40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  <w:keepNext/>
      </w:pPr>
      <w:r>
        <w:rPr>
          <w:rFonts w:ascii="Noto Sans CJK SC" w:hAnsi="Noto Sans CJK SC" w:eastAsia="Noto Sans CJK SC"/>
          <w:b/>
          <w:color w:val="374B5F"/>
          <w:sz w:val="17"/>
        </w:rPr>
        <w:t>图 11  Final Report 三级兜底</w:t>
      </w:r>
    </w:p>
    <w:p>
      <w:pPr>
        <w:spacing w:after="100"/>
        <w:ind w:left="288" w:right="288"/>
      </w:pPr>
      <w:r>
        <w:rPr>
          <w:rFonts w:ascii="Noto Sans CJK SC" w:hAnsi="Noto Sans CJK SC" w:eastAsia="Noto Sans CJK SC"/>
          <w:color w:val="586069"/>
          <w:sz w:val="17"/>
        </w:rPr>
        <w:t>对应 N28-N29。正常Final无效后无Tools强制Final；仍失败用Notes自动结题；Notes也为空才明确返回无有效结果。</w:t>
      </w:r>
    </w:p>
    <w:p>
      <w:pPr>
        <w:pStyle w:val="Heading2"/>
      </w:pPr>
      <w:r>
        <w:t>4.10 Eval 与发布 Gate</w:t>
      </w:r>
    </w:p>
    <w:p>
      <w:pPr>
        <w:spacing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897880" cy="643662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ev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6436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  <w:keepNext/>
      </w:pPr>
      <w:r>
        <w:rPr>
          <w:rFonts w:ascii="Noto Sans CJK SC" w:hAnsi="Noto Sans CJK SC" w:eastAsia="Noto Sans CJK SC"/>
          <w:b/>
          <w:color w:val="374B5F"/>
          <w:sz w:val="17"/>
        </w:rPr>
        <w:t>图 12  Eval 回归与发布决策</w:t>
      </w:r>
    </w:p>
    <w:p>
      <w:pPr>
        <w:spacing w:after="100"/>
        <w:ind w:left="288" w:right="288"/>
      </w:pPr>
      <w:r>
        <w:rPr>
          <w:rFonts w:ascii="Noto Sans CJK SC" w:hAnsi="Noto Sans CJK SC" w:eastAsia="Noto Sans CJK SC"/>
          <w:color w:val="586069"/>
          <w:sz w:val="17"/>
        </w:rPr>
        <w:t>对应 N32。所有影响Agent行为的变更都必须通过固定12题Eval和发布门槛。</w:t>
      </w:r>
    </w:p>
    <w:p>
      <w:pPr>
        <w:pStyle w:val="Heading1"/>
      </w:pPr>
      <w:r>
        <w:t>5. 节点级产品规格 N00-N32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</w:rPr>
        <w:t>每个节点定义产品可观察行为、硬规则、出口、异常与验收。节点之间的回跳关系以第3-4章图为准。</w:t>
      </w:r>
    </w:p>
    <w:p>
      <w:pPr>
        <w:pStyle w:val="Heading2"/>
      </w:pPr>
      <w:r>
        <w:t>5.1 启动与规划：N00-N05</w:t>
      </w:r>
    </w:p>
    <w:p>
      <w:pPr>
        <w:pStyle w:val="Heading3"/>
        <w:keepNext/>
      </w:pPr>
      <w:r>
        <w:t>N00  用户输入与启动校验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节点目标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接收可研究的问题，并在进入模型调用前完成最基本的可执行性判断。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输入 / 进入条件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用户问题；Budget 档位；是否继续既有 Session。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产品规则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问题去首尾空格后不能为空；默认 Standard 50k；同一 Session 的后续提问沿用 Session，但本轮重新初始化 Budget；用户显式要求“最新/今天/当前”时给任务打上时效标签。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输出 / 下一步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合法问题进入 N01；非法空问题直接提示用户补充，不启动 Run。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异常与兜底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配置缺失（API Key/模型不可用）在启动阶段 fail fast，不创建“运行中”假状态。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验收标准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空问题 0 次模型调用；合法问题必须生成唯一 Run，并展示所选预算档位。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N01  长期偏好与 Session 上下文注入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节点目标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让 Agent 知道“用户稳定偏好”和“同一研究会话已经完成什么”，同时避免旧信息污染新任务。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输入 / 进入条件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当前问题；长期 Memory；Session 历史摘要与 Notes。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产品规则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Memory 最多 20 条；语言/格式/引用规范等通用偏好始终注入；定价/合规等领域偏好仅在当前问题相关时注入；研究事实只能来自 Session Notes，不得写入长期偏好。Session 注入优先最近摘要与已有核心发现，避免整段历史原文回灌。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输出 / 下一步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形成当前轮 System Context，进入 N02。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异常与兜底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Memory 读取或语义合并失败不阻断研究；本轮按“无长期记忆”继续。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验收标准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无关领域偏好不得影响当前任务；同 Session 的已确认事实可被继续使用。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N02  预算、步数与安全边界初始化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节点目标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在第一次研究决策之前建立确定性刹车。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输入 / 进入条件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Budget 档位；最大步数；危险操作列表；Stop 状态。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产品规则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预算分别为 20k/50k/120k/Unlimited；最大 20 步；所有 LLM 调用（Plan/Main/Extract/Compaction/Final/Memory）都计入实际 token；危险的不可逆/对外发送/花钱/权限变更操作进入 HITL。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输出 / 下一步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生成运行约束并进入 N03。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异常与兜底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预算初始化失败属于系统错误，Run 不进入研究循环。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验收标准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UI 必须能显示档位、最大步数和当前 token 使用量。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N03  问题理解与研究边界归一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节点目标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把自然语言问题转成明确研究目标，而不是立即搜索。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输入 / 进入条件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用户问题；相关 Memory；Session 上下文。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产品规则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识别研究对象、比较维度、时间范围、地域、用户显式约束与“最新”要求；不得自行扩展成用户未要求的次要方向；信息不足但仍可研究时不强制追问，先按最小合理范围执行。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输出 / 下一步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形成 Planner 输入，进入 N04。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异常与兜底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若问题完全无法形成可研究目标，返回简短澄清问题，不启动检索。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验收标准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后续 Plan 的所有子问题必须能回指用户原始目标。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N04  研究大纲生成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节点目标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在 Agent 自由探索前建立一个可收敛的骨架。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输入 / 进入条件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归一化研究目标与约束。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产品规则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独立 LLM 规划；子问题 1~3 个；每个子问题仅保留一个核心查证点；大纲应能在约 10 个研究步内完成；规划阶段不执行搜索、不提前下结论。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输出 / 下一步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输出 Goal + Sub-questions + Constraints，进入 N05。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异常与兜底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JSON/结构无效：先进行 1 次“仅修复结构、不扩展内容”的重生成；仍失败则使用最小计划：Goal=原问题、0 个子问题，由 Main Agent直接研究。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验收标准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正常复杂问题的 Plan 不得超过 3 个子问题；不得生成与用户目标无关的“完美主义清单”。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N05  Dynamic Checklist 初始化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节点目标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把大纲转成每轮都可见、可核销的研究进度。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输入 / 进入条件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Plan 子问题。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产品规则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每个子问题状态为 pending / in_progress / completed；completed 必须带一句结论摘要或明确“未查到可靠证据”；每轮都向模型重复注入 Checklist，降低 context rot。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输出 / 下一步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进入 N06 Agent Loop。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异常与兜底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Plan 无子问题时允许空 Checklist，但仍按用户问题执行。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验收标准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所有子问题 completed 时必须触发强收尾提示，不允许继续无目的搜索。</w:t>
            </w:r>
          </w:p>
        </w:tc>
      </w:tr>
    </w:tbl>
    <w:p>
      <w:pPr>
        <w:spacing w:after="20"/>
      </w:pPr>
    </w:p>
    <w:p>
      <w:pPr>
        <w:pStyle w:val="Heading2"/>
      </w:pPr>
      <w:r>
        <w:t>5.2 Research Loop：N06-N20</w:t>
      </w:r>
    </w:p>
    <w:p>
      <w:pPr>
        <w:pStyle w:val="Heading3"/>
        <w:keepNext/>
      </w:pPr>
      <w:r>
        <w:t>N06  循环进度与收敛门禁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节点目标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每轮开头告诉 Agent 当前进度，并逐级收紧探索空间。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输入 / 进入条件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当前 step、Budget、Checklist。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产品规则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step&lt;4 且预算&lt;50%：不额外限制；step≥4 或预算≥50%：注入“主干充分则收尾”；预算≥80%：进入软收敛，只允许补关键缺口；第19步起：禁止开启新研究分支，只允许完成关键缺口/读 Notes/结题；Checklist 全完成：立即要求结题。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输出 / 下一步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进入 N07。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异常与兜底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如果用户已 Stop，跳转 N25；若已到硬预算线，跳转 N27。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验收标准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软收敛后不得新增边缘问题；全量核销后下一次模型决策必须以收尾为目标。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N07  下一步研究动作决策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节点目标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让模型在边界内动态决定“搜、读、记、核验还是结束”。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输入 / 进入条件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当前 Context、Checklist、Notes、预算/步数提示、Tools。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产品规则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允许模型自主选择 Tool；但每个动作必须服务于一个明确的 Checklist 缺口或证据冲突；已有充分证据时应 note_read + 报告，而不是继续“为了更完整”探索。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输出 / 下一步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转入 N08/N11/N17/N20/N28 等相应节点。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异常与兜底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模型无 tool_calls 且正文有效 → 直接视为报告候选；正文无效 → 进入 N29 结题兜底。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验收标准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简单问题不应长期跑满 20 步；动作序列可从 Trace 解释其服务的研究目标。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N08  搜索 Query 生成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节点目标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为当前证据缺口生成具有区分度的检索词。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输入 / 进入条件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当前子问题、缺失事实、已有 Query/Notes。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产品规则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同一子问题优先采用“宽搜索 → 精确实体/官方 → 针对缺口”的最多 3 个语义不同角度；已经有事实支撑的维度不再重复搜；Query 应包含必要实体/时间/版本关键词。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输出 / 下一步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交给 N09/N10。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异常与兜底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若已知官方 URL 且无需发现来源，可直接进入 N13/N14，不强制先搜索。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验收标准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同一子问题不应出现仅换同义词但目标完全相同的连续搜索。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N09  搜索 Provider 与失败降级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节点目标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在单次搜索工具内部完成可控重试，而不是把网络抖动放大成 Agent 失败。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输入 / 进入条件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Query。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产品规则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配置 Tavily 时优先调用 1 次；无结果/失败则转免费搜索；免费搜索最多 3 次，总体退避 2s、4s；每次最多 5 条结果。三次均失败后返回“搜索失败”作为一次 Tool 失败，不继续内部无限重试。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输出 / 下一步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成功 → N10/N11；失败 → 回到 N07 改 Query 或用已知 URL。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异常与兜底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搜索全部失败时，若已有 Evidence 可继续研究；若没有任何 Evidence，最终报告必须明确“搜索服务失败/未获得可靠信息”。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验收标准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一次 web_search 最多产生 5 条候选；Provider 异常不会直接使整个 Run 崩溃。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N10  搜索去重与历史复用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节点目标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阻止 Agent 原地换词重搜。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输入 / 进入条件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新 Query；当前 Run 已执行 Query。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产品规则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Exact Match：直接返回缓存；Fuzzy Match：max(Jaccard,Overlap)≥0.75 视为高度重复，复用历史结果并提示更换角度；缓存命中不产生网络请求。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输出 / 下一步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返回已有搜索结果，进入 N11。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异常与兜底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缓存数据异常时允许一次正常搜索，不因缓存自身失败阻断。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验收标准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相同 Query 的第二次搜索网络请求数为 0；高度相似 Query 应能看到去重提示。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N11  搜索结果初筛与 Snippet-First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节点目标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先用低成本摘要判断“是否值得打开网页”。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输入 / 进入条件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最多 5 条 title/url/snippet。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产品规则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Snippet 已包含可直接验证的日期、产品定义、版本号、官方声明时，可作为 Evidence 并记录 URL；只有摘要缺关键细节、需要上下文/表格/限制条件时才 fetch。广告页、聚合页、明显 SEO 内容低优先级。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输出 / 下一步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可直接进入 N17，或挑选高价值 URL 进入 N12/N13。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异常与兜底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Snippet 与标题矛盾或信息含糊时不得直接下结论，必须深读或找第二来源。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验收标准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不得机械打开全部 5 个结果；至少能说明深读页面对应的证据缺口。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N12  信源优先级与时效判断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节点目标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明确“相信谁”和“最新问题看多新”。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输入 / 进入条件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候选来源与当前 claim。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产品规则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信源优先级：①官方文档/定价/公告/原始数据；②权威机构/主流媒体/专业数据库；③高质量二手分析；④社区/论坛仅用于“用户反馈/体验”类结论。对于“最新/当前”的 AI/软件产品事实，优先使用当前官方页；若只能使用新闻/二手来源，至少 1 条应在 90 天内，否则报告必须标出日期与时效不确定性。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输出 / 下一步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选择进入 N13/N14 的 URL 或直接 N17。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异常与兜底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没有高质量来源时允许输出“不足以确认”，不得用低质量来源伪装确定事实。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验收标准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关键产品事实优先出现官方来源；“最新”结论必须带时间语境。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N13  URL 规范化、防重与再次访问规则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节点目标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决定同一个页面是否还需要真正访问。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输入 / 进入条件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待访问 URL；URL Cache；Session 历史。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产品规则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同一 Run 内，去除尾斜杠、fragment 和常见 tracking 参数后视为同一 URL；成功抓取过则直接返回缓存正文，禁止再次发 HTTP/Browser 请求。跨轮 Session：静态事实已有 Notes 可直接复用；若用户问“最新/当前”或上次研究已超过 24h，则允许重新抓取。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输出 / 下一步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缓存命中 → N16/N17；未命中 → N14。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异常与兜底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上次抓取失败不写成功缓存，允许更换抓取方式或来源。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验收标准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同 Run 重复 URL 的网络 fetch 次数为 0；时效型后续轮次能够刷新。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N14  网页抓取与 JS 自动降级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节点目标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尽可能拿到正文，同时把“静态页/SPA”差异对 Agent 隐藏。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输入 / 进入条件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URL。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产品规则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先静态抓取，单次超时 15s；若正文≥150字且非 SPA，直接返回。正文&lt;150字、空、网络失败，或命中 loading/enable javascript 等且正文&lt;400字，则自动 JS 渲染；JS 页面加载上限 30s，基础渲染等待约3s，并触发滚动加载；JS 正文≥100字才算成功。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输出 / 下一步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成功 → N16；失败 → N15/N07。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异常与兜底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静态+JS 均失败后明确提示换来源或使用搜索摘要；同一 URL 不进入无限循环。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验收标准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SPA 页面可自动降级；失败时 Agent 收到的是可行动错误而非异常堆栈。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N15  域名失败与反爬改道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节点目标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避免因登录墙/403/反爬在一个站点持续浪费预算。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输入 / 进入条件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失败 URL 与域名累计失败次数。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产品规则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同域累计失败≥2次，标记为“本 Run 高风险域”；后续不主动抓取该域的新 URL，优先换独立来源；如果该域是唯一官方来源，可继续使用搜索 snippet，但不得反复 Browser 尝试。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输出 / 下一步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返回 N07/N08 选择新来源。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异常与兜底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用户明确要求该特定站点时，可保留“无法访问”的说明，但仍不得无限重试。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验收标准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同域达到2次失败后，不再出现连续 fetch 该域的行为。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N16  网页裁剪与单页事实萃取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节点目标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把低密度长网页转成适合进入 Context 的高信号 Evidence。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输入 / 进入条件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抓取正文与当前研究 Goal。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产品规则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工具结果最多 4,000 字符；网页裁剪保留前70%+后30%以保护页尾定价/脚注；正文&gt;800字触发一次事实萃取，目标只保留与当前问题相关的事实、数字、限制、来源语境；萃取调用计入 Budget。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输出 / 下一步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精炼内容进入 N17。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异常与兜底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事实萃取调用失败或结果为空/比原文更差：直接保留裁剪后的原文，Run 继续。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验收标准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萃取失败不会造成页面 Evidence 丢失；所有数字仍必须能在原文/摘要中找到。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N17  Evidence 与 Notes 沉淀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节点目标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把关键事实放到 Context 之外，防止压缩后丢失并支撑最终报告。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输入 / 进入条件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Snippet/网页事实；来源 URL；对应子问题。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产品规则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拿到关键事实、数字、限制条件或查清一个子问题时立即写 Notes；单条≤2,000字；建议包含“子问题编号 + 结论 + 证据/数字 + 来源 + 不确定性”。Notes 不是用户长期 Memory。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输出 / 下一步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进入 N18/N20，并可自动核销 Checklist。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异常与兜底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Notes 写入失败时不能把该子问题直接标 completed；事实仍暂留 Context，下一轮优先重试一次或在报告中标记缺口。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验收标准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压缩发生后，核心事实仍可由 Notes 恢复；重复研究明显减少。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N18  关键事实交叉验证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节点目标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规定什么情况需要第二来源，避免“单一弱证据=确定事实”。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输入 / 进入条件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待确认 claim 与 Evidence 池。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产品规则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A级关键事实（价格、限额、发布日期、关键规格、政策/合规、比较结论）：1 条当前官方/原始一手来源即可成立；若没有一手来源，则至少 2 个独立二手来源。B级一般描述性事实：1 个可信来源即可。相同主域/同一机构不同页面只算 1 个独立来源。社区内容只能支撑“有用户如此反馈”，不能支撑普遍事实。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输出 / 下一步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证据充分 → N20；有冲突 → N19；不足 → N08。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异常与兜底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最多完成 3 个不同 Query 角度仍无法满足 A级规则时，允许以“未验证/证据不足”结束该点，不再无限搜索。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验收标准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关键数字不得只有无来源模型记忆；没有官方来源时至少有两个独立来源或明确未验证。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N19  信源冲突处理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节点目标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对冲突信息保持诚实，不用模型猜测“哪个看起来更合理”。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输入 / 进入条件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对同一 claim 的不同 Evidence。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产品规则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优先比较：来源层级 → 适用范围/版本 → 发布时间/更新日期。产品自述类事实优先当前官方一手；官方旧文与新文冲突时优先新文并说明版本。无法消除的关键冲突必须在报告列出双方结论与引用，禁止取平均、脑补或静默选择。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输出 / 下一步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冲突已解释 → N20；仍需关键查证 → N08。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异常与兜底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第三来源仍不能解决时停止扩展，保留“存在信源分歧”。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验收标准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报告能区分“确定事实”和“仍有分歧”，且每一方都有来源。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N20  Checklist 核销与信息充分度判断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节点目标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决定一个子问题何时算“做完”。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输入 / 进入条件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子问题、Notes、Evidence、冲突状态。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产品规则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满足任一即 completed：①核心问题已有符合 N18 的证据和简要结论；②经过最多3个不同检索角度仍无可靠证据，明确记录“未查到”；③用户 Stop/硬收敛导致只能阶段性完成，记录缺口。所有 Checklist 完成后不得继续边缘探索。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输出 / 下一步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有未完成关键项 → 回 N07；全部完成 → N28。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异常与兜底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不得仅因为“搜索过”就 completed；必须有结论/缺口说明。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验收标准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Checklist 的完成状态与 Notes/最终报告一致，不出现“看板完成但报告没答”。</w:t>
            </w:r>
          </w:p>
        </w:tc>
      </w:tr>
    </w:tbl>
    <w:p>
      <w:pPr>
        <w:spacing w:after="20"/>
      </w:pPr>
    </w:p>
    <w:p>
      <w:pPr>
        <w:pStyle w:val="Heading2"/>
      </w:pPr>
      <w:r>
        <w:t>5.3 Context / Protocol / Failure：N21-N24</w:t>
      </w:r>
    </w:p>
    <w:p>
      <w:pPr>
        <w:pStyle w:val="Heading3"/>
        <w:keepNext/>
      </w:pPr>
      <w:r>
        <w:t>N21  Context 监测与 Compaction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节点目标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控制长任务成本，同时保持关键状态连续。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输入 / 进入条件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本轮真实 prompt_tokens；完整消息历史；Notes；Checklist。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产品规则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当 prompt_tokens&gt;4,000 触发压缩；摘要必须保留：任务目标、已确认发现及来源、未完成事项、用户/系统约束；保留最近6条合法原始消息；不得把 assistant(tool_calls) 与其 tool 结果拆散；压缩 token 全额计入 Budget。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输出 / 下一步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压缩后的 Context 返回 N07。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异常与兜底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Compaction LLM：按 N23 重试/备份；仍失败时启用确定性降级——保留 System + 用户原问题 + Plan/Checklist + Notes 摘要 + 最近6条合法消息，丢弃更早历史；不得产生孤儿 tool 消息。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验收标准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压缩后 Agent 不应重新搜索已记录核心事实；协议不因 tool 消息孤儿而 400。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N22  Tool 参数、协议与执行异常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节点目标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把工具层异常转成模型能理解的反馈，而不是让 Run 崩溃。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输入 / 进入条件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模型 Tool Call。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产品规则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参数 JSON/schema 不合法：禁止执行真实工具，回填“参数无效+需要修正的字段”，允许下一轮重生成；同一工具连续2次参数结构错误计入失败链。执行异常：统一转成可行动错误文本并回填。强制结题前若存在未回填的 tool_calls，先作废该尾部调用，恢复合法消息历史。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输出 / 下一步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可恢复 → N07；连续失败 → N24。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异常与兜底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不可逆工具在参数未校验和 HITL 未批准前绝不执行。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验收标准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任何 Tool 异常都必须产生对应 tool 结果或被合法撤销，不允许破坏消息配对。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N23  LLM 请求失败、重试与模型降级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节点目标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统一规定模型服务抖动、限流、协议错误和结构错误的恢复路径。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输入 / 进入条件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任意 Plan/Main/Extract/Compaction/Final/Memory LLM 请求。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产品规则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单次请求硬超时 90s。网络超时、连接错误、429、5xx：主模型总计最多3次（首次+2次重试），退避2s、5s；若响应提供 Retry-After 且≤10s则优先遵循。3次仍失败：若配置 Backup Model，则再调用1次。Main Agent/Final 的 Backup 必须支持 tool calling/结构化输出且能力不低于主模型的必要能力，不允许用“只为便宜的小模型”无条件接管最终研究；Extract/Memory 等辅助节点可用轻量 Backup。401/403/配置错误不重试。400协议错误先做一次消息协议修复，再重试1次。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输出 / 下一步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恢复成功 → 原节点继续；持续失败 → 按各节点专属兜底。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异常与兜底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专属兜底：Plan→最小计划；Extract→裁剪原文；Compaction→N21确定性降级；Main Loop→停止研究并用已有 Notes 结题；Final→N29 Notes 兜底；Memory→跳过本轮记忆写入。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验收标准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临时 LLM 服务波动不会直接丢失已研究成果；认证错误不会无意义重试。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N24  工具连续失败熔断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节点目标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防止模型对同一不可达目标执着重试。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输入 / 进入条件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连续 Tool 失败计数。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产品规则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连续4个失败结果触发第1次熔断：禁止相同方式重试，要求换来源/基于已有信息收敛；任一成功 Tool 将连续失败计数清零。最多触发2次熔断；第3次再次达到4连败时直接进入阶段性结题。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输出 / 下一步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可改道 → N07；第三次达到阈值 → N27/N28。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异常与兜底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审批拒绝不计为工具故障；缓存命中不是失败。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验收标准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不存在数十次重复失败调用；熔断次数与最终 stop_reason 可观测。</w:t>
            </w:r>
          </w:p>
        </w:tc>
      </w:tr>
    </w:tbl>
    <w:p>
      <w:pPr>
        <w:spacing w:after="20"/>
      </w:pPr>
    </w:p>
    <w:p>
      <w:pPr>
        <w:pStyle w:val="Heading2"/>
      </w:pPr>
      <w:r>
        <w:t>5.4 用户控制、收敛与结题：N25-N30</w:t>
      </w:r>
    </w:p>
    <w:p>
      <w:pPr>
        <w:pStyle w:val="Heading3"/>
        <w:keepNext/>
      </w:pPr>
      <w:r>
        <w:t>N25  用户主动停止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节点目标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用户可以随时终止继续探索，同时保住已经获得的结果。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输入 / 进入条件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用户点击 Stop。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产品规则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不进行进程级粗暴 Kill；在下一个安全检查点设置 user_stop，禁止开启新的 Search/Fetch；允许读取已有 Notes，并进入阶段性报告生成。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输出 / 下一步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进入 N28/N29，stop_reason=user_stop。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异常与兜底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正在执行的单个只读 Tool 可完成后再收尾；危险 Tool 尚未审批不得执行。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验收标准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Stop 后不再产生新的研究分支；用户仍收到已有发现+未完成清单。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N26  HITL 高风险操作审批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节点目标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给不可逆、高成本、对外产生影响的动作增加人工最终决定权。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输入 / 进入条件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命中危险工具：不可逆、对外发送、花钱、改权限配置、低置信但高影响操作。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产品规则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执行前展示工具、关键参数、风险原因；等待最多10分钟。批准才执行；拒绝/超时均视为不执行，并回填“不要重复尝试同一动作，改为提供可人工执行的内容/方案”。同一被拒动作本 Run 不再次请求审批。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输出 / 下一步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批准→执行并回 N07；拒绝→回 N07 或直接结题。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异常与兜底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只读搜索、读取、Notes 不弹审批；审批拒绝不计为系统故障。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验收标准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危险操作绕过审批执行次数必须为0。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N27  硬收敛：Budget 与最大步数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节点目标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在确定性边界到达时终止 Agent 自主探索。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输入 / 进入条件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Budget≥95%、Budget耗尽或第20步结束。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产品规则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Budget≥95%：立即移除 tools，注入全部 Notes，发起无工具 Final；Budget≥100%同样处理。第19步起只允许收尾/关键最后缺口；第20步结束仍未交卷则强制无工具 Final。强制 Final 前修复未闭合 tool_calls。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输出 / 下一步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进入 N28/N29；stop_reason=budget_hard_stop / max_steps。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异常与兜底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无工具 Final 自身失败按 N23 后进入 N29；不得因为硬停只返回报错。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验收标准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达到硬线后研究型 Tool 调用数为0；任何硬出口都有交付物。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N28  最终报告生成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节点目标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把 Notes/Evidence 组织成可直接阅读、可核验的研究交付物。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输入 / 进入条件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用户问题、Plan/Checklist、Notes、关键 Evidence、停止原因。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产品规则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正常报告至少包含：①一句话结论/Executive Summary；②按子问题组织的关键发现；③关键数字与事实后的 [n](完整URL) 引用；④信源冲突/不确定性；⑤未查到或未验证事项；⑥参考链接。事实不得超出 Evidence；数字若未在证据中逐字出现必须标“未验证”。若为 user_stop/budget/max_steps，标题或结尾明确“阶段性”。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输出 / 下一步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有效报告 → N30/N31。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异常与兜底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清洗内部 DSML/tool 标签后，若正文&lt;30有效字符、为空或仅工具调用语法，视为无效，进入 N29。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验收标准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关键事实有引用；查不到敢于明确说“未查到”，而不是补全。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N29  最终输出兜底链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节点目标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保证“已经研究到的信息不能因为最后一次模型调用失败而丢失”。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输入 / 进入条件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无有效 final 或异常 stop_reason。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产品规则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一级：无 tools 强制 Final，直接把 Notes 全文注入，禁止工具；按 N23 允许重试/Backup。二级：仍无有效报告则直接把 Notes 原文整理为“自动结题报告”，最多使用前6,000字符，并列明未完成事项。三级：Notes 也为空时，返回明确失败说明，不伪造结论。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输出 / 下一步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产生最终交付物 → N30。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异常与兜底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内部调用标签必须被清洗；Fallback 不得再次进入研究循环。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验收标准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非正常停止的“空白结果率”必须为0；至少返回已有 Notes 或明确无证据说明。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N30  Session 上下文与长期 Memory 沉淀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节点目标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让后续追问继承成果，同时不把一次性研究事实污染为用户画像。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输入 / 进入条件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本次 transcript、Notes、最终报告、Session。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产品规则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Session 保存本轮摘要、关键发现和未完成事项；同一 Session 后续轮次复用 Notes。长期 Memory 只提取跨会话稳定偏好（语言、格式、研究关注等），上限20条；同义合并、冲突以新偏好为准；调研事实/产品价格/临时要求禁止进入长期 Memory。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输出 / 下一步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Run 完成，供未来 N01 使用。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异常与兜底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Memory Extract/Merge 失败只跳过本轮记忆更新，不影响最终报告和 Session Notes。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验收标准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新一轮可复用同 Session 已有成果；无关研究事实不会出现在用户长期偏好中。</w:t>
            </w:r>
          </w:p>
        </w:tc>
      </w:tr>
    </w:tbl>
    <w:p>
      <w:pPr>
        <w:spacing w:after="20"/>
      </w:pPr>
    </w:p>
    <w:p>
      <w:pPr>
        <w:pStyle w:val="Heading2"/>
      </w:pPr>
      <w:r>
        <w:t>5.5 可观测与质量：N31-N32</w:t>
      </w:r>
    </w:p>
    <w:p>
      <w:pPr>
        <w:pStyle w:val="Heading3"/>
        <w:keepNext/>
      </w:pPr>
      <w:r>
        <w:t>N31  运行可观测与历史回放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节点目标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让用户和团队能够解释“Agent 做了什么、为什么停、哪里失败”。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输入 / 进入条件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所有节点事件与 Run 元信息。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产品规则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记录 Plan、Checklist、每步模型决策、Tool、缓存命中、页面萃取、Compaction、Budget、熔断、HITL、Final 与 stop_reason。前端空闲15s发心跳；断流最多5次重连，0.8s×n退避，并按 since 增量续传。历史回放使用与实时相同事件流。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输出 / 下一步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RunLog / Event Archive / 历史详情。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异常与兜底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传输层断开不终止 Agent；5次重连失败后明确告知“运行可能仍在继续，可从历史查看结果”。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验收标准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能回答：成功率多少、token花在哪、失败在哪类；断流不等于任务终止。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N32  Eval 与发布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节点目标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把 Agent 的概率性质量转换成可重复验收标准。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输入 / 进入条件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12题 Eval Set、Outline、Evidence Pool、Final Report。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产品规则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题集固定为6 factual + 4 comparison + 2 open；正式评测使用 Standard 50k。每题 Evidence 最多12条，优先不同来源且与核心结论直接相关。四维0~1：Supported、Sourced、Complete、Concise，总分为四维均值。Judge 结构解析失败先重试1次；仍失败标记“评测基础设施故障”，不得直接把 Agent 记0分。低分题(&lt;0.60)和相对基线单题波动≥0.20的题必须复跑1次并人工复核。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输出 / 下一步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生成维度均分、总分、逐题 issues 与回归结论。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异常与兜底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评测器故障与 Agent 质量问题必须分开归因。</w:t>
            </w:r>
          </w:p>
        </w:tc>
      </w:tr>
      <w:tr>
        <w:trPr>
          <w:cantSplit/>
        </w:trPr>
        <w:tc>
          <w:tcPr>
            <w:tcW w:type="dxa" w:w="1699"/>
            <w:shd w:fill="F3F6FA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32465A"/>
                <w:sz w:val="17"/>
              </w:rPr>
              <w:t>验收标准</w:t>
            </w:r>
          </w:p>
        </w:tc>
        <w:tc>
          <w:tcPr>
            <w:tcW w:type="dxa" w:w="8381"/>
            <w:tcMar>
              <w:top w:w="62" w:type="dxa"/>
              <w:start w:w="82" w:type="dxa"/>
              <w:bottom w:w="62" w:type="dxa"/>
              <w:end w:w="82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发布硬门槛：总分≥0.70；Supported≥0.70；Sourced≥0.80；Complete≥0.70；Concise≥0.60；任一维度相较已接受基线下降&gt;0.05则回归失败；关键数字无证据的人工抽查容忍度=0。</w:t>
            </w:r>
          </w:p>
        </w:tc>
      </w:tr>
    </w:tbl>
    <w:p>
      <w:pPr>
        <w:spacing w:after="20"/>
      </w:pPr>
    </w:p>
    <w:p>
      <w:pPr>
        <w:pStyle w:val="Heading1"/>
      </w:pPr>
      <w:r>
        <w:t>6. Evidence 与交叉验证标准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656"/>
            <w:shd w:fill="EAF0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374F"/>
                <w:sz w:val="16"/>
              </w:rPr>
              <w:t>信息类型</w:t>
            </w:r>
          </w:p>
        </w:tc>
        <w:tc>
          <w:tcPr>
            <w:tcW w:type="dxa" w:w="3096"/>
            <w:shd w:fill="EAF0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374F"/>
                <w:sz w:val="16"/>
              </w:rPr>
              <w:t>最低证据标准</w:t>
            </w:r>
          </w:p>
        </w:tc>
        <w:tc>
          <w:tcPr>
            <w:tcW w:type="dxa" w:w="2952"/>
            <w:shd w:fill="EAF0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374F"/>
                <w:sz w:val="16"/>
              </w:rPr>
              <w:t>冲突处理</w:t>
            </w:r>
          </w:p>
        </w:tc>
        <w:tc>
          <w:tcPr>
            <w:tcW w:type="dxa" w:w="2520"/>
            <w:shd w:fill="EAF0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374F"/>
                <w:sz w:val="16"/>
              </w:rPr>
              <w:t>报告要求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价格/限额/日期/规格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1个当前官方一手来源；无官方则2个独立二手来源</w:t>
            </w:r>
          </w:p>
        </w:tc>
        <w:tc>
          <w:tcPr>
            <w:tcW w:type="dxa" w:w="29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按来源层级、版本与日期判断；不能消除则保留分歧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数字逐字来自证据；必须引用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产品功能/政策/规则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优先官方文档或公告；一般1个可靠一手来源足够</w:t>
            </w:r>
          </w:p>
        </w:tc>
        <w:tc>
          <w:tcPr>
            <w:tcW w:type="dxa" w:w="29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新版官方优先旧版；适用范围不同则分别说明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注明版本/适用条件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比较性结论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比较对象各至少有来源；关键差异不能只引用单方营销材料</w:t>
            </w:r>
          </w:p>
        </w:tc>
        <w:tc>
          <w:tcPr>
            <w:tcW w:type="dxa" w:w="29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口径不同按各自定义说明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结论后挂对应双方来源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新闻/最新动态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至少1个90天内可靠来源或当前官方页</w:t>
            </w:r>
          </w:p>
        </w:tc>
        <w:tc>
          <w:tcPr>
            <w:tcW w:type="dxa" w:w="29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新旧信息冲突优先最新并说明时间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写明日期/“截至何时”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用户体验/口碑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社区/论坛至少2个不同用户/讨论更稳妥</w:t>
            </w:r>
          </w:p>
        </w:tc>
        <w:tc>
          <w:tcPr>
            <w:tcW w:type="dxa" w:w="29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不与官方事实混写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用“用户反馈/部分讨论认为”，不当普遍事实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无法验证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最多3个不同Query角度后仍无可靠证据</w:t>
            </w:r>
          </w:p>
        </w:tc>
        <w:tc>
          <w:tcPr>
            <w:tcW w:type="dxa" w:w="29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停止继续消耗预算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明确“未验证/未查到”，不得补全</w:t>
            </w:r>
          </w:p>
        </w:tc>
      </w:tr>
    </w:tbl>
    <w:p>
      <w:pPr>
        <w:spacing w:after="20"/>
      </w:pPr>
    </w:p>
    <w:p>
      <w:pPr>
        <w:pStyle w:val="Heading1"/>
      </w:pPr>
      <w:r>
        <w:t>7. 异常与兜底矩阵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088"/>
            <w:shd w:fill="EAF0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374F"/>
                <w:sz w:val="15"/>
              </w:rPr>
              <w:t>异常</w:t>
            </w:r>
          </w:p>
        </w:tc>
        <w:tc>
          <w:tcPr>
            <w:tcW w:type="dxa" w:w="2808"/>
            <w:shd w:fill="EAF0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374F"/>
                <w:sz w:val="15"/>
              </w:rPr>
              <w:t>第一处理</w:t>
            </w:r>
          </w:p>
        </w:tc>
        <w:tc>
          <w:tcPr>
            <w:tcW w:type="dxa" w:w="3096"/>
            <w:shd w:fill="EAF0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374F"/>
                <w:sz w:val="15"/>
              </w:rPr>
              <w:t>最终兜底</w:t>
            </w:r>
          </w:p>
        </w:tc>
        <w:tc>
          <w:tcPr>
            <w:tcW w:type="dxa" w:w="2232"/>
            <w:shd w:fill="EAF0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374F"/>
                <w:sz w:val="15"/>
              </w:rPr>
              <w:t>边界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Plan 输出结构错误</w:t>
            </w:r>
          </w:p>
        </w:tc>
        <w:tc>
          <w:tcPr>
            <w:tcW w:type="dxa" w:w="28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结构重生成1次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最小计划继续研究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不阻断主流程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主 LLM 网络/429/5xx</w:t>
            </w:r>
          </w:p>
        </w:tc>
        <w:tc>
          <w:tcPr>
            <w:tcW w:type="dxa" w:w="28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总计3次；2s/5s退避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Backup Model 1次 → Notes强制结题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认证错误不重试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LLM 400 协议错误</w:t>
            </w:r>
          </w:p>
        </w:tc>
        <w:tc>
          <w:tcPr>
            <w:tcW w:type="dxa" w:w="28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协议修复1次+重试1次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进入强制结题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不无限retry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Search Provider失败</w:t>
            </w:r>
          </w:p>
        </w:tc>
        <w:tc>
          <w:tcPr>
            <w:tcW w:type="dxa" w:w="28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Tavily→免费源3次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换Query/已知URL/已有Evidence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工具失败计入熔断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静态网页失败/SPA</w:t>
            </w:r>
          </w:p>
        </w:tc>
        <w:tc>
          <w:tcPr>
            <w:tcW w:type="dxa" w:w="28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自动JS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换来源或使用Snippet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同URL不无限重试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同域抓取失败</w:t>
            </w:r>
          </w:p>
        </w:tc>
        <w:tc>
          <w:tcPr>
            <w:tcW w:type="dxa" w:w="28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累计2次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改道其他域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保留已有snippet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Tool参数不合法</w:t>
            </w:r>
          </w:p>
        </w:tc>
        <w:tc>
          <w:tcPr>
            <w:tcW w:type="dxa" w:w="28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不执行，回填修正提示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连续结构错计入失败链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危险Tool绝不带病执行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单页Extract失败</w:t>
            </w:r>
          </w:p>
        </w:tc>
        <w:tc>
          <w:tcPr>
            <w:tcW w:type="dxa" w:w="28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按LLM策略重试/备份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保留裁剪原文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信息不丢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Compaction失败</w:t>
            </w:r>
          </w:p>
        </w:tc>
        <w:tc>
          <w:tcPr>
            <w:tcW w:type="dxa" w:w="28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按LLM策略重试/备份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确定性保留状态+最近6条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保证tool配对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连续Tool失败</w:t>
            </w:r>
          </w:p>
        </w:tc>
        <w:tc>
          <w:tcPr>
            <w:tcW w:type="dxa" w:w="28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4连败触发熔断，最多2次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第三次4连败阶段性结题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成功一次即清零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User Stop</w:t>
            </w:r>
          </w:p>
        </w:tc>
        <w:tc>
          <w:tcPr>
            <w:tcW w:type="dxa" w:w="28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下一安全点停止新研究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基于Notes阶段性报告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不粗暴kill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HITL超时</w:t>
            </w:r>
          </w:p>
        </w:tc>
        <w:tc>
          <w:tcPr>
            <w:tcW w:type="dxa" w:w="28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10分钟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按拒绝处理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不重复请求同动作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Budget≥95%</w:t>
            </w:r>
          </w:p>
        </w:tc>
        <w:tc>
          <w:tcPr>
            <w:tcW w:type="dxa" w:w="28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立即拔tools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无工具Final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研究行为停止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20步耗尽</w:t>
            </w:r>
          </w:p>
        </w:tc>
        <w:tc>
          <w:tcPr>
            <w:tcW w:type="dxa" w:w="28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强制无工具Final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Notes兜底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必须有交付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Final无效/为空</w:t>
            </w:r>
          </w:p>
        </w:tc>
        <w:tc>
          <w:tcPr>
            <w:tcW w:type="dxa" w:w="28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无工具强制Final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Notes≤6000字符兜底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空结果率=0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Memory失败</w:t>
            </w:r>
          </w:p>
        </w:tc>
        <w:tc>
          <w:tcPr>
            <w:tcW w:type="dxa" w:w="28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不重试主链路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跳过本轮Memory更新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报告不受影响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SSE断线</w:t>
            </w:r>
          </w:p>
        </w:tc>
        <w:tc>
          <w:tcPr>
            <w:tcW w:type="dxa" w:w="28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15s心跳+5次重连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历史回放查看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Agent后台不停止</w:t>
            </w:r>
          </w:p>
        </w:tc>
      </w:tr>
    </w:tbl>
    <w:p>
      <w:pPr>
        <w:spacing w:after="20"/>
      </w:pPr>
    </w:p>
    <w:p>
      <w:pPr>
        <w:pStyle w:val="Heading1"/>
      </w:pPr>
      <w:r>
        <w:t>8. 最终报告内容合同</w:t>
      </w:r>
    </w:p>
    <w:p>
      <w:pPr>
        <w:pStyle w:val="ListNumber"/>
        <w:spacing w:after="40" w:line="259" w:lineRule="auto"/>
      </w:pPr>
      <w:r>
        <w:rPr>
          <w:rFonts w:ascii="Noto Sans CJK SC" w:hAnsi="Noto Sans CJK SC" w:eastAsia="Noto Sans CJK SC"/>
          <w:sz w:val="18"/>
        </w:rPr>
        <w:t>标题：说明研究主题；User Stop、Budget Hard Stop、Max Steps 等非正常收尾时标明“阶段性结题报告”。</w:t>
      </w:r>
    </w:p>
    <w:p>
      <w:pPr>
        <w:pStyle w:val="ListNumber"/>
        <w:spacing w:after="40" w:line="259" w:lineRule="auto"/>
      </w:pPr>
      <w:r>
        <w:rPr>
          <w:rFonts w:ascii="Noto Sans CJK SC" w:hAnsi="Noto Sans CJK SC" w:eastAsia="Noto Sans CJK SC"/>
          <w:sz w:val="18"/>
        </w:rPr>
        <w:t>Executive Summary：1-3段直接回答用户核心问题，不先复述研究过程。</w:t>
      </w:r>
    </w:p>
    <w:p>
      <w:pPr>
        <w:pStyle w:val="ListNumber"/>
        <w:spacing w:after="40" w:line="259" w:lineRule="auto"/>
      </w:pPr>
      <w:r>
        <w:rPr>
          <w:rFonts w:ascii="Noto Sans CJK SC" w:hAnsi="Noto Sans CJK SC" w:eastAsia="Noto Sans CJK SC"/>
          <w:sz w:val="18"/>
        </w:rPr>
        <w:t>关键发现：按 Plan 子问题组织；每个子问题必须能对应 Checklist 结果。</w:t>
      </w:r>
    </w:p>
    <w:p>
      <w:pPr>
        <w:pStyle w:val="ListNumber"/>
        <w:spacing w:after="40" w:line="259" w:lineRule="auto"/>
      </w:pPr>
      <w:r>
        <w:rPr>
          <w:rFonts w:ascii="Noto Sans CJK SC" w:hAnsi="Noto Sans CJK SC" w:eastAsia="Noto Sans CJK SC"/>
          <w:sz w:val="18"/>
        </w:rPr>
        <w:t>事实与数据：事实性陈述后紧跟 [n](完整URL) 引用；A级关键数字必须100%有证据。</w:t>
      </w:r>
    </w:p>
    <w:p>
      <w:pPr>
        <w:pStyle w:val="ListNumber"/>
        <w:spacing w:after="40" w:line="259" w:lineRule="auto"/>
      </w:pPr>
      <w:r>
        <w:rPr>
          <w:rFonts w:ascii="Noto Sans CJK SC" w:hAnsi="Noto Sans CJK SC" w:eastAsia="Noto Sans CJK SC"/>
          <w:sz w:val="18"/>
        </w:rPr>
        <w:t>信源冲突与不确定性：仅在存在时出现，列出各方依据、日期和适用范围。</w:t>
      </w:r>
    </w:p>
    <w:p>
      <w:pPr>
        <w:pStyle w:val="ListNumber"/>
        <w:spacing w:after="40" w:line="259" w:lineRule="auto"/>
      </w:pPr>
      <w:r>
        <w:rPr>
          <w:rFonts w:ascii="Noto Sans CJK SC" w:hAnsi="Noto Sans CJK SC" w:eastAsia="Noto Sans CJK SC"/>
          <w:sz w:val="18"/>
        </w:rPr>
        <w:t>未查到 / 未验证：主动列出关键缺口，不得隐藏或靠模型知识补齐。</w:t>
      </w:r>
    </w:p>
    <w:p>
      <w:pPr>
        <w:pStyle w:val="ListNumber"/>
        <w:spacing w:after="40" w:line="259" w:lineRule="auto"/>
      </w:pPr>
      <w:r>
        <w:rPr>
          <w:rFonts w:ascii="Noto Sans CJK SC" w:hAnsi="Noto Sans CJK SC" w:eastAsia="Noto Sans CJK SC"/>
          <w:sz w:val="18"/>
        </w:rPr>
        <w:t>参考：按编号列出完整URL；同一URL复用同一编号。</w:t>
      </w:r>
    </w:p>
    <w:p>
      <w:pPr>
        <w:pStyle w:val="ListNumber"/>
        <w:spacing w:after="40" w:line="259" w:lineRule="auto"/>
      </w:pPr>
      <w:r>
        <w:rPr>
          <w:rFonts w:ascii="Noto Sans CJK SC" w:hAnsi="Noto Sans CJK SC" w:eastAsia="Noto Sans CJK SC"/>
          <w:sz w:val="18"/>
        </w:rPr>
        <w:t>若为阶段性结题：末尾增加“当前未完成项 / 若继续研究的下一步”。</w:t>
      </w:r>
    </w:p>
    <w:p>
      <w:pPr>
        <w:pStyle w:val="Heading1"/>
      </w:pPr>
      <w:r>
        <w:t>9. 验收标准与 Eval 发布 Gate</w:t>
      </w:r>
    </w:p>
    <w:p>
      <w:pPr>
        <w:pStyle w:val="Heading2"/>
      </w:pPr>
      <w:r>
        <w:t>9.1 核心功能与行为验收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440"/>
            <w:shd w:fill="EAF0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374F"/>
                <w:sz w:val="16"/>
              </w:rPr>
              <w:t>类别</w:t>
            </w:r>
          </w:p>
        </w:tc>
        <w:tc>
          <w:tcPr>
            <w:tcW w:type="dxa" w:w="3096"/>
            <w:shd w:fill="EAF0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374F"/>
                <w:sz w:val="16"/>
              </w:rPr>
              <w:t>验收项</w:t>
            </w:r>
          </w:p>
        </w:tc>
        <w:tc>
          <w:tcPr>
            <w:tcW w:type="dxa" w:w="5832"/>
            <w:shd w:fill="EAF0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374F"/>
                <w:sz w:val="16"/>
              </w:rPr>
              <w:t>通过标准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主流程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开放式研究问题完成 Plan→Research→Report</w:t>
            </w:r>
          </w:p>
        </w:tc>
        <w:tc>
          <w:tcPr>
            <w:tcW w:type="dxa" w:w="58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P0用例100%进入明确终态，并有用户可见交付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收敛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Agent不无限探索</w:t>
            </w:r>
          </w:p>
        </w:tc>
        <w:tc>
          <w:tcPr>
            <w:tcW w:type="dxa" w:w="58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最大20步；80%软收敛；95%后研究型Tool调用=0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搜索去重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重复/高度相似Query</w:t>
            </w:r>
          </w:p>
        </w:tc>
        <w:tc>
          <w:tcPr>
            <w:tcW w:type="dxa" w:w="58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Exact第二次网络请求=0；相似度≥0.75复用历史结果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URL防重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已成功抓取的规范化URL</w:t>
            </w:r>
          </w:p>
        </w:tc>
        <w:tc>
          <w:tcPr>
            <w:tcW w:type="dxa" w:w="58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同Run第二次网络Fetch=0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网页降级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SPA/短正文</w:t>
            </w:r>
          </w:p>
        </w:tc>
        <w:tc>
          <w:tcPr>
            <w:tcW w:type="dxa" w:w="58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&lt;150字或SPA特征自动JS；JS失败换来源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Evidence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关键数字/规格/日期</w:t>
            </w:r>
          </w:p>
        </w:tc>
        <w:tc>
          <w:tcPr>
            <w:tcW w:type="dxa" w:w="58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A级事实满足1官方或2独立二手；否则明确未验证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冲突处理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来源结论矛盾</w:t>
            </w:r>
          </w:p>
        </w:tc>
        <w:tc>
          <w:tcPr>
            <w:tcW w:type="dxa" w:w="58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展示分歧，不平均、不脑补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Context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压缩后研究状态连续</w:t>
            </w:r>
          </w:p>
        </w:tc>
        <w:tc>
          <w:tcPr>
            <w:tcW w:type="dxa" w:w="58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Goal/发现/待办/约束保留；不出现孤儿Tool消息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LLM稳定性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临时服务失败</w:t>
            </w:r>
          </w:p>
        </w:tc>
        <w:tc>
          <w:tcPr>
            <w:tcW w:type="dxa" w:w="58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按3次主模型+1次Backup/节点兜底，已有成果不丢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熔断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连续Tool失败</w:t>
            </w:r>
          </w:p>
        </w:tc>
        <w:tc>
          <w:tcPr>
            <w:tcW w:type="dxa" w:w="58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4连败触发改道；第三轮同等失败阶段性结题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安全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危险操作</w:t>
            </w:r>
          </w:p>
        </w:tc>
        <w:tc>
          <w:tcPr>
            <w:tcW w:type="dxa" w:w="58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=0次未审批执行；10分钟超时按拒绝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Stop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用户主动中止</w:t>
            </w:r>
          </w:p>
        </w:tc>
        <w:tc>
          <w:tcPr>
            <w:tcW w:type="dxa" w:w="58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不再开启新研究；返回已有发现与未完成项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Final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所有异常出口</w:t>
            </w:r>
          </w:p>
        </w:tc>
        <w:tc>
          <w:tcPr>
            <w:tcW w:type="dxa" w:w="58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空白结果率=0；无效Final触发强制Final/Notes兜底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Memory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长期偏好边界</w:t>
            </w:r>
          </w:p>
        </w:tc>
        <w:tc>
          <w:tcPr>
            <w:tcW w:type="dxa" w:w="58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研究事实进入长期Memory次数=0；Memory≤20条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观测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Run可解释</w:t>
            </w:r>
          </w:p>
        </w:tc>
        <w:tc>
          <w:tcPr>
            <w:tcW w:type="dxa" w:w="58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可还原Plan、Tool、Evidence、Budget、stop_reason和Final</w:t>
            </w:r>
          </w:p>
        </w:tc>
      </w:tr>
    </w:tbl>
    <w:p>
      <w:pPr>
        <w:spacing w:after="20"/>
      </w:pPr>
    </w:p>
    <w:p>
      <w:pPr>
        <w:pStyle w:val="Heading2"/>
      </w:pPr>
      <w:r>
        <w:t>9.2 Eval 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1944"/>
            <w:shd w:fill="EAF0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374F"/>
                <w:sz w:val="16"/>
              </w:rPr>
              <w:t>项目</w:t>
            </w:r>
          </w:p>
        </w:tc>
        <w:tc>
          <w:tcPr>
            <w:tcW w:type="dxa" w:w="8424"/>
            <w:shd w:fill="EAF0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374F"/>
                <w:sz w:val="16"/>
              </w:rPr>
              <w:t>正式规则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题集</w:t>
            </w:r>
          </w:p>
        </w:tc>
        <w:tc>
          <w:tcPr>
            <w:tcW w:type="dxa" w:w="84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固定12题：6 factual + 4 comparison + 2 open；正式评测使用 Standard 50k。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Evidence Pool</w:t>
            </w:r>
          </w:p>
        </w:tc>
        <w:tc>
          <w:tcPr>
            <w:tcW w:type="dxa" w:w="84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每题最多12条强相关证据，优先不同来源并直接支撑关键结论。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Supported</w:t>
            </w:r>
          </w:p>
        </w:tc>
        <w:tc>
          <w:tcPr>
            <w:tcW w:type="dxa" w:w="84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结论是否由Evidence直接支持；最低0.70。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Sourced</w:t>
            </w:r>
          </w:p>
        </w:tc>
        <w:tc>
          <w:tcPr>
            <w:tcW w:type="dxa" w:w="84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可验证事实是否带来源；最低0.80。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Complete</w:t>
            </w:r>
          </w:p>
        </w:tc>
        <w:tc>
          <w:tcPr>
            <w:tcW w:type="dxa" w:w="84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是否覆盖用户核心问题与key points；最低0.70。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Concise</w:t>
            </w:r>
          </w:p>
        </w:tc>
        <w:tc>
          <w:tcPr>
            <w:tcW w:type="dxa" w:w="84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是否聚焦、结构清晰、无明显无效展开；最低0.60。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Total</w:t>
            </w:r>
          </w:p>
        </w:tc>
        <w:tc>
          <w:tcPr>
            <w:tcW w:type="dxa" w:w="84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四维均值；最低0.70。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Regression</w:t>
            </w:r>
          </w:p>
        </w:tc>
        <w:tc>
          <w:tcPr>
            <w:tcW w:type="dxa" w:w="84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任一维度相较已接受Baseline下降&gt;0.05，禁止发布。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关键数字</w:t>
            </w:r>
          </w:p>
        </w:tc>
        <w:tc>
          <w:tcPr>
            <w:tcW w:type="dxa" w:w="84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人工抽查无证据关键数字容忍度=0。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Judge故障</w:t>
            </w:r>
          </w:p>
        </w:tc>
        <w:tc>
          <w:tcPr>
            <w:tcW w:type="dxa" w:w="84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结构解析失败重试1次；仍失败记为Eval Infrastructure Failure，不直接给Agent记0分。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低分复核</w:t>
            </w:r>
          </w:p>
        </w:tc>
        <w:tc>
          <w:tcPr>
            <w:tcW w:type="dxa" w:w="84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单题&lt;0.60或相对Baseline波动≥0.20：复跑1次并人工复核。</w:t>
            </w:r>
          </w:p>
        </w:tc>
      </w:tr>
    </w:tbl>
    <w:p>
      <w:pPr>
        <w:spacing w:after="20"/>
      </w:pPr>
    </w:p>
    <w:p>
      <w:pPr>
        <w:pStyle w:val="Heading1"/>
      </w:pPr>
      <w:r>
        <w:t>10. 扩展能力规则（Multi-Agent / MCP）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</w:rPr>
        <w:t>扩展能力不能绕过单 Agent 主流程的证据、预算、安全和评测标准。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872"/>
            <w:shd w:fill="EAF0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374F"/>
                <w:sz w:val="16"/>
              </w:rPr>
              <w:t>能力</w:t>
            </w:r>
          </w:p>
        </w:tc>
        <w:tc>
          <w:tcPr>
            <w:tcW w:type="dxa" w:w="3024"/>
            <w:shd w:fill="EAF0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374F"/>
                <w:sz w:val="16"/>
              </w:rPr>
              <w:t>启用条件 / 数值</w:t>
            </w:r>
          </w:p>
        </w:tc>
        <w:tc>
          <w:tcPr>
            <w:tcW w:type="dxa" w:w="5472"/>
            <w:shd w:fill="EAF0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374F"/>
                <w:sz w:val="16"/>
              </w:rPr>
              <w:t>产品规则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Multi-Agent拆题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存在≥2个相对独立对象/子问题；拆分1-4个Worker</w:t>
            </w:r>
          </w:p>
        </w:tc>
        <w:tc>
          <w:tcPr>
            <w:tcW w:type="dxa" w:w="54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Worker任务自包含且范围不重叠；Worker无继续拆Agent权限；独立Cache/Notes/Budget。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Worker输出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≤300字核心要点+来源</w:t>
            </w:r>
          </w:p>
        </w:tc>
        <w:tc>
          <w:tcPr>
            <w:tcW w:type="dxa" w:w="54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查不到必须明确写“未查到”；不得把长Trace塞回Manager。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Manager汇总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等待Worker后统一Synthesise</w:t>
            </w:r>
          </w:p>
        </w:tc>
        <w:tc>
          <w:tcPr>
            <w:tcW w:type="dxa" w:w="54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不得补写Worker未获得的事实；多Worker失败时降级为部分结果。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MCP只读Tool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按普通Tool接入</w:t>
            </w:r>
          </w:p>
        </w:tc>
        <w:tc>
          <w:tcPr>
            <w:tcW w:type="dxa" w:w="54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遵守参数校验、错误、熔断、Context裁剪规则。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MCP写类Tool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write/edit/move/create/delete/send等语义</w:t>
            </w:r>
          </w:p>
        </w:tc>
        <w:tc>
          <w:tcPr>
            <w:tcW w:type="dxa" w:w="54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默认危险级，必须HITL；拒绝后不得重复同一动作。</w:t>
            </w:r>
          </w:p>
        </w:tc>
      </w:tr>
    </w:tbl>
    <w:p>
      <w:pPr>
        <w:spacing w:after="20"/>
      </w:pPr>
    </w:p>
    <w:p>
      <w:pPr>
        <w:pStyle w:val="Heading1"/>
      </w:pPr>
      <w:r>
        <w:t>11. 上线后核心观测指标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088"/>
            <w:shd w:fill="EAF0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374F"/>
                <w:sz w:val="16"/>
              </w:rPr>
              <w:t>指标</w:t>
            </w:r>
          </w:p>
        </w:tc>
        <w:tc>
          <w:tcPr>
            <w:tcW w:type="dxa" w:w="4680"/>
            <w:shd w:fill="EAF0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374F"/>
                <w:sz w:val="16"/>
              </w:rPr>
              <w:t>定义</w:t>
            </w:r>
          </w:p>
        </w:tc>
        <w:tc>
          <w:tcPr>
            <w:tcW w:type="dxa" w:w="3600"/>
            <w:shd w:fill="EAF0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374F"/>
                <w:sz w:val="16"/>
              </w:rPr>
              <w:t>目标 / 红线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有效交付率</w:t>
            </w:r>
          </w:p>
        </w:tc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Run结束且有≥30字符有效报告或Notes兜底</w:t>
            </w:r>
          </w:p>
        </w:tc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≥99%；空白结果=0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正常收敛率</w:t>
            </w:r>
          </w:p>
        </w:tc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model_done / Checklist完成主动结题占比</w:t>
            </w:r>
          </w:p>
        </w:tc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持续提升；简单题大量max_steps视为异常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Budget硬停率</w:t>
            </w:r>
          </w:p>
        </w:tc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budget_hard_stop占比</w:t>
            </w:r>
          </w:p>
        </w:tc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用于判断预算档位/收敛策略；不应成为常态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平均Steps</w:t>
            </w:r>
          </w:p>
        </w:tc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每Run Agent步数</w:t>
            </w:r>
          </w:p>
        </w:tc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标准题建议≤10；持续接近20需复盘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平均Tokens</w:t>
            </w:r>
          </w:p>
        </w:tc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Plan/Extract/Compaction/Final/Memory全部计入</w:t>
            </w:r>
          </w:p>
        </w:tc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按档位监控；隐藏Token=0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Search去重命中</w:t>
            </w:r>
          </w:p>
        </w:tc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Exact/Fuzzy复用次数</w:t>
            </w:r>
          </w:p>
        </w:tc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监控去重收益和误杀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URL重复网络请求</w:t>
            </w:r>
          </w:p>
        </w:tc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同Run同规范URL重复fetch</w:t>
            </w:r>
          </w:p>
        </w:tc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=0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Tool失败率</w:t>
            </w:r>
          </w:p>
        </w:tc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Tool错误/Tool调用</w:t>
            </w:r>
          </w:p>
        </w:tc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按Tool/Domain拆分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Context压缩次数</w:t>
            </w:r>
          </w:p>
        </w:tc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每Run compaction次数</w:t>
            </w:r>
          </w:p>
        </w:tc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异常过高需复盘Tool结果和阈值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危险操作绕过</w:t>
            </w:r>
          </w:p>
        </w:tc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未批准执行高风险动作</w:t>
            </w:r>
          </w:p>
        </w:tc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=0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Citation覆盖</w:t>
            </w:r>
          </w:p>
        </w:tc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事实性结论有引用比例</w:t>
            </w:r>
          </w:p>
        </w:tc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≥0.80；A级关键数字100%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Eval回归</w:t>
            </w:r>
          </w:p>
        </w:tc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四维相对Baseline变化</w:t>
            </w:r>
          </w:p>
        </w:tc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任一维度下降&gt;0.05禁止发布</w:t>
            </w:r>
          </w:p>
        </w:tc>
      </w:tr>
    </w:tbl>
    <w:p>
      <w:pPr>
        <w:spacing w:after="20"/>
      </w:pPr>
    </w:p>
    <w:p>
      <w:pPr>
        <w:pStyle w:val="Heading1"/>
      </w:pPr>
      <w:r>
        <w:t>12. 研发基线资料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</w:rPr>
        <w:t>V4.0 基于当前 main 分支的实现与说明文档整理；流程图和节点规格用于统一研发、设计与测试对产品行为的理解。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sz w:val="18"/>
        </w:rPr>
        <w:t>Repository: https://github.com/skyzizhu/sky-agent-mvp-stu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sz w:val="18"/>
        </w:rPr>
        <w:t>Implementation map: https://github.com/skyzizhu/sky-agent-mvp-stu/blob/main/realize.md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sz w:val="18"/>
        </w:rPr>
        <w:t>核心实现参考：README 中的全流程图、common/agent_core.py 的 run() 主循环、SessionToolCache、Context/Memory/Guardrails、evals 目录。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787878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6E78"/>
        <w:sz w:val="16"/>
      </w:rPr>
      <w:t>Sky Research Agent · Product Requirement Document · V4.0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416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47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62B42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