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997"/>
                  </w:pPr>
                </w:p>
                <w:p>
                  <w:pPr>
                    <w:spacing w:after="500"/>
                  </w:pPr>
                  <w:r>
                    <w:rPr>
                      <w:color w:val="D4875A"/>
                      <w:sz w:val="18"/>
                      <w:szCs w:val="18"/>
                      <w:rFonts w:ascii="Calibri"/>
                      <w:spacing w:val="60"/>
                    </w:rPr>
                    <w:t xml:space="preserve">P R O D U C T   R E Q U I R E M E N T S   D O C U M E N T</w:t>
                  </w:r>
                </w:p>
                <w:p>
                  <w:pPr>
                    <w:spacing w:after="100" w:line="920" w:lineRule="atLeast"/>
                  </w:pPr>
                  <w:r>
                    <w:rPr>
                      <w:b/>
                      <w:bCs/>
                      <w:color w:val="FFFFFF"/>
                      <w:sz w:val="80"/>
                      <w:szCs w:val="80"/>
                      <w:rFonts w:eastAsia="SimHei" w:ascii="Arial"/>
                    </w:rPr>
                    <w:t xml:space="preserve">Sky Research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b/>
                      <w:bCs/>
                      <w:color w:val="FFFFFF"/>
                      <w:sz w:val="80"/>
                      <w:szCs w:val="80"/>
                      <w:rFonts w:eastAsia="SimHei" w:ascii="Arial"/>
                    </w:rPr>
                    <w:t xml:space="preserve">Agent</w:t>
                  </w:r>
                </w:p>
                <w:p>
                  <w:pPr>
                    <w:spacing w:after="100"/>
                  </w:pPr>
                  <w:r>
                    <w:rPr>
                      <w:color w:val="B0B8C0"/>
                      <w:sz w:val="24"/>
                      <w:szCs w:val="24"/>
                      <w:rFonts w:eastAsia="Microsoft YaHei" w:ascii="Arial"/>
                    </w:rPr>
                    <w:t xml:space="preserve">深度研究智能体 · 产品需求文档（PRD） V1.1 标准化版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文档编号：SRA-PRD-2026-001</w:t>
            </w: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版本：V1.1（标准化版）</w:t>
            </w: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编制：产品部</w:t>
            </w: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日期：2026 年 09 月 20 日</w:t>
            </w: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密级：内部资料</w:t>
            </w:r>
          </w:p>
          <w:p>
            <w:pPr>
              <w:spacing w:before="16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Sky Research Agent 工作台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2026-09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sz w:val="32"/>
          <w:szCs w:val="32"/>
          <w:rFonts w:eastAsia="SimHei" w:ascii="Times New Roman"/>
        </w:rPr>
        <w:t xml:space="preserve">文档信息</w:t>
      </w:r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A 文档信息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项目</w:t>
            </w:r>
          </w:p>
        </w:tc>
        <w:tc>
          <w:tcPr>
            <w:tcW w:type="pct" w:w="7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产品名称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Sky Research Agent（深度研究智能体）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文档编号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SRA-PRD-2026-001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当前版本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V1.1（标准化版）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文档状态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评审稿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编制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产品部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适用范围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研发、测试、产品评审与项目交接</w:t>
            </w:r>
          </w:p>
        </w:tc>
      </w:tr>
    </w:tbl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B 变更历史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版本</w:t>
            </w:r>
          </w:p>
        </w:tc>
        <w:tc>
          <w:tcPr>
            <w:tcW w:type="pct" w:w="1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日期</w:t>
            </w:r>
          </w:p>
        </w:tc>
        <w:tc>
          <w:tcPr>
            <w:tcW w:type="pct" w:w="1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作者</w:t>
            </w:r>
          </w:p>
        </w:tc>
        <w:tc>
          <w:tcPr>
            <w:tcW w:type="pct" w:w="6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变更说明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V1.0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2026-09-20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产品部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初稿：标准 PRD 十二章结构，功能需求 FR-01 至 FR-11 与验收标准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V1.1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2026-09-20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产品部</w:t>
            </w:r>
          </w:p>
        </w:tc>
        <w:tc>
          <w:tcPr>
            <w:tcW w:type="pct" w:w="6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标准化完善：新增竞品对比、标准格式用户故事与验收条件、业务流程图与运行/看板状态机、界面交互四态、数据字典（运行日志字段与事件枚举）、异常流与 SMART 验收修正、发布检查清单与回滚策略、变更日志与签核栏</w:t>
            </w:r>
          </w:p>
        </w:tc>
      </w:tr>
    </w:tbl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C 评审签核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角色</w:t>
            </w:r>
          </w:p>
        </w:tc>
        <w:tc>
          <w:tcPr>
            <w:tcW w:type="pct" w:w="2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姓名</w:t>
            </w:r>
          </w:p>
        </w:tc>
        <w:tc>
          <w:tcPr>
            <w:tcW w:type="pct" w:w="3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评审结论（通过/修改后通过/不通过）</w:t>
            </w:r>
          </w:p>
        </w:tc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日期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产品负责人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【姓名】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【结论】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【____/____/____】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研发负责人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【姓名】</w:t>
            </w:r>
          </w:p>
        </w:tc>
        <w:tc>
          <w:tcPr>
            <w:tcW w:type="pct" w:w="3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【结论】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【____/____/____】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测试负责人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【姓名】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【结论】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【____/____/____】</w:t>
            </w:r>
          </w:p>
        </w:tc>
      </w:tr>
    </w:tbl>
    <w:p>
      <w:pPr>
        <w:spacing w:before="300"/>
      </w:pP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一、产品概述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背景与机会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替代方案对比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产品定位与设计哲学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二、目标用户与使用场景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三、产品目标与成功指标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四、业务流程与状态图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4.1 主研究流程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4.2 运行状态机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4.3 子问题看板状态机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4.4 评测流程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五、用户故事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六、功能需求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6.1 需求总表（需求信息列表）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6.2 需求详述（含异常流与验收标准）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FR-01 研究输入与预算档位（P0）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FR-02 自主研究循环（P0）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FR-03 实时执行流（P0）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FR-04 报告交付与引用（P0）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FR-05 动态看板核销（P0）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FR-06 上下文工程（P0）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FR-07 安全护栏与兜底（P0）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FR-08 危险操作人工确认（P1）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FR-09 多轮会话（P1）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FR-10 历史回放（P1）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FR-11 评测回归（P1）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七、界面与交互需求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7.1 界面元素清单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7.2 关键元素交互四态定义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7.3 交互与文案规范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八、数据需求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8.1 运行日志字段（runs.jsonl，每行一条）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8.2 事件类型枚举（事件流与存档）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8.3 会话存储结构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九、非功能需求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十、范围外（本版不做）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十一、系统架构概览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十二、评测与验收标准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12.1 评测构成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12.2 四维评分锚点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12.3 验收流程与红线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十三、数据与可观测性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十四、风险与开放问题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十五、发布计划与回滚策略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15.1 发布检查清单（Go / No-Go）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15.2 回滚策略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十六、里程碑规划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十七、附录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17.1 术语表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17.2 参考资料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注：本目录由域代码生成。文档编辑后如需刷新页码，请在目录上点击右键并选择更新域。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before="360" w:after="160" w:line="312"/>
      </w:pPr>
      <w:bookmarkStart w:id="100000" w:name="_Toc100000"/>
      <w:r>
        <w:rPr>
          <w:b/>
          <w:bCs/>
          <w:color w:val="1A2330"/>
          <w:sz w:val="32"/>
          <w:szCs w:val="32"/>
          <w:rFonts w:eastAsia="SimHei" w:ascii="Arial"/>
        </w:rPr>
        <w:t xml:space="preserve">一、产品概述</w:t>
      </w:r>
      <w:bookmarkEnd w:id="100000"/>
    </w:p>
    <w:p>
      <w:pPr>
        <w:pStyle w:val="Heading2"/>
        <w:spacing w:before="240" w:after="120" w:line="312"/>
      </w:pPr>
      <w:bookmarkStart w:id="100001" w:name="_Toc100001"/>
      <w:r>
        <w:rPr>
          <w:b/>
          <w:bCs/>
          <w:color w:val="1A2330"/>
          <w:sz w:val="28"/>
          <w:szCs w:val="28"/>
          <w:rFonts w:eastAsia="SimHei" w:ascii="Arial"/>
        </w:rPr>
        <w:t xml:space="preserve">1.1 背景与机会</w:t>
      </w:r>
      <w:bookmarkEnd w:id="100001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深度调研是知识工作者最高频、也最耗时的工作之一：一次竞品定价对比或行业政策核查，通常需要在多个信息源之间往返检索、交叉验证、整理成文，人工耗时 2 至 4 小时。直接使用通用大模型问答虽然快，但存在三个致命缺陷：其一，模型知识截止，拿不到最新信息；其二，多跳任务容易跑偏、不收敛；其三，结论缺乏来源，编造数据无从核验。</w:t>
      </w:r>
    </w:p>
    <w:p>
      <w:pPr>
        <w:pStyle w:val="Heading2"/>
        <w:spacing w:before="240" w:after="120" w:line="312"/>
      </w:pPr>
      <w:bookmarkStart w:id="100002" w:name="_Toc100002"/>
      <w:r>
        <w:rPr>
          <w:b/>
          <w:bCs/>
          <w:color w:val="1A2330"/>
          <w:sz w:val="28"/>
          <w:szCs w:val="28"/>
          <w:rFonts w:eastAsia="SimHei" w:ascii="Arial"/>
        </w:rPr>
        <w:t xml:space="preserve">1.2 替代方案对比</w:t>
      </w:r>
      <w:bookmarkEnd w:id="100002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市面上已有多种替代方案，但均无法同时满足「可信、可控、可回溯」三个核心诉求，对比如下。</w:t>
      </w:r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 替代方案对比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方案</w:t>
            </w:r>
          </w:p>
        </w:tc>
        <w:tc>
          <w:tcPr>
            <w:tcW w:type="pct" w:w="9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实时信息</w:t>
            </w:r>
          </w:p>
        </w:tc>
        <w:tc>
          <w:tcPr>
            <w:tcW w:type="pct" w:w="1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过程透明</w:t>
            </w:r>
          </w:p>
        </w:tc>
        <w:tc>
          <w:tcPr>
            <w:tcW w:type="pct" w:w="1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引用溯源</w:t>
            </w:r>
          </w:p>
        </w:tc>
        <w:tc>
          <w:tcPr>
            <w:tcW w:type="pct" w:w="11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成本可控</w:t>
            </w:r>
          </w:p>
        </w:tc>
        <w:tc>
          <w:tcPr>
            <w:tcW w:type="pct" w:w="1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多轮深入</w:t>
            </w:r>
          </w:p>
        </w:tc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主要短板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通用 LLM 直答（ChatGPT/Claude 等）</w:t>
            </w:r>
          </w:p>
        </w:tc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弱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无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弱</w:t>
            </w:r>
          </w:p>
        </w:tc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不可控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弱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知识截止、编造风险高、黑盒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AI 搜索（Perplexity 类）</w:t>
            </w:r>
          </w:p>
        </w:tc>
        <w:tc>
          <w:tcPr>
            <w:tcW w:type="pct" w:w="9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弱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中</w:t>
            </w:r>
          </w:p>
        </w:tc>
        <w:tc>
          <w:tcPr>
            <w:tcW w:type="pct" w:w="11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不可控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弱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单轮浅检索、过程不可干预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人工调研</w:t>
            </w:r>
          </w:p>
        </w:tc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</w:t>
            </w:r>
          </w:p>
        </w:tc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人力成本高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耗时 2-4 小时，无法规模化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本产品（Sky Research Agent）</w:t>
            </w:r>
          </w:p>
        </w:tc>
        <w:tc>
          <w:tcPr>
            <w:tcW w:type="pct" w:w="9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强（逐颗粒可视）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强（强制引用）</w:t>
            </w:r>
          </w:p>
        </w:tc>
        <w:tc>
          <w:tcPr>
            <w:tcW w:type="pct" w:w="11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四档预算可控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强（会话续跑）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单用户本地部署（本期定位）</w:t>
            </w:r>
          </w:p>
        </w:tc>
      </w:tr>
    </w:tbl>
    <w:p>
      <w:pPr>
        <w:pStyle w:val="Heading2"/>
        <w:spacing w:before="240" w:after="120" w:line="312"/>
      </w:pPr>
      <w:bookmarkStart w:id="100003" w:name="_Toc100003"/>
      <w:r>
        <w:rPr>
          <w:b/>
          <w:bCs/>
          <w:color w:val="1A2330"/>
          <w:sz w:val="28"/>
          <w:szCs w:val="28"/>
          <w:rFonts w:eastAsia="SimHei" w:ascii="Arial"/>
        </w:rPr>
        <w:t xml:space="preserve">1.3 产品定位与设计哲学</w:t>
      </w:r>
      <w:bookmarkEnd w:id="100003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一句话定位：</w:t>
      </w:r>
      <w:r>
        <w:rPr>
          <w:color w:val="000000"/>
          <w:sz w:val="24"/>
          <w:szCs w:val="24"/>
          <w:rFonts w:eastAsia="SimSun" w:ascii="Times New Roman"/>
        </w:rPr>
        <w:t xml:space="preserve">面向个人研究者的单用户深度研究工作台——输入一个研究问题，自主完成规划、多源检索、网页深读、笔记沉淀与交叉验证，交付一份带引用、可溯源的结构化报告；全程实时可视，成本可控。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产品遵循四条设计哲学，作为所有需求取舍的决策依据：判断权在模型、执行权在代码（智能与可靠的分界）；物理约束大于行为请求（收敛与刹车必须硬编码）；上下文即经济学（每个 token 计算投入产出）；评测即验收标准（没有评测的迭代等于没有验收标准的 PRD）。</w:t>
      </w:r>
    </w:p>
    <w:p>
      <w:pPr>
        <w:pStyle w:val="Heading1"/>
        <w:spacing w:before="360" w:after="160" w:line="312"/>
      </w:pPr>
      <w:bookmarkStart w:id="100004" w:name="_Toc100004"/>
      <w:r>
        <w:rPr>
          <w:b/>
          <w:bCs/>
          <w:color w:val="1A2330"/>
          <w:sz w:val="32"/>
          <w:szCs w:val="32"/>
          <w:rFonts w:eastAsia="SimHei" w:ascii="Arial"/>
        </w:rPr>
        <w:t xml:space="preserve">二、目标用户与使用场景</w:t>
      </w:r>
      <w:bookmarkEnd w:id="100004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目标用户为需要快速完成竞品、行业、政策、技术调研的知识工作者，产品经理为首位目标人群。核心使用场景：S1 竞品定价对比（对比类）；S2 行业政策核查（事实类）；S3 技术方案调研（开放类）；S4 同话题多轮追问（会话续跑）；S5 历史复盘（回放审计）。五个场景分别覆盖评测题库的三种题型与两类会话能力，构成验收的完整映射。</w:t>
      </w:r>
    </w:p>
    <w:p>
      <w:pPr>
        <w:pStyle w:val="Heading1"/>
        <w:spacing w:before="360" w:after="160" w:line="312"/>
      </w:pPr>
      <w:bookmarkStart w:id="100005" w:name="_Toc100005"/>
      <w:r>
        <w:rPr>
          <w:b/>
          <w:bCs/>
          <w:color w:val="1A2330"/>
          <w:sz w:val="32"/>
          <w:szCs w:val="32"/>
          <w:rFonts w:eastAsia="SimHei" w:ascii="Arial"/>
        </w:rPr>
        <w:t xml:space="preserve">三、产品目标与成功指标</w:t>
      </w:r>
      <w:bookmarkEnd w:id="100005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以 12 题全量评测（标准档）为当前基线：总分 0.66，四维分别为有据 0.54、有源 0.83、覆盖 0.72、简洁 0.54。本版目标与回归红线如下，所有指标均可由评测系统自动度量。</w:t>
      </w:r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2 成功指标（基线 → 目标）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指标</w:t>
            </w:r>
          </w:p>
        </w:tc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基线</w:t>
            </w:r>
          </w:p>
        </w:tc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目标</w:t>
            </w:r>
          </w:p>
        </w:tc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回归红线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评测总分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0.66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0.80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任一维度不低于基线 0.05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有据 supported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0.54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0.70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同上（编造为本版头号风险）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有源 sourced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0.83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0.90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覆盖 complete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0.72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0.80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简洁 concise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0.54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0.65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标准档单题成本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约 5.6 万 token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不超过 6 万 token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超限题单独归因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交付可靠性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兜底链保证非空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零空报告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出现即最高级缺陷</w:t>
            </w:r>
          </w:p>
        </w:tc>
      </w:tr>
    </w:tbl>
    <w:p>
      <w:pPr>
        <w:pStyle w:val="Heading1"/>
        <w:spacing w:before="360" w:after="160" w:line="312"/>
      </w:pPr>
      <w:bookmarkStart w:id="100006" w:name="_Toc100006"/>
      <w:r>
        <w:rPr>
          <w:b/>
          <w:bCs/>
          <w:color w:val="1A2330"/>
          <w:sz w:val="32"/>
          <w:szCs w:val="32"/>
          <w:rFonts w:eastAsia="SimHei" w:ascii="Arial"/>
        </w:rPr>
        <w:t xml:space="preserve">四、业务流程与状态图</w:t>
      </w:r>
      <w:bookmarkEnd w:id="100006"/>
    </w:p>
    <w:p>
      <w:pPr>
        <w:pStyle w:val="Heading2"/>
        <w:spacing w:before="240" w:after="120" w:line="312"/>
      </w:pPr>
      <w:bookmarkStart w:id="100007" w:name="_Toc100007"/>
      <w:r>
        <w:rPr>
          <w:b/>
          <w:bCs/>
          <w:color w:val="1A2330"/>
          <w:sz w:val="28"/>
          <w:szCs w:val="28"/>
          <w:rFonts w:eastAsia="SimHei" w:ascii="Arial"/>
        </w:rPr>
        <w:t xml:space="preserve">4.1 主研究流程</w:t>
      </w:r>
      <w:bookmarkEnd w:id="100007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主流程分三段：启动准备（记忆注入、会话上下文、MCP 接入、预算护栏）、主循环（至多 20 步：注入进度与看板、调用模型、四级出口判断、工具执行、危险操作确认、结果回填、失败熔断）、收尾兜底（五出口汇合后强制保证交付物非空，随后记忆提取、会话保存、日志落盘、报告推送）。</w:t>
      </w:r>
    </w:p>
    <w:p>
      <w:pPr>
        <w:spacing w:before="120" w:after="120"/>
        <w:jc w:val="center"/>
      </w:pPr>
      <w:r>
        <w:drawing>
          <wp:inline distT="0" distB="0" distL="0" distR="0">
            <wp:extent cx="3238500" cy="635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21"/>
          <w:szCs w:val="21"/>
          <w:rFonts w:eastAsia="SimSun"/>
        </w:rPr>
        <w:t xml:space="preserve">图 1 主研究流程（含出口判断与兜底链）</w:t>
      </w:r>
    </w:p>
    <w:p>
      <w:pPr>
        <w:pStyle w:val="Heading2"/>
        <w:spacing w:before="240" w:after="120" w:line="312"/>
      </w:pPr>
      <w:bookmarkStart w:id="100008" w:name="_Toc100008"/>
      <w:r>
        <w:rPr>
          <w:b/>
          <w:bCs/>
          <w:color w:val="1A2330"/>
          <w:sz w:val="28"/>
          <w:szCs w:val="28"/>
          <w:rFonts w:eastAsia="SimHei" w:ascii="Arial"/>
        </w:rPr>
        <w:t xml:space="preserve">4.2 运行状态机</w:t>
      </w:r>
      <w:bookmarkEnd w:id="100008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一次运行在状态机中流转：提交请求后进入规划态，大纲与看板就绪转入研究态；研究态中若命中危险工具则进入确认等待（上限 600 秒，超时视为拒绝），批准后回到研究态，拒绝则转入收尾；模型完成、预算硬收尾、步数耗尽或用户中止均转入收尾态，由兜底链保证报告非空；随后完成记忆提取、会话保存与日志落盘，进入完成态。协议错误经兜底链接管后同样保证产出。</w:t>
      </w:r>
    </w:p>
    <w:p>
      <w:pPr>
        <w:spacing w:before="120" w:after="120"/>
        <w:jc w:val="center"/>
      </w:pPr>
      <w:r>
        <w:drawing>
          <wp:inline distT="0" distB="0" distL="0" distR="0">
            <wp:extent cx="5143500" cy="500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21"/>
          <w:szCs w:val="21"/>
          <w:rFonts w:eastAsia="SimSun"/>
        </w:rPr>
        <w:t xml:space="preserve">图 2 运行状态机</w:t>
      </w:r>
    </w:p>
    <w:p>
      <w:pPr>
        <w:pStyle w:val="Heading2"/>
        <w:spacing w:before="240" w:after="120" w:line="312"/>
      </w:pPr>
      <w:bookmarkStart w:id="100009" w:name="_Toc100009"/>
      <w:r>
        <w:rPr>
          <w:b/>
          <w:bCs/>
          <w:color w:val="1A2330"/>
          <w:sz w:val="28"/>
          <w:szCs w:val="28"/>
          <w:rFonts w:eastAsia="SimHei" w:ascii="Arial"/>
        </w:rPr>
        <w:t xml:space="preserve">4.3 子问题看板状态机</w:t>
      </w:r>
      <w:bookmarkEnd w:id="100009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规划产出的每个子问题在看板中独立流转：待查证为初始态；调研开始后进入查证中；当笔记写入命中该子问题标记时自动核销为已完成（附结论摘要），或由模型显式调用核销工具完成。全部子问题核销后，系统在下一轮注入强制收尾指令。</w:t>
      </w:r>
    </w:p>
    <w:p>
      <w:pPr>
        <w:spacing w:before="120" w:after="120"/>
        <w:jc w:val="center"/>
      </w:pPr>
      <w:r>
        <w:drawing>
          <wp:inline distT="0" distB="0" distL="0" distR="0">
            <wp:extent cx="40005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21"/>
          <w:szCs w:val="21"/>
          <w:rFonts w:eastAsia="SimSun"/>
        </w:rPr>
        <w:t xml:space="preserve">图 3 子问题看板状态机</w:t>
      </w:r>
    </w:p>
    <w:p>
      <w:pPr>
        <w:pStyle w:val="Heading2"/>
        <w:spacing w:before="240" w:after="120" w:line="312"/>
      </w:pPr>
      <w:bookmarkStart w:id="100010" w:name="_Toc100010"/>
      <w:r>
        <w:rPr>
          <w:b/>
          <w:bCs/>
          <w:color w:val="1A2330"/>
          <w:sz w:val="28"/>
          <w:szCs w:val="28"/>
          <w:rFonts w:eastAsia="SimHei" w:ascii="Arial"/>
        </w:rPr>
        <w:t xml:space="preserve">4.4 评测流程</w:t>
      </w:r>
      <w:bookmarkEnd w:id="100010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评测按六步流水线执行：取题、真跑、截留证据、对照阅卷、聚合成绩单、落盘归档。详见第十二章。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21"/>
          <w:szCs w:val="21"/>
          <w:rFonts w:eastAsia="SimSun"/>
        </w:rPr>
        <w:t xml:space="preserve">图 4 评测六步流水线</w:t>
      </w:r>
    </w:p>
    <w:p>
      <w:pPr>
        <w:pStyle w:val="Heading1"/>
        <w:spacing w:before="360" w:after="160" w:line="312"/>
      </w:pPr>
      <w:bookmarkStart w:id="100011" w:name="_Toc100011"/>
      <w:r>
        <w:rPr>
          <w:b/>
          <w:bCs/>
          <w:color w:val="1A2330"/>
          <w:sz w:val="32"/>
          <w:szCs w:val="32"/>
          <w:rFonts w:eastAsia="SimHei" w:ascii="Arial"/>
        </w:rPr>
        <w:t xml:space="preserve">五、用户故事</w:t>
      </w:r>
      <w:bookmarkEnd w:id="100011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以下用户故事采用标准格式（作为/我想要/以便），每条附验收条件（AC）。故事编号用于需求追踪矩阵的映射。</w:t>
      </w:r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3 用户故事与验收条件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编号</w:t>
            </w:r>
          </w:p>
        </w:tc>
        <w:tc>
          <w:tcPr>
            <w:tcW w:type="pct" w:w="4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用户故事</w:t>
            </w:r>
          </w:p>
        </w:tc>
        <w:tc>
          <w:tcPr>
            <w:tcW w:type="pct" w:w="4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验收条件（AC）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US-01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作为产品经理，我想要输入一个研究问题后自动完成检索与成文，以便把数小时调研压缩到几分钟。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AC1 提交后无需人工干预直至报告产出；AC2 报告含引用与参考小节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US-02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作为审阅者，我想要看到研究的每一步动作，以便判断结论是否可信。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AC1 执行流逐颗粒实时可见；AC2 每颗粒可下钻查看完整输入输出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US-03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作为成本敏感用户，我想要按任务规模选择预算档位，以便控制花费。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AC1 四档可选且实时显示消耗；AC2 到达上限必停并交付阶段报告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US-04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作为深度研究者，我想要在同一话题下连续追问，以便逐层深入而不重复付费。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AC1 追问轮复用笔记与上下文；AC2 检索次数较首轮下降不低于 40%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US-05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作为谨慎的使用者，我想要在 agent 执行危险动作前亲自确认，以便控制风险。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AC1 未经确认的动作执行次数为 0；AC2 确认卡展示参数与原因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US-06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作为复盘者，我想要回看任意一次历史研究的完整过程，以便审计与学习。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AC1 历史列表点击即回放；AC2 事件逐颗还原且与实时流一致</w:t>
            </w:r>
          </w:p>
        </w:tc>
      </w:tr>
    </w:tbl>
    <w:p>
      <w:pPr>
        <w:pStyle w:val="Heading1"/>
        <w:spacing w:before="360" w:after="160" w:line="312"/>
      </w:pPr>
      <w:bookmarkStart w:id="100012" w:name="_Toc100012"/>
      <w:r>
        <w:rPr>
          <w:b/>
          <w:bCs/>
          <w:color w:val="1A2330"/>
          <w:sz w:val="32"/>
          <w:szCs w:val="32"/>
          <w:rFonts w:eastAsia="SimHei" w:ascii="Arial"/>
        </w:rPr>
        <w:t xml:space="preserve">六、功能需求</w:t>
      </w:r>
      <w:bookmarkEnd w:id="100012"/>
    </w:p>
    <w:p>
      <w:pPr>
        <w:pStyle w:val="Heading2"/>
        <w:spacing w:before="240" w:after="120" w:line="312"/>
      </w:pPr>
      <w:bookmarkStart w:id="100013" w:name="_Toc100013"/>
      <w:r>
        <w:rPr>
          <w:b/>
          <w:bCs/>
          <w:color w:val="1A2330"/>
          <w:sz w:val="28"/>
          <w:szCs w:val="28"/>
          <w:rFonts w:eastAsia="SimHei" w:ascii="Arial"/>
        </w:rPr>
        <w:t xml:space="preserve">6.1 需求总表（需求信息列表）</w:t>
      </w:r>
      <w:bookmarkEnd w:id="100013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4 功能需求总表（含优先级依据）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编号</w:t>
            </w:r>
          </w:p>
        </w:tc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需求名称</w:t>
            </w:r>
          </w:p>
        </w:tc>
        <w:tc>
          <w:tcPr>
            <w:tcW w:type="pct" w:w="1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优先级</w:t>
            </w:r>
          </w:p>
        </w:tc>
        <w:tc>
          <w:tcPr>
            <w:tcW w:type="pct" w:w="5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优先级依据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FR-01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研究输入与预算档位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产品入口，无此不可用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FR-02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自主研究循环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核心价值载体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FR-03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实时执行流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信任建立的关键（心法：过程即产品）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FR-04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报告交付与引用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最终交付物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FR-05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动态看板核销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收敛的物理保证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FR-06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上下文工程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成本曲线与长任务可行性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FR-07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安全护栏与兜底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交付底线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FR-08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危险操作人工确认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P1</w:t>
            </w:r>
          </w:p>
        </w:tc>
        <w:tc>
          <w:tcPr>
            <w:tcW w:type="pct" w:w="5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接入 MCP 写类工具时生效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FR-09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多轮会话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P1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场景 S4/S5 的支撑能力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FR-10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历史回放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P1</w:t>
            </w:r>
          </w:p>
        </w:tc>
        <w:tc>
          <w:tcPr>
            <w:tcW w:type="pct" w:w="5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场景 S5 的支撑能力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FR-11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评测回归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P1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迭代基础设施</w:t>
            </w:r>
          </w:p>
        </w:tc>
      </w:tr>
    </w:tbl>
    <w:p>
      <w:pPr>
        <w:pStyle w:val="Heading2"/>
        <w:spacing w:before="240" w:after="120" w:line="312"/>
      </w:pPr>
      <w:bookmarkStart w:id="100014" w:name="_Toc100014"/>
      <w:r>
        <w:rPr>
          <w:b/>
          <w:bCs/>
          <w:color w:val="1A2330"/>
          <w:sz w:val="28"/>
          <w:szCs w:val="28"/>
          <w:rFonts w:eastAsia="SimHei" w:ascii="Arial"/>
        </w:rPr>
        <w:t xml:space="preserve">6.2 需求详述（含异常流与验收标准）</w:t>
      </w:r>
      <w:bookmarkEnd w:id="100014"/>
    </w:p>
    <w:p>
      <w:pPr>
        <w:pStyle w:val="Heading3"/>
        <w:spacing w:before="200" w:after="100" w:line="312"/>
      </w:pPr>
      <w:bookmarkStart w:id="100015" w:name="_Toc100015"/>
      <w:r>
        <w:rPr>
          <w:b/>
          <w:bCs/>
          <w:color w:val="1A2330"/>
          <w:sz w:val="24"/>
          <w:szCs w:val="24"/>
          <w:rFonts w:eastAsia="SimHei" w:ascii="Arial"/>
        </w:rPr>
        <w:t xml:space="preserve">FR-01 研究输入与预算档位（P0）</w:t>
      </w:r>
      <w:bookmarkEnd w:id="100015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用户提交研究问题并选择预算档位：快问 2 万、标准 5 万、深度 12 万、不限额度。档位决定 token 上限与收敛节奏，步数上限统一为 20 步。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正向：输入非空、档位有效、服务可用时，研究在对应预算内完成并产出报告。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异常流：输入为空则阻止提交并提示；档位无效回落标准档；服务不可用时明确报错并保留输入内容供重试。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验收：档位随请求生效且仪表实时显示消耗；运行中档位切换被禁用；预算到达上限必停并交付阶段报告。</w:t>
      </w:r>
    </w:p>
    <w:p>
      <w:pPr>
        <w:pStyle w:val="Heading3"/>
        <w:spacing w:before="200" w:after="100" w:line="312"/>
      </w:pPr>
      <w:bookmarkStart w:id="100016" w:name="_Toc100016"/>
      <w:r>
        <w:rPr>
          <w:b/>
          <w:bCs/>
          <w:color w:val="1A2330"/>
          <w:sz w:val="24"/>
          <w:szCs w:val="24"/>
          <w:rFonts w:eastAsia="SimHei" w:ascii="Arial"/>
        </w:rPr>
        <w:t xml:space="preserve">FR-02 自主研究循环（P0）</w:t>
      </w:r>
      <w:bookmarkEnd w:id="100016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系统先以独立调用将问题规划为不超过 3 个带查证要点的子问题并转为看板，随后进入主循环：模型自主调用检索、网页抓取（静态失败自动降级无头浏览器）、笔记等工具，长网页即时萃取、历史超限自动压缩。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正向：看板逐项核销，全绿后系统注入强制收尾指令，模型输出带引用报告。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异常流：规划失败降级为空大纲继续执行；工具全部失败由熔断器注入改道指令；循环达 20 步上限转入强制结题。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验收：12 题评测全部产出完整报告；单题步数不超上限；重复检索被会话缓存去重。</w:t>
      </w:r>
    </w:p>
    <w:p>
      <w:pPr>
        <w:pStyle w:val="Heading3"/>
        <w:spacing w:before="200" w:after="100" w:line="312"/>
      </w:pPr>
      <w:bookmarkStart w:id="100017" w:name="_Toc100017"/>
      <w:r>
        <w:rPr>
          <w:b/>
          <w:bCs/>
          <w:color w:val="1A2330"/>
          <w:sz w:val="24"/>
          <w:szCs w:val="24"/>
          <w:rFonts w:eastAsia="SimHei" w:ascii="Arial"/>
        </w:rPr>
        <w:t xml:space="preserve">FR-03 实时执行流（P0）</w:t>
      </w:r>
      <w:bookmarkEnd w:id="100017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研究过程以 SSE 实时推送层级编号事件流（第 N 步、动作 M），每个颗粒可下钻查看完整输入、输出与耗时；服务端空闲 15 秒发送心跳，前端断线自动重连（至多 5 次退避，断点续传）。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正向：事件从规划到报告全程实时可见，颗粒可展开核对。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异常流：长静默由心跳保活；断线后按已收帧数续传，5 次重连失败才降级为提示卡片，且明确告知运行仍在后台继续。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验收：长静默超过 60 秒不断流；重连后事件不重放、不漏发。</w:t>
      </w:r>
    </w:p>
    <w:p>
      <w:pPr>
        <w:pStyle w:val="Heading3"/>
        <w:spacing w:before="200" w:after="100" w:line="312"/>
      </w:pPr>
      <w:bookmarkStart w:id="100018" w:name="_Toc100018"/>
      <w:r>
        <w:rPr>
          <w:b/>
          <w:bCs/>
          <w:color w:val="1A2330"/>
          <w:sz w:val="24"/>
          <w:szCs w:val="24"/>
          <w:rFonts w:eastAsia="SimHei" w:ascii="Arial"/>
        </w:rPr>
        <w:t xml:space="preserve">FR-04 报告交付与引用（P0）</w:t>
      </w:r>
      <w:bookmarkEnd w:id="100018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最终报告以 Markdown 渲染，关键结论必须携带 [n](url) 编用引用并在文末列参考小节；支持复制与下载；报告面板仅在存在有效报告时显示。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正向：报告完成即渲染呈现并自动滚动定位。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异常流：模型输出含内部标签时前端净化剔除；无有效报告时面板整体隐藏；渲染库加载失败降级为纯文本。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验收：评测有源维度不低于 0.90；异常输出零泄漏到界面。</w:t>
      </w:r>
    </w:p>
    <w:p>
      <w:pPr>
        <w:pStyle w:val="Heading3"/>
        <w:spacing w:before="200" w:after="100" w:line="312"/>
      </w:pPr>
      <w:bookmarkStart w:id="100019" w:name="_Toc100019"/>
      <w:r>
        <w:rPr>
          <w:b/>
          <w:bCs/>
          <w:color w:val="1A2330"/>
          <w:sz w:val="24"/>
          <w:szCs w:val="24"/>
          <w:rFonts w:eastAsia="SimHei" w:ascii="Arial"/>
        </w:rPr>
        <w:t xml:space="preserve">FR-05 动态看板核销（P0）</w:t>
      </w:r>
      <w:bookmarkEnd w:id="100019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子问题在看板中按状态机流转（待查证/查证中/已完成），笔记写入命中子问题标记时自动核销并附结论摘要，亦可显式核销；全部核销后注入强制收尾指令。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正向：看板实时刷新，与模型每轮看到的进度注入同源同拍。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异常流：模型漏核销时由笔记感知兜底；看板无核销进展由进展自检提示收尾。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验收：看板与模型视角一致；核销结论可追溯至对应笔记。</w:t>
      </w:r>
    </w:p>
    <w:p>
      <w:pPr>
        <w:pStyle w:val="Heading3"/>
        <w:spacing w:before="200" w:after="100" w:line="312"/>
      </w:pPr>
      <w:bookmarkStart w:id="100020" w:name="_Toc100020"/>
      <w:r>
        <w:rPr>
          <w:b/>
          <w:bCs/>
          <w:color w:val="1A2330"/>
          <w:sz w:val="24"/>
          <w:szCs w:val="24"/>
          <w:rFonts w:eastAsia="SimHei" w:ascii="Arial"/>
        </w:rPr>
        <w:t xml:space="preserve">FR-06 上下文工程（P0）</w:t>
      </w:r>
      <w:bookmarkEnd w:id="100020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三层治理：网页正文进门截断（头尾保留，前 70% 加后 30%）；长文本进门即单页萃取（压减 80% 以上）；历史消息超阈值后由 LLM 摘要压缩（保留目标、发现、待办、约束）。压缩与萃取 token 全额计入预算。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正向：三层协同使标准档任务上下文峰值不超限。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异常流：萃取失败降级为截断原文；压缩失败保留原历史并记录错误。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验收：标准档任务零上下文超限中断；关键事实多轮压缩后仍可由笔记找回。</w:t>
      </w:r>
    </w:p>
    <w:p>
      <w:pPr>
        <w:pStyle w:val="Heading3"/>
        <w:spacing w:before="200" w:after="100" w:line="312"/>
      </w:pPr>
      <w:bookmarkStart w:id="100021" w:name="_Toc100021"/>
      <w:r>
        <w:rPr>
          <w:b/>
          <w:bCs/>
          <w:color w:val="1A2330"/>
          <w:sz w:val="24"/>
          <w:szCs w:val="24"/>
          <w:rFonts w:eastAsia="SimHei" w:ascii="Arial"/>
        </w:rPr>
        <w:t xml:space="preserve">FR-07 安全护栏与兜底（P0）</w:t>
      </w:r>
      <w:bookmarkEnd w:id="100021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预算三水位：80% 软提醒、95% 摘除工具强制结题、耗尽强停；工具连续失败 4 次注入熔断指令（至多 2 次）；五出口汇合后执行兜底链（强制结题、笔记兜底、输出净化），保证交付物非空。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正向：正常完成走 model_done 出口直接交付。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异常流：五种非正常出口（预算硬收尾/耗尽/中止/步数耗尽/错误）均进入兜底链；兜底调用失败由笔记原文顶替为报告。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验收：极端任务测试零空报告；硬收尾后模型无法再发起工具调用。</w:t>
      </w:r>
    </w:p>
    <w:p>
      <w:pPr>
        <w:pStyle w:val="Heading3"/>
        <w:spacing w:before="200" w:after="100" w:line="312"/>
      </w:pPr>
      <w:bookmarkStart w:id="100022" w:name="_Toc100022"/>
      <w:r>
        <w:rPr>
          <w:b/>
          <w:bCs/>
          <w:color w:val="1A2330"/>
          <w:sz w:val="24"/>
          <w:szCs w:val="24"/>
          <w:rFonts w:eastAsia="SimHei" w:ascii="Arial"/>
        </w:rPr>
        <w:t xml:space="preserve">FR-08 危险操作人工确认（P1）</w:t>
      </w:r>
      <w:bookmarkEnd w:id="100022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命中危险分级的工具执行前暂停并弹出确认横幅（含参数与危险原因），批准后执行，拒绝则回执引导模型改道；接入 MCP 写类外部工具时自动纳入危险分级。确认等待上限 600 秒，超时视为拒绝。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正向：确认横幅展示完整信息，用户决定后模型按回执行动。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异常流：超时视为拒绝；拒绝回执固定引导模型改为直接输出内容，不得重复尝试。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验收：未经批准的危险动作执行次数为 0；拒绝后重复尝试次数为 0。</w:t>
      </w:r>
    </w:p>
    <w:p>
      <w:pPr>
        <w:pStyle w:val="Heading3"/>
        <w:spacing w:before="200" w:after="100" w:line="312"/>
      </w:pPr>
      <w:bookmarkStart w:id="100023" w:name="_Toc100023"/>
      <w:r>
        <w:rPr>
          <w:b/>
          <w:bCs/>
          <w:color w:val="1A2330"/>
          <w:sz w:val="24"/>
          <w:szCs w:val="24"/>
          <w:rFonts w:eastAsia="SimHei" w:ascii="Arial"/>
        </w:rPr>
        <w:t xml:space="preserve">FR-09 多轮会话（P1）</w:t>
      </w:r>
      <w:bookmarkEnd w:id="100023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同一会话共享笔记与上下文快照：新轮次注入上轮摘要与发现，支持指代追问；前端按轮次拼接全部输入与执行流，刷新后恢复。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正向：追问轮复用已有发现，检索次数较独立首轮下降不低于 40%。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异常流：会话不存在时优雅新建；历史轮次无存档时该轮显示占位说明。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验收：同会话追问的检索次数较独立首轮下降不低于 40%（同题对比）；会话历史每轮恰好记录一次。</w:t>
      </w:r>
    </w:p>
    <w:p>
      <w:pPr>
        <w:pStyle w:val="Heading3"/>
        <w:spacing w:before="200" w:after="100" w:line="312"/>
      </w:pPr>
      <w:bookmarkStart w:id="100024" w:name="_Toc100024"/>
      <w:r>
        <w:rPr>
          <w:b/>
          <w:bCs/>
          <w:color w:val="1A2330"/>
          <w:sz w:val="24"/>
          <w:szCs w:val="24"/>
          <w:rFonts w:eastAsia="SimHei" w:ascii="Arial"/>
        </w:rPr>
        <w:t xml:space="preserve">FR-10 历史回放（P1）</w:t>
      </w:r>
      <w:bookmarkEnd w:id="100024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事件流与报告全量落盘；历史列表点击进入回放，按会话聚合还原全部轮次；回放为只读。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正向：任意历史运行可完整还原到颗颗动作。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异常流：旧格式存档显示占位说明不报错；存档缺失的轮次同样优雅降级。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验收：回放事件与实时事件一一对应；跨轮会话可整段还原。</w:t>
      </w:r>
    </w:p>
    <w:p>
      <w:pPr>
        <w:pStyle w:val="Heading3"/>
        <w:spacing w:before="200" w:after="100" w:line="312"/>
      </w:pPr>
      <w:bookmarkStart w:id="100025" w:name="_Toc100025"/>
      <w:r>
        <w:rPr>
          <w:b/>
          <w:bCs/>
          <w:color w:val="1A2330"/>
          <w:sz w:val="24"/>
          <w:szCs w:val="24"/>
          <w:rFonts w:eastAsia="SimHei" w:ascii="Arial"/>
        </w:rPr>
        <w:t xml:space="preserve">FR-11 评测回归（P1）</w:t>
      </w:r>
      <w:bookmarkEnd w:id="100025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内置 12 题评测三件套：题库（问题+要点）、评分器（对照原始证据四维打分，不上网）、运行器（快跑/指定题/全量）。成绩单含总分、维度分、逐题问题清单。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正向：全量评测 30 分钟内完成并落盘成绩单。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异常流：评分器解析失败记 0 并标注（区分故障与真差）；单题噪声只看多题均值。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验收：全量 30 分钟内完成；成绩单可直接用于改前改后对比。</w:t>
      </w:r>
    </w:p>
    <w:p>
      <w:pPr>
        <w:pStyle w:val="Heading1"/>
        <w:spacing w:before="360" w:after="160" w:line="312"/>
      </w:pPr>
      <w:bookmarkStart w:id="100026" w:name="_Toc100026"/>
      <w:r>
        <w:rPr>
          <w:b/>
          <w:bCs/>
          <w:color w:val="1A2330"/>
          <w:sz w:val="32"/>
          <w:szCs w:val="32"/>
          <w:rFonts w:eastAsia="SimHei" w:ascii="Arial"/>
        </w:rPr>
        <w:t xml:space="preserve">七、界面与交互需求</w:t>
      </w:r>
      <w:bookmarkEnd w:id="100026"/>
    </w:p>
    <w:p>
      <w:pPr>
        <w:pStyle w:val="Heading2"/>
        <w:spacing w:before="240" w:after="120" w:line="312"/>
      </w:pPr>
      <w:bookmarkStart w:id="100027" w:name="_Toc100027"/>
      <w:r>
        <w:rPr>
          <w:b/>
          <w:bCs/>
          <w:color w:val="1A2330"/>
          <w:sz w:val="28"/>
          <w:szCs w:val="28"/>
          <w:rFonts w:eastAsia="SimHei" w:ascii="Arial"/>
        </w:rPr>
        <w:t xml:space="preserve">7.1 界面元素清单</w:t>
      </w:r>
      <w:bookmarkEnd w:id="100027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工作台为单页应用，自上而下分为：页头（模型与预算仪表）、运行状态条、三栏主区（左：运行历史列表；中：执行流与确认卡；下：报告面板）、底部输入区（场景词、问题输入、档位选择、操作按钮）。</w:t>
      </w:r>
    </w:p>
    <w:p>
      <w:pPr>
        <w:pStyle w:val="Heading2"/>
        <w:spacing w:before="240" w:after="120" w:line="312"/>
      </w:pPr>
      <w:bookmarkStart w:id="100028" w:name="_Toc100028"/>
      <w:r>
        <w:rPr>
          <w:b/>
          <w:bCs/>
          <w:color w:val="1A2330"/>
          <w:sz w:val="28"/>
          <w:szCs w:val="28"/>
          <w:rFonts w:eastAsia="SimHei" w:ascii="Arial"/>
        </w:rPr>
        <w:t xml:space="preserve">7.2 关键元素交互四态定义</w:t>
      </w:r>
      <w:bookmarkEnd w:id="100028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5 界面元素四态定义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元素</w:t>
            </w:r>
          </w:p>
        </w:tc>
        <w:tc>
          <w:tcPr>
            <w:tcW w:type="pct" w:w="2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加载中</w:t>
            </w:r>
          </w:p>
        </w:tc>
        <w:tc>
          <w:tcPr>
            <w:tcW w:type="pct" w:w="1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空</w:t>
            </w:r>
          </w:p>
        </w:tc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错误</w:t>
            </w:r>
          </w:p>
        </w:tc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输入区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可用（运行中禁用提交）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占位文案引导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提交失败弹提示并保留内容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清空并聚焦，追加轮次卡片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执行流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显示等待运行占位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同左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断线卡（重连中/失败提示）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全量颗粒可见，可展开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确认横幅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倒计时等待（600 秒）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超时视为拒绝并提示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批准后置灰，显示回执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报告面板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隐藏（final 事件前）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隐藏（错误卡替代）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渲染 MD，附元信息与复制/下载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历史列表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加载占位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显示暂无运行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显示加载失败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倒序列出，点击回放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看板卡片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隐藏（规划前）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随 checklist 事件刷新</w:t>
            </w:r>
          </w:p>
        </w:tc>
      </w:tr>
    </w:tbl>
    <w:p>
      <w:pPr>
        <w:pStyle w:val="Heading2"/>
        <w:spacing w:before="240" w:after="120" w:line="312"/>
      </w:pPr>
      <w:bookmarkStart w:id="100029" w:name="_Toc100029"/>
      <w:r>
        <w:rPr>
          <w:b/>
          <w:bCs/>
          <w:color w:val="1A2330"/>
          <w:sz w:val="28"/>
          <w:szCs w:val="28"/>
          <w:rFonts w:eastAsia="SimHei" w:ascii="Arial"/>
        </w:rPr>
        <w:t xml:space="preserve">7.3 交互与文案规范</w:t>
      </w:r>
      <w:bookmarkEnd w:id="100029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确认类按钮必须使用动词明确语义（确认发送/批准执行），取消按钮并列呈现；错误文案必须包含下一步动作建议（例如提示查看日志或重试）；所有系统提示在事件流中以独立颗粒留痕，不允许静默失败；运行中禁用开始按钮与档位切换，防止并发运行。</w:t>
      </w:r>
    </w:p>
    <w:p>
      <w:pPr>
        <w:pStyle w:val="Heading1"/>
        <w:spacing w:before="360" w:after="160" w:line="312"/>
      </w:pPr>
      <w:bookmarkStart w:id="100030" w:name="_Toc100030"/>
      <w:r>
        <w:rPr>
          <w:b/>
          <w:bCs/>
          <w:color w:val="1A2330"/>
          <w:sz w:val="32"/>
          <w:szCs w:val="32"/>
          <w:rFonts w:eastAsia="SimHei" w:ascii="Arial"/>
        </w:rPr>
        <w:t xml:space="preserve">八、数据需求</w:t>
      </w:r>
      <w:bookmarkEnd w:id="100030"/>
    </w:p>
    <w:p>
      <w:pPr>
        <w:pStyle w:val="Heading2"/>
        <w:spacing w:before="240" w:after="120" w:line="312"/>
      </w:pPr>
      <w:bookmarkStart w:id="100031" w:name="_Toc100031"/>
      <w:r>
        <w:rPr>
          <w:b/>
          <w:bCs/>
          <w:color w:val="1A2330"/>
          <w:sz w:val="28"/>
          <w:szCs w:val="28"/>
          <w:rFonts w:eastAsia="SimHei" w:ascii="Arial"/>
        </w:rPr>
        <w:t xml:space="preserve">8.1 运行日志字段（runs.jsonl，每行一条）</w:t>
      </w:r>
      <w:bookmarkEnd w:id="100031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6 运行日志字段字典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字段</w:t>
            </w:r>
          </w:p>
        </w:tc>
        <w:tc>
          <w:tcPr>
            <w:tcW w:type="pct" w:w="1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类型</w:t>
            </w:r>
          </w:p>
        </w:tc>
        <w:tc>
          <w:tcPr>
            <w:tcW w:type="pct" w:w="6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run_id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string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运行唯一标识（8 位十六进制）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ts / impl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string</w:t>
            </w:r>
          </w:p>
        </w:tc>
        <w:tc>
          <w:tcPr>
            <w:tcW w:type="pct" w:w="6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时间戳与宿主实现标识（webapp/cli 等）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question / steps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string/int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研究问题（截 80 字）与实际执行步数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tool_calls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array</w:t>
            </w:r>
          </w:p>
        </w:tc>
        <w:tc>
          <w:tcPr>
            <w:tcW w:type="pct" w:w="6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工具调用序列（按执行顺序）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tokens / budget_max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int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实际消耗与预算上限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stop_reason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string</w:t>
            </w:r>
          </w:p>
        </w:tc>
        <w:tc>
          <w:tcPr>
            <w:tcW w:type="pct" w:w="6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停止原因（model_done/budget_hard_stop/user_stop/max_steps/error）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errors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array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错误清单（含协议异常与工具异常）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extra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object</w:t>
            </w:r>
          </w:p>
        </w:tc>
        <w:tc>
          <w:tcPr>
            <w:tcW w:type="pct" w:w="6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扩展字段：new_preferences（提取的偏好）、session_id（会话溯源）</w:t>
            </w:r>
          </w:p>
        </w:tc>
      </w:tr>
    </w:tbl>
    <w:p>
      <w:pPr>
        <w:pStyle w:val="Heading2"/>
        <w:spacing w:before="240" w:after="120" w:line="312"/>
      </w:pPr>
      <w:bookmarkStart w:id="100032" w:name="_Toc100032"/>
      <w:r>
        <w:rPr>
          <w:b/>
          <w:bCs/>
          <w:color w:val="1A2330"/>
          <w:sz w:val="28"/>
          <w:szCs w:val="28"/>
          <w:rFonts w:eastAsia="SimHei" w:ascii="Arial"/>
        </w:rPr>
        <w:t xml:space="preserve">8.2 事件类型枚举（事件流与存档）</w:t>
      </w:r>
      <w:bookmarkEnd w:id="100032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7 事件类型清单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事件</w:t>
            </w:r>
          </w:p>
        </w:tc>
        <w:tc>
          <w:tcPr>
            <w:tcW w:type="pct" w:w="3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载荷要点</w:t>
            </w:r>
          </w:p>
        </w:tc>
        <w:tc>
          <w:tcPr>
            <w:tcW w:type="pct" w:w="4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run_meta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run_id/session_id/question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存档头部：会话溯源与跨轮回放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memory_inject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count/total/filtered/text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展示记忆注入与门禁过滤情况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guardrail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max/dangerous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预算护栏与危险工具清单公示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mcp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msg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MCP 接入状态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plan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outline/sub_questions/ms/detail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规划卡片与全量 IO 详单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progress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text/checklist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每轮进度注入与看板文本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step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tools/prompt_tokens/detail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模型调用颗粒（含全量 IO 与 token 明细）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tool_result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name/result/full_result/args/耗时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工具执行颗粒与徽章数据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budget / inject / breaker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used/max/note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三水位与死线、熔断的护栏事件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compact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before/after/stats/summary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历史压缩颗粒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checklist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items/completed/total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看板状态机刷新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approval_request / result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tool/args/receipt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危险操作确认闭环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backfill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count/items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本轮回填确认（一圈一结清）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memory_extract / memory_saved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prefs/transcript/added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会话结束的记忆提取与合并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forced_final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ms/output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强制结题调用记录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final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answer/steps/used/stop_reason/total_ms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报告全文与运行汇总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done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无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收流标记（服务端合成，不入存档）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error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message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协议层错误</w:t>
            </w:r>
          </w:p>
        </w:tc>
      </w:tr>
    </w:tbl>
    <w:p>
      <w:pPr>
        <w:pStyle w:val="Heading2"/>
        <w:spacing w:before="240" w:after="120" w:line="312"/>
      </w:pPr>
      <w:bookmarkStart w:id="100033" w:name="_Toc100033"/>
      <w:r>
        <w:rPr>
          <w:b/>
          <w:bCs/>
          <w:color w:val="1A2330"/>
          <w:sz w:val="28"/>
          <w:szCs w:val="28"/>
          <w:rFonts w:eastAsia="SimHei" w:ascii="Arial"/>
        </w:rPr>
        <w:t xml:space="preserve">8.3 会话存储结构</w:t>
      </w:r>
      <w:bookmarkEnd w:id="100033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每个会话对应 sessions 目录下的独立子目录：notes.md 为该会话共享的调研笔记（跨轮追加）；meta.json 记录创建时间与全部轮次（run_id、问题、时间）；context.json 为每轮结束后的上下文快照（摘要、关键发现、待办），下一轮启动时注入系统提示词。会话数据含个人研究内容，不入版本库。</w:t>
      </w:r>
    </w:p>
    <w:p>
      <w:pPr>
        <w:pStyle w:val="Heading1"/>
        <w:spacing w:before="360" w:after="160" w:line="312"/>
      </w:pPr>
      <w:bookmarkStart w:id="100034" w:name="_Toc100034"/>
      <w:r>
        <w:rPr>
          <w:b/>
          <w:bCs/>
          <w:color w:val="1A2330"/>
          <w:sz w:val="32"/>
          <w:szCs w:val="32"/>
          <w:rFonts w:eastAsia="SimHei" w:ascii="Arial"/>
        </w:rPr>
        <w:t xml:space="preserve">九、非功能需求</w:t>
      </w:r>
      <w:bookmarkEnd w:id="100034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8 非功能需求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类别</w:t>
            </w:r>
          </w:p>
        </w:tc>
        <w:tc>
          <w:tcPr>
            <w:tcW w:type="pct" w:w="8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性能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快问档单题不超过 3 分钟，标准档不超过 6 分钟，深度档不超过 15 分钟（含工具执行）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成本</w:t>
            </w:r>
          </w:p>
        </w:tc>
        <w:tc>
          <w:tcPr>
            <w:tcW w:type="pct" w:w="8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Token 记账全覆盖（含压缩与萃取调用）；档位上限即硬上限，到线必停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可靠性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服务端 15 秒心跳保活；前端断线自动重连；事件与运行日志全量落盘，可回放可审计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安全</w:t>
            </w:r>
          </w:p>
        </w:tc>
        <w:tc>
          <w:tcPr>
            <w:tcW w:type="pct" w:w="8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密钥仅存本地 .env 且不入版本库；报告结论强制溯源；对外动作必须人工确认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兼容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支持任一 OpenAI 兼容协议模型（DeepSeek/GLM/Qwen 等）；可选接入 Tavily 搜索与 MCP 工具生态</w:t>
            </w:r>
          </w:p>
        </w:tc>
      </w:tr>
    </w:tbl>
    <w:p>
      <w:pPr>
        <w:pStyle w:val="Heading1"/>
        <w:spacing w:before="360" w:after="160" w:line="312"/>
      </w:pPr>
      <w:bookmarkStart w:id="100035" w:name="_Toc100035"/>
      <w:r>
        <w:rPr>
          <w:b/>
          <w:bCs/>
          <w:color w:val="1A2330"/>
          <w:sz w:val="32"/>
          <w:szCs w:val="32"/>
          <w:rFonts w:eastAsia="SimHei" w:ascii="Arial"/>
        </w:rPr>
        <w:t xml:space="preserve">十、范围外（本版不做）</w:t>
      </w:r>
      <w:bookmarkEnd w:id="100035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以下能力经评估后明确移出本版范围，记录决策依据以防止范围回摆：其一，邮件投递功能——已完成真实发送验证后按 MVP 聚焦原则整体移除，完整实现与教训存档于版本历史（判断权在模型、执行权在代码的架构结论已沉淀至设计哲学）；其二，多租户与账号体系——当前定位单用户本地工作台；其三，agent 自我修复（自动归因并改写自身代码）——归因学习是本项目的核心目标，不做自动化。</w:t>
      </w:r>
    </w:p>
    <w:p>
      <w:pPr>
        <w:pStyle w:val="Heading1"/>
        <w:spacing w:before="360" w:after="160" w:line="312"/>
      </w:pPr>
      <w:bookmarkStart w:id="100036" w:name="_Toc100036"/>
      <w:r>
        <w:rPr>
          <w:b/>
          <w:bCs/>
          <w:color w:val="1A2330"/>
          <w:sz w:val="32"/>
          <w:szCs w:val="32"/>
          <w:rFonts w:eastAsia="SimHei" w:ascii="Arial"/>
        </w:rPr>
        <w:t xml:space="preserve">十一、系统架构概览</w:t>
      </w:r>
      <w:bookmarkEnd w:id="100036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系统采用四层架构。第一层为工作台（产品界面）：FastAPI 与原生前端，提供 SSE 实时执行流、确认卡、历史回放与多轮会话视图。第二层为服务与评测基建：12 题评测三件套、运行日志与观测面板、会话存储。第三层为执行内核：一套依赖注入的研究决策逻辑，规划、循环、上下文工程、护栏集中于此，通过 emit、approver、stop_check、budget、session 五个注入点更换宿主。第四层为工具与配置：检索、抓取、笔记等本地工具与 MCP 外部生态。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内核循环的五出口兜底链是可靠性核心：模型正常完成、预算硬收尾、用户中止、步数耗尽、协议错误，五种出口汇合后执行统一兜底（强制结题调用、笔记原文兜底、输出净化），保证交付物永不为空。全部 16 个模块的详细职责、事件颗粒与数据流见项目内文档 realize.md。</w:t>
      </w:r>
    </w:p>
    <w:p>
      <w:pPr>
        <w:pStyle w:val="Heading1"/>
        <w:spacing w:before="360" w:after="160" w:line="312"/>
      </w:pPr>
      <w:bookmarkStart w:id="100037" w:name="_Toc100037"/>
      <w:r>
        <w:rPr>
          <w:b/>
          <w:bCs/>
          <w:color w:val="1A2330"/>
          <w:sz w:val="32"/>
          <w:szCs w:val="32"/>
          <w:rFonts w:eastAsia="SimHei" w:ascii="Arial"/>
        </w:rPr>
        <w:t xml:space="preserve">十二、评测与验收标准</w:t>
      </w:r>
      <w:bookmarkEnd w:id="100037"/>
    </w:p>
    <w:p>
      <w:pPr>
        <w:pStyle w:val="Heading2"/>
        <w:spacing w:before="240" w:after="120" w:line="312"/>
      </w:pPr>
      <w:bookmarkStart w:id="100038" w:name="_Toc100038"/>
      <w:r>
        <w:rPr>
          <w:b/>
          <w:bCs/>
          <w:color w:val="1A2330"/>
          <w:sz w:val="28"/>
          <w:szCs w:val="28"/>
          <w:rFonts w:eastAsia="SimHei" w:ascii="Arial"/>
        </w:rPr>
        <w:t xml:space="preserve">12.1 评测构成</w:t>
      </w:r>
      <w:bookmarkEnd w:id="100038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评测体系由三件套构成：12 道真实研究题（事实类 6、对比类 4、开放类 2，每题带必须查证的要点清单）；LLM 评分器（不上网，只对照研究过程截留的原始证据核对结论，四维各 0 至 1 分并附扣分依据）；运行器（快跑、指定题与全量三种模式）。</w:t>
      </w:r>
    </w:p>
    <w:p>
      <w:pPr>
        <w:pStyle w:val="Heading2"/>
        <w:spacing w:before="240" w:after="120" w:line="312"/>
      </w:pPr>
      <w:bookmarkStart w:id="100039" w:name="_Toc100039"/>
      <w:r>
        <w:rPr>
          <w:b/>
          <w:bCs/>
          <w:color w:val="1A2330"/>
          <w:sz w:val="28"/>
          <w:szCs w:val="28"/>
          <w:rFonts w:eastAsia="SimHei" w:ascii="Arial"/>
        </w:rPr>
        <w:t xml:space="preserve">12.2 四维评分锚点</w:t>
      </w:r>
      <w:bookmarkEnd w:id="100039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9 四维评分标准与锚点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维度</w:t>
            </w:r>
          </w:p>
        </w:tc>
        <w:tc>
          <w:tcPr>
            <w:tcW w:type="pct" w:w="3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定义</w:t>
            </w:r>
          </w:p>
        </w:tc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0 分锚点</w:t>
            </w:r>
          </w:p>
        </w:tc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满分锚点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有据 supported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关键结论均能在原始证据中找到支撑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编造/证据不足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每个事实有对应证据</w:t>
            </w:r>
          </w:p>
        </w:tc>
      </w:tr>
      <w:tr>
        <w:trPr>
          <w:cantSplit/>
        </w:trPr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有源 sourced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每个事实带 [n](url) 引用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无引用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全文规范引用加参考小节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覆盖 complete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问题及大纲要求的信息点全部覆盖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缺一半以上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全覆盖且逐点查证</w:t>
            </w:r>
          </w:p>
        </w:tc>
      </w:tr>
      <w:tr>
        <w:trPr>
          <w:cantSplit/>
        </w:trPr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简洁 concise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无复述证据原文、无空话套话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严重冗长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结构清晰、信息密度高</w:t>
            </w:r>
          </w:p>
        </w:tc>
      </w:tr>
    </w:tbl>
    <w:p>
      <w:pPr>
        <w:pStyle w:val="Heading2"/>
        <w:spacing w:before="240" w:after="120" w:line="312"/>
      </w:pPr>
      <w:bookmarkStart w:id="100040" w:name="_Toc100040"/>
      <w:r>
        <w:rPr>
          <w:b/>
          <w:bCs/>
          <w:color w:val="1A2330"/>
          <w:sz w:val="28"/>
          <w:szCs w:val="28"/>
          <w:rFonts w:eastAsia="SimHei" w:ascii="Arial"/>
        </w:rPr>
        <w:t xml:space="preserve">12.3 验收流程与红线</w:t>
      </w:r>
      <w:bookmarkEnd w:id="100040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任何内核、提示词、工具或阈值的改动，均须执行改前基线、改后回归的双跑对比；任一维度低于基线 0.05 即判定为回归，阻断合入。低分题按三类处置：系统故障（修复评测器或收尾路径）、偶然噪声（重跑取均值，不改代码）、真实能力缺口（进入归因流程）。归因口诀：评测出分数，trace 找病灶，修复下刀要小，回归验证明效。</w:t>
      </w:r>
    </w:p>
    <w:p>
      <w:pPr>
        <w:pStyle w:val="Heading1"/>
        <w:spacing w:before="360" w:after="160" w:line="312"/>
      </w:pPr>
      <w:bookmarkStart w:id="100041" w:name="_Toc100041"/>
      <w:r>
        <w:rPr>
          <w:b/>
          <w:bCs/>
          <w:color w:val="1A2330"/>
          <w:sz w:val="32"/>
          <w:szCs w:val="32"/>
          <w:rFonts w:eastAsia="SimHei" w:ascii="Arial"/>
        </w:rPr>
        <w:t xml:space="preserve">十三、数据与可观测性</w:t>
      </w:r>
      <w:bookmarkEnd w:id="100041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观测面板围绕三问设计：成功率多少、token 花在哪、失败归哪几类。执行流中的关键行为（缓存命中、萃取提纯、压缩发生、护栏触发、投递登记）均有独立事件颗粒；失败由 LLM 自动归类为固定类目并输出分布表，作为下一版本修复优先级的输入。</w:t>
      </w:r>
    </w:p>
    <w:p>
      <w:pPr>
        <w:pStyle w:val="Heading1"/>
        <w:spacing w:before="360" w:after="160" w:line="312"/>
      </w:pPr>
      <w:bookmarkStart w:id="100042" w:name="_Toc100042"/>
      <w:r>
        <w:rPr>
          <w:b/>
          <w:bCs/>
          <w:color w:val="1A2330"/>
          <w:sz w:val="32"/>
          <w:szCs w:val="32"/>
          <w:rFonts w:eastAsia="SimHei" w:ascii="Arial"/>
        </w:rPr>
        <w:t xml:space="preserve">十四、风险与开放问题</w:t>
      </w:r>
      <w:bookmarkEnd w:id="100042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10 风险清单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风险</w:t>
            </w:r>
          </w:p>
        </w:tc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影响</w:t>
            </w:r>
          </w:p>
        </w:tc>
        <w:tc>
          <w:tcPr>
            <w:tcW w:type="pct" w:w="4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应对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编造风险（supported 当前 0.54）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结论可信度受损，产品信任的头号威胁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提升证据覆盖率：检索源质量、萃取召回、截断策略三处并行优化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模型供应商行为漂移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同提示词效果随模型更新波动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评测回归机制化；关键规则冗余表述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超长报告截断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评测与投递素材上限可能截断尾部内容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提升组装素材上限；长报告分段处理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搜索源限流与反爬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检索质量下降、任务变慢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双通道搜索、错峰启动、域名级失败感知改道</w:t>
            </w:r>
          </w:p>
        </w:tc>
      </w:tr>
    </w:tbl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开放问题：反思模式（评审后带工具补查）是否晋级为生产内核的二道质量闸门；报告流式输出能否在不破坏引用完整性的前提下实现；多智能体并行调研接入工作台后的执行流可视化方案。</w:t>
      </w:r>
    </w:p>
    <w:p>
      <w:pPr>
        <w:pStyle w:val="Heading1"/>
        <w:spacing w:before="360" w:after="160" w:line="312"/>
      </w:pPr>
      <w:bookmarkStart w:id="100043" w:name="_Toc100043"/>
      <w:r>
        <w:rPr>
          <w:b/>
          <w:bCs/>
          <w:color w:val="1A2330"/>
          <w:sz w:val="32"/>
          <w:szCs w:val="32"/>
          <w:rFonts w:eastAsia="SimHei" w:ascii="Arial"/>
        </w:rPr>
        <w:t xml:space="preserve">十五、发布计划与回滚策略</w:t>
      </w:r>
      <w:bookmarkEnd w:id="100043"/>
    </w:p>
    <w:p>
      <w:pPr>
        <w:pStyle w:val="Heading2"/>
        <w:spacing w:before="240" w:after="120" w:line="312"/>
      </w:pPr>
      <w:bookmarkStart w:id="100044" w:name="_Toc100044"/>
      <w:r>
        <w:rPr>
          <w:b/>
          <w:bCs/>
          <w:color w:val="1A2330"/>
          <w:sz w:val="28"/>
          <w:szCs w:val="28"/>
          <w:rFonts w:eastAsia="SimHei" w:ascii="Arial"/>
        </w:rPr>
        <w:t xml:space="preserve">15.1 发布检查清单（Go / No-Go）</w:t>
      </w:r>
      <w:bookmarkEnd w:id="100044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11 发布检查清单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检查项</w:t>
            </w:r>
          </w:p>
        </w:tc>
        <w:tc>
          <w:tcPr>
            <w:tcW w:type="pct" w:w="5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通过标准</w:t>
            </w:r>
          </w:p>
        </w:tc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全量评测回归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总分不低于 0.80，四维不低于红线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【通过/不通过】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极端任务测试</w:t>
            </w:r>
          </w:p>
        </w:tc>
        <w:tc>
          <w:tcPr>
            <w:tcW w:type="pct" w:w="5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预算耗尽、步数耗尽、错误注入三类场景零空报告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【通过/不通过】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长静默断流演练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心跳保活下运行不断流；断线重连不重放不漏发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【通过/不通过】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密钥与隐私检查</w:t>
            </w:r>
          </w:p>
        </w:tc>
        <w:tc>
          <w:tcPr>
            <w:tcW w:type="pct" w:w="5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.env 不入版本库；会话数据不入仓库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【通过/不通过】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文档同步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README 流程图、realize.md 与代码一致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【通过/不通过】</w:t>
            </w:r>
          </w:p>
        </w:tc>
      </w:tr>
    </w:tbl>
    <w:p>
      <w:pPr>
        <w:pStyle w:val="Heading2"/>
        <w:spacing w:before="240" w:after="120" w:line="312"/>
      </w:pPr>
      <w:bookmarkStart w:id="100045" w:name="_Toc100045"/>
      <w:r>
        <w:rPr>
          <w:b/>
          <w:bCs/>
          <w:color w:val="1A2330"/>
          <w:sz w:val="28"/>
          <w:szCs w:val="28"/>
          <w:rFonts w:eastAsia="SimHei" w:ascii="Arial"/>
        </w:rPr>
        <w:t xml:space="preserve">15.2 回滚策略</w:t>
      </w:r>
      <w:bookmarkEnd w:id="100045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发布以 git 标签为原子单位。出现严重缺陷时的回滚步骤：停止工作台（stop.sh）；将代码回退至上一发布标签（git checkout 标签号）；重启服务（start.sh）；以评测快跑模式验证恢复到上一基线；确认历史数据（日志、事件存档、会话）不受影响后关闭事件。回滚决策由产品与研发共同确认，回滚后 24 小时内完成缺陷归因。</w:t>
      </w:r>
    </w:p>
    <w:p>
      <w:pPr>
        <w:pStyle w:val="Heading1"/>
        <w:spacing w:before="360" w:after="160" w:line="312"/>
      </w:pPr>
      <w:bookmarkStart w:id="100046" w:name="_Toc100046"/>
      <w:r>
        <w:rPr>
          <w:b/>
          <w:bCs/>
          <w:color w:val="1A2330"/>
          <w:sz w:val="32"/>
          <w:szCs w:val="32"/>
          <w:rFonts w:eastAsia="SimHei" w:ascii="Arial"/>
        </w:rPr>
        <w:t xml:space="preserve">十六、里程碑规划</w:t>
      </w:r>
      <w:bookmarkEnd w:id="100046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12 里程碑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版本</w:t>
            </w:r>
          </w:p>
        </w:tc>
        <w:tc>
          <w:tcPr>
            <w:tcW w:type="pct" w:w="4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范围</w:t>
            </w:r>
          </w:p>
        </w:tc>
        <w:tc>
          <w:tcPr>
            <w:tcW w:type="pct" w:w="3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验收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v1.0（已交付）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单 agent 工作台、多轮会话、评测基线 0.66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 需求全量验收通过</w:t>
            </w:r>
          </w:p>
        </w:tc>
      </w:tr>
      <w:tr>
        <w:trPr>
          <w:cantSplit/>
        </w:trPr>
        <w:tc>
          <w:tcPr>
            <w:tcW w:type="pct" w:w="1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v1.1（本版）</w:t>
            </w:r>
          </w:p>
        </w:tc>
        <w:tc>
          <w:tcPr>
            <w:tcW w:type="pct" w:w="4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PRD 标准化完善；supported 专项优化（检索源、萃取召回、截断策略）</w:t>
            </w:r>
          </w:p>
        </w:tc>
        <w:tc>
          <w:tcPr>
            <w:tcW w:type="pct" w:w="3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总分不低于 0.80 且 supported 不低于 0.70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v1.2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反思模式产品化或报告流式输出（按用户反馈二选一）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对应功能独立验收标准</w:t>
            </w:r>
          </w:p>
        </w:tc>
      </w:tr>
      <w:tr>
        <w:trPr>
          <w:cantSplit/>
        </w:trPr>
        <w:tc>
          <w:tcPr>
            <w:tcW w:type="pct" w:w="1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v2.0（探索）</w:t>
            </w:r>
          </w:p>
        </w:tc>
        <w:tc>
          <w:tcPr>
            <w:tcW w:type="pct" w:w="4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多智能体并行调研接入工作台</w:t>
            </w:r>
          </w:p>
        </w:tc>
        <w:tc>
          <w:tcPr>
            <w:tcW w:type="pct" w:w="3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同质量前提下墙钟时间缩短 40% 以上</w:t>
            </w:r>
          </w:p>
        </w:tc>
      </w:tr>
    </w:tbl>
    <w:p>
      <w:pPr>
        <w:pStyle w:val="Heading1"/>
        <w:spacing w:before="360" w:after="160" w:line="312"/>
      </w:pPr>
      <w:bookmarkStart w:id="100047" w:name="_Toc100047"/>
      <w:r>
        <w:rPr>
          <w:b/>
          <w:bCs/>
          <w:color w:val="1A2330"/>
          <w:sz w:val="32"/>
          <w:szCs w:val="32"/>
          <w:rFonts w:eastAsia="SimHei" w:ascii="Arial"/>
        </w:rPr>
        <w:t xml:space="preserve">十七、附录</w:t>
      </w:r>
      <w:bookmarkEnd w:id="100047"/>
    </w:p>
    <w:p>
      <w:pPr>
        <w:pStyle w:val="Heading2"/>
        <w:spacing w:before="240" w:after="120" w:line="312"/>
      </w:pPr>
      <w:bookmarkStart w:id="100048" w:name="_Toc100048"/>
      <w:r>
        <w:rPr>
          <w:b/>
          <w:bCs/>
          <w:color w:val="1A2330"/>
          <w:sz w:val="28"/>
          <w:szCs w:val="28"/>
          <w:rFonts w:eastAsia="SimHei" w:ascii="Arial"/>
        </w:rPr>
        <w:t xml:space="preserve">17.1 术语表</w:t>
      </w:r>
      <w:bookmarkEnd w:id="100048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13 术语表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术语</w:t>
            </w:r>
          </w:p>
        </w:tc>
        <w:tc>
          <w:tcPr>
            <w:tcW w:type="pct" w:w="7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释义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HITL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Human-In-The-Loop，人在回路：危险动作执行前暂停，由人工批准或拒绝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SSE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Server-Sent Events：服务器向浏览器单向实时推送事件的传输方式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MCP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Model Context Protocol：接入外部工具生态的标准化协议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token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模型的计量与计费单位，预算与成本均按 token 记账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groundedness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有据性：结论是否被研究过程截留的原始证据支撑，评测的灵魂维度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DSML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模型在极端场景下泄漏的内部工具调用标签，报告净化环节负责剔除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JSONL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每行一个 JSON 对象的文件格式，运行日志与事件存档采用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trace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一次运行的完整消息流存档，用于复盘与归因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rubric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评分标准：judge 打分所依据的维度定义与 0 分锚点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Context Rot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上下文腐烂：对话越长模型对早期信息召回越差的现象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Evaluator-Optimizer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评估-优化模式：草稿经评审与修订循环提升质量</w:t>
            </w:r>
          </w:p>
        </w:tc>
      </w:tr>
    </w:tbl>
    <w:p>
      <w:pPr>
        <w:pStyle w:val="Heading2"/>
        <w:spacing w:before="240" w:after="120" w:line="312"/>
      </w:pPr>
      <w:bookmarkStart w:id="100049" w:name="_Toc100049"/>
      <w:r>
        <w:rPr>
          <w:b/>
          <w:bCs/>
          <w:color w:val="1A2330"/>
          <w:sz w:val="28"/>
          <w:szCs w:val="28"/>
          <w:rFonts w:eastAsia="SimHei" w:ascii="Arial"/>
        </w:rPr>
        <w:t xml:space="preserve">17.2 参考资料</w:t>
      </w:r>
      <w:bookmarkEnd w:id="100049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Anthropic《Building Effective Agents》（Workflow Patterns 一节）；OpenAI《A Practical Guide to Building Agents》；HumanLayer《12-Factor Agents》；项目内文档 realize.md（实现图纸，16 大节点 89 小节）与 PITFALLS.md（54 条实战坑典）。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Sky Research Agent 产品需求文档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  <w:outlineLvl w:val="0"/>
    </w:pPr>
    <w:rPr>
      <w:b/>
      <w:bCs/>
      <w:color w:val="1A2330"/>
      <w:sz w:val="32"/>
      <w:szCs w:val="32"/>
      <w:rFonts w:ascii="Arial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  <w:outlineLvl w:val="1"/>
    </w:pPr>
    <w:rPr>
      <w:b/>
      <w:bCs/>
      <w:color w:val="1A2330"/>
      <w:sz w:val="28"/>
      <w:szCs w:val="28"/>
      <w:rFonts w:ascii="Arial" w:eastAsia="SimHei"/>
    </w:rPr>
  </w:style>
  <w:style w:type="paragraph" w:styleId="Heading3">
    <w:name w:val="Heading 3"/>
    <w:basedOn w:val="Normal"/>
    <w:next w:val="Normal"/>
    <w:qFormat/>
    <w:pPr>
      <w:spacing w:before="200" w:after="100" w:line="312"/>
      <w:outlineLvl w:val="2"/>
    </w:pPr>
    <w:rPr>
      <w:b/>
      <w:bCs/>
      <w:color w:val="1A2330"/>
      <w:sz w:val="24"/>
      <w:szCs w:val="24"/>
      <w:rFonts w:ascii="Arial" w:eastAsia="SimHei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jlnqtdaekobpmys2odz4n.png"/><Relationship Id="rId10" Type="http://schemas.openxmlformats.org/officeDocument/2006/relationships/image" Target="media/heeyuqugquco-1mnuxjrl.png"/><Relationship Id="rId11" Type="http://schemas.openxmlformats.org/officeDocument/2006/relationships/image" Target="media/9qet4rr9h7x6bupqor9mv.png"/><Relationship Id="rId12" Type="http://schemas.openxmlformats.org/officeDocument/2006/relationships/image" Target="media/4o1dwt7qi9rvaszhf7wkn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2026-09-20T11:07:27.727Z</dcterms:created>
  <dcterms:modified xsi:type="dcterms:W3CDTF">2026-09-20T11:07:27.732Z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