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/>
            <w:vAlign w:val="top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750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330"/>
                  <w:tcMar>
                    <w:left w:type="dxa" w:w="1200"/>
                    <w:right w:type="dxa" w:w="800"/>
                  </w:tcMar>
                  <w:vAlign w:val="top"/>
                </w:tcPr>
                <w:p>
                  <w:pPr>
                    <w:spacing w:before="2997"/>
                  </w:pPr>
                </w:p>
                <w:p>
                  <w:pPr>
                    <w:spacing w:after="500"/>
                  </w:pPr>
                  <w:r>
                    <w:rPr>
                      <w:color w:val="D4875A"/>
                      <w:sz w:val="18"/>
                      <w:szCs w:val="18"/>
                      <w:rFonts w:ascii="Calibri"/>
                      <w:spacing w:val="60"/>
                    </w:rPr>
                    <w:t xml:space="preserve">P R O D U C T   R E Q U I R E M E N T S   D O C U M E N T</w:t>
                  </w:r>
                </w:p>
                <w:p>
                  <w:pPr>
                    <w:spacing w:after="100" w:line="920" w:lineRule="atLeast"/>
                  </w:pPr>
                  <w:r>
                    <w:rPr>
                      <w:b/>
                      <w:bCs/>
                      <w:color w:val="FFFFFF"/>
                      <w:sz w:val="80"/>
                      <w:szCs w:val="80"/>
                      <w:rFonts w:eastAsia="SimHei" w:ascii="Arial"/>
                    </w:rPr>
                    <w:t xml:space="preserve">Sky Research</w:t>
                  </w:r>
                </w:p>
                <w:p>
                  <w:pPr>
                    <w:spacing w:after="200" w:line="920" w:lineRule="atLeast"/>
                  </w:pPr>
                  <w:r>
                    <w:rPr>
                      <w:b/>
                      <w:bCs/>
                      <w:color w:val="FFFFFF"/>
                      <w:sz w:val="80"/>
                      <w:szCs w:val="80"/>
                      <w:rFonts w:eastAsia="SimHei" w:ascii="Arial"/>
                    </w:rPr>
                    <w:t xml:space="preserve">Agent</w:t>
                  </w:r>
                </w:p>
                <w:p>
                  <w:pPr>
                    <w:spacing w:after="100"/>
                  </w:pPr>
                  <w:r>
                    <w:rPr>
                      <w:color w:val="B0B8C0"/>
                      <w:sz w:val="24"/>
                      <w:szCs w:val="24"/>
                      <w:rFonts w:eastAsia="Microsoft YaHei" w:ascii="Arial"/>
                    </w:rPr>
                    <w:t xml:space="preserve">深度研究智能体 · 产品需求文档（PRD） V1.2</w:t>
                  </w:r>
                </w:p>
              </w:tc>
            </w:tr>
          </w:tbl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rPr>
                <w:trHeight w:val="6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4875A"/>
                </w:tcPr>
                <w:p/>
              </w:tc>
            </w:tr>
          </w:tbl>
          <w:p>
            <w:pPr>
              <w:spacing w:before="800"/>
            </w:pPr>
          </w:p>
          <w:p>
            <w:pPr>
              <w:spacing w:after="120"/>
              <w:ind w:left="1200"/>
            </w:pPr>
            <w:r>
              <w:rPr>
                <w:color w:val="3A4350"/>
                <w:sz w:val="28"/>
                <w:szCs w:val="28"/>
                <w:rFonts w:eastAsia="Microsoft YaHei" w:ascii="Arial"/>
              </w:rPr>
              <w:t xml:space="preserve">文档编号：SRA-PRD-2026-001</w:t>
            </w:r>
          </w:p>
          <w:p>
            <w:pPr>
              <w:spacing w:after="120"/>
              <w:ind w:left="1200"/>
            </w:pPr>
            <w:r>
              <w:rPr>
                <w:color w:val="3A4350"/>
                <w:sz w:val="28"/>
                <w:szCs w:val="28"/>
                <w:rFonts w:eastAsia="Microsoft YaHei" w:ascii="Arial"/>
              </w:rPr>
              <w:t xml:space="preserve">版本：V1.2（开发交接版）</w:t>
            </w:r>
          </w:p>
          <w:p>
            <w:pPr>
              <w:spacing w:after="120"/>
              <w:ind w:left="1200"/>
            </w:pPr>
            <w:r>
              <w:rPr>
                <w:color w:val="3A4350"/>
                <w:sz w:val="28"/>
                <w:szCs w:val="28"/>
                <w:rFonts w:eastAsia="Microsoft YaHei" w:ascii="Arial"/>
              </w:rPr>
              <w:t xml:space="preserve">编制：产品部</w:t>
            </w:r>
          </w:p>
          <w:p>
            <w:pPr>
              <w:spacing w:after="120"/>
              <w:ind w:left="1200"/>
            </w:pPr>
            <w:r>
              <w:rPr>
                <w:color w:val="3A4350"/>
                <w:sz w:val="28"/>
                <w:szCs w:val="28"/>
                <w:rFonts w:eastAsia="Microsoft YaHei" w:ascii="Arial"/>
              </w:rPr>
              <w:t xml:space="preserve">日期：2026 年 09 月 20 日</w:t>
            </w:r>
          </w:p>
          <w:p>
            <w:pPr>
              <w:spacing w:after="120"/>
              <w:ind w:left="1200"/>
            </w:pPr>
            <w:r>
              <w:rPr>
                <w:color w:val="3A4350"/>
                <w:sz w:val="28"/>
                <w:szCs w:val="28"/>
                <w:rFonts w:eastAsia="Microsoft YaHei" w:ascii="Arial"/>
              </w:rPr>
              <w:t xml:space="preserve">密级：内部资料</w:t>
            </w:r>
          </w:p>
          <w:p>
            <w:pPr>
              <w:spacing w:before="1600"/>
            </w:pPr>
          </w:p>
          <w:p>
            <w:pPr>
              <w:ind w:left="1200"/>
            </w:pPr>
            <w:r>
              <w:rPr>
                <w:color w:val="909090"/>
                <w:sz w:val="22"/>
                <w:szCs w:val="22"/>
              </w:rPr>
              <w:t xml:space="preserve">Sky Research Agent 工作台</w:t>
            </w:r>
            <w:r>
              <w:t xml:space="preserve">          </w:t>
            </w:r>
            <w:r>
              <w:rPr>
                <w:color w:val="909090"/>
                <w:sz w:val="22"/>
                <w:szCs w:val="22"/>
              </w:rPr>
              <w:t xml:space="preserve">2026-09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before="480" w:after="360"/>
        <w:jc w:val="center"/>
      </w:pPr>
      <w:r>
        <w:rPr>
          <w:b/>
          <w:bCs/>
          <w:sz w:val="32"/>
          <w:szCs w:val="32"/>
          <w:rFonts w:eastAsia="SimHei" w:ascii="Times New Roman"/>
        </w:rPr>
        <w:t xml:space="preserve">文档信息</w:t>
      </w:r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A 文档信息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项目</w:t>
            </w:r>
          </w:p>
        </w:tc>
        <w:tc>
          <w:tcPr>
            <w:tcW w:type="pct" w:w="7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产品名称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Sky Research Agent（深度研究智能体）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文档编号</w:t>
            </w:r>
          </w:p>
        </w:tc>
        <w:tc>
          <w:tcPr>
            <w:tcW w:type="pct" w:w="7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SRA-PRD-2026-001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当前版本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V1.2（开发交接版）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文档状态</w:t>
            </w:r>
          </w:p>
        </w:tc>
        <w:tc>
          <w:tcPr>
            <w:tcW w:type="pct" w:w="7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评审稿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编制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产品部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适用范围</w:t>
            </w:r>
          </w:p>
        </w:tc>
        <w:tc>
          <w:tcPr>
            <w:tcW w:type="pct" w:w="7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研发、测试、产品评审与项目交接</w:t>
            </w:r>
          </w:p>
        </w:tc>
      </w:tr>
    </w:tbl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B 变更历史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版本</w:t>
            </w:r>
          </w:p>
        </w:tc>
        <w:tc>
          <w:tcPr>
            <w:tcW w:type="pct" w:w="1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日期</w:t>
            </w:r>
          </w:p>
        </w:tc>
        <w:tc>
          <w:tcPr>
            <w:tcW w:type="pct" w:w="12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作者</w:t>
            </w:r>
          </w:p>
        </w:tc>
        <w:tc>
          <w:tcPr>
            <w:tcW w:type="pct" w:w="62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变更说明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V1.0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2026-09-20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产品部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初稿：标准 PRD 十二章结构，功能需求 FR-01 至 FR-11 与验收标准</w:t>
            </w:r>
          </w:p>
        </w:tc>
      </w:tr>
      <w:tr>
        <w:trPr>
          <w:cantSplit/>
        </w:trPr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V1.1</w:t>
            </w:r>
          </w:p>
        </w:tc>
        <w:tc>
          <w:tcPr>
            <w:tcW w:type="pct" w:w="1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2026-09-20</w:t>
            </w:r>
          </w:p>
        </w:tc>
        <w:tc>
          <w:tcPr>
            <w:tcW w:type="pct" w:w="1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产品部</w:t>
            </w:r>
          </w:p>
        </w:tc>
        <w:tc>
          <w:tcPr>
            <w:tcW w:type="pct" w:w="6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标准化完善：新增竞品对比、标准格式用户故事与验收条件、业务流程图与运行/看板状态机、界面交互四态、数据字典（运行日志字段与事件枚举）、异常流与 SMART 验收修正、发布检查清单与回滚策略、变更日志与签核栏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V1.2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2026-09-20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产品部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开发交接补充：新增决策权分配矩阵、工具清单与危险分级、关键参数表、上下文构成说明；FR-06 参数具体化</w:t>
            </w:r>
          </w:p>
        </w:tc>
      </w:tr>
    </w:tbl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C 评审签核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角色</w:t>
            </w:r>
          </w:p>
        </w:tc>
        <w:tc>
          <w:tcPr>
            <w:tcW w:type="pct" w:w="2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姓名</w:t>
            </w:r>
          </w:p>
        </w:tc>
        <w:tc>
          <w:tcPr>
            <w:tcW w:type="pct" w:w="3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评审结论（通过/修改后通过/不通过）</w:t>
            </w:r>
          </w:p>
        </w:tc>
        <w:tc>
          <w:tcPr>
            <w:tcW w:type="pct" w:w="22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日期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产品负责人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【姓名】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【结论】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【____/____/____】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研发负责人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【姓名】</w:t>
            </w:r>
          </w:p>
        </w:tc>
        <w:tc>
          <w:tcPr>
            <w:tcW w:type="pct" w:w="3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【结论】</w:t>
            </w:r>
          </w:p>
        </w:tc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【____/____/____】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测试负责人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【姓名】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【结论】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【____/____/____】</w:t>
            </w:r>
          </w:p>
        </w:tc>
      </w:tr>
    </w:tbl>
    <w:p>
      <w:pPr>
        <w:spacing w:before="300"/>
      </w:pPr>
    </w:p>
    <w:p>
      <w:pPr>
        <w:spacing w:before="240" w:after="360"/>
        <w:jc w:val="center"/>
      </w:pPr>
      <w:r>
        <w:rPr>
          <w:b/>
          <w:bCs/>
          <w:sz w:val="32"/>
          <w:szCs w:val="32"/>
          <w:rFonts w:eastAsia="SimHei" w:ascii="Times New Roman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一、产品概述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背景与机会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替代方案对比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产品定位与设计哲学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二、目标用户与使用场景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三、产品目标与成功指标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四、业务流程与状态图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4.1 主研究流程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4.2 运行状态机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4.3 子问题看板状态机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4.4 评测流程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五、用户故事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六、功能需求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6.1 需求总表（需求信息列表）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6.2 需求详述（含异常流与验收标准）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FR-01 研究输入与预算档位（P0）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FR-02 自主研究循环（P0）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FR-03 实时执行流（P0）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FR-04 报告交付与引用（P0）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FR-05 动态看板核销（P0）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FR-06 上下文工程（P0）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FR-07 安全护栏与兜底（P0）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FR-08 危险操作人工确认（P1）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FR-09 多轮会话（P1）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FR-10 历史回放（P1）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FR-11 评测回归（P1）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七、界面与交互需求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7.1 界面元素清单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7.2 关键元素交互四态定义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7.3 交互与文案规范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八、数据需求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8.1 运行日志字段（runs.jsonl，每行一条）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8.2 事件类型枚举（事件流与存档）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8.3 会话存储结构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九、非功能需求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十、范围外（本版不做）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十一、系统架构概览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11.1 四层架构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11.2 决策权分配矩阵（编排的核心契约）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11.3 工具清单与危险分级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11.4 关键参数表（开发按此取值）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11.5 每轮上下文构成说明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11.6 兜底链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十二、评测与验收标准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12.1 评测构成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12.2 四维评分锚点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12.3 验收流程与红线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十三、数据与可观测性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十四、风险与开放问题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十五、发布计划与回滚策略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15.1 发布检查清单（Go / No-Go）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15.2 回滚策略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十六、里程碑规划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十七、附录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17.1 术语表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17.2 参考资料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注：本目录由域代码生成。文档编辑后如需刷新页码，请在目录上点击右键并选择更新域。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before="360" w:after="160" w:line="312"/>
      </w:pPr>
      <w:bookmarkStart w:id="100000" w:name="_Toc100000"/>
      <w:r>
        <w:rPr>
          <w:b/>
          <w:bCs/>
          <w:color w:val="1A2330"/>
          <w:sz w:val="32"/>
          <w:szCs w:val="32"/>
          <w:rFonts w:eastAsia="SimHei" w:ascii="Arial"/>
        </w:rPr>
        <w:t xml:space="preserve">一、产品概述</w:t>
      </w:r>
      <w:bookmarkEnd w:id="100000"/>
    </w:p>
    <w:p>
      <w:pPr>
        <w:pStyle w:val="Heading2"/>
        <w:spacing w:before="240" w:after="120" w:line="312"/>
      </w:pPr>
      <w:bookmarkStart w:id="100001" w:name="_Toc100001"/>
      <w:r>
        <w:rPr>
          <w:b/>
          <w:bCs/>
          <w:color w:val="1A2330"/>
          <w:sz w:val="28"/>
          <w:szCs w:val="28"/>
          <w:rFonts w:eastAsia="SimHei" w:ascii="Arial"/>
        </w:rPr>
        <w:t xml:space="preserve">1.1 背景与机会</w:t>
      </w:r>
      <w:bookmarkEnd w:id="100001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深度调研是知识工作者最高频、也最耗时的工作之一：一次竞品定价对比或行业政策核查，通常需要在多个信息源之间往返检索、交叉验证、整理成文，人工耗时 2 至 4 小时。直接使用通用大模型问答虽然快，但存在三个致命缺陷：其一，模型知识截止，拿不到最新信息；其二，多跳任务容易跑偏、不收敛；其三，结论缺乏来源，编造数据无从核验。</w:t>
      </w:r>
    </w:p>
    <w:p>
      <w:pPr>
        <w:pStyle w:val="Heading2"/>
        <w:spacing w:before="240" w:after="120" w:line="312"/>
      </w:pPr>
      <w:bookmarkStart w:id="100002" w:name="_Toc100002"/>
      <w:r>
        <w:rPr>
          <w:b/>
          <w:bCs/>
          <w:color w:val="1A2330"/>
          <w:sz w:val="28"/>
          <w:szCs w:val="28"/>
          <w:rFonts w:eastAsia="SimHei" w:ascii="Arial"/>
        </w:rPr>
        <w:t xml:space="preserve">1.2 替代方案对比</w:t>
      </w:r>
      <w:bookmarkEnd w:id="100002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市面上已有多种替代方案，但均无法同时满足「可信、可控、可回溯」三个核心诉求，对比如下。</w:t>
      </w:r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1 替代方案对比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方案</w:t>
            </w:r>
          </w:p>
        </w:tc>
        <w:tc>
          <w:tcPr>
            <w:tcW w:type="pct" w:w="9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实时信息</w:t>
            </w:r>
          </w:p>
        </w:tc>
        <w:tc>
          <w:tcPr>
            <w:tcW w:type="pct" w:w="12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过程透明</w:t>
            </w:r>
          </w:p>
        </w:tc>
        <w:tc>
          <w:tcPr>
            <w:tcW w:type="pct" w:w="12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引用溯源</w:t>
            </w:r>
          </w:p>
        </w:tc>
        <w:tc>
          <w:tcPr>
            <w:tcW w:type="pct" w:w="11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成本可控</w:t>
            </w:r>
          </w:p>
        </w:tc>
        <w:tc>
          <w:tcPr>
            <w:tcW w:type="pct" w:w="1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多轮深入</w:t>
            </w:r>
          </w:p>
        </w:tc>
        <w:tc>
          <w:tcPr>
            <w:tcW w:type="pct" w:w="24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主要短板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通用 LLM 直答（ChatGPT/Claude 等）</w:t>
            </w:r>
          </w:p>
        </w:tc>
        <w:tc>
          <w:tcPr>
            <w:tcW w:type="pct" w:w="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弱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无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弱</w:t>
            </w:r>
          </w:p>
        </w:tc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不可控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弱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知识截止、编造风险高、黑盒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AI 搜索（Perplexity 类）</w:t>
            </w:r>
          </w:p>
        </w:tc>
        <w:tc>
          <w:tcPr>
            <w:tcW w:type="pct" w:w="9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强</w:t>
            </w:r>
          </w:p>
        </w:tc>
        <w:tc>
          <w:tcPr>
            <w:tcW w:type="pct" w:w="1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弱</w:t>
            </w:r>
          </w:p>
        </w:tc>
        <w:tc>
          <w:tcPr>
            <w:tcW w:type="pct" w:w="1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中</w:t>
            </w:r>
          </w:p>
        </w:tc>
        <w:tc>
          <w:tcPr>
            <w:tcW w:type="pct" w:w="11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不可控</w:t>
            </w:r>
          </w:p>
        </w:tc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弱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单轮浅检索、过程不可干预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人工调研</w:t>
            </w:r>
          </w:p>
        </w:tc>
        <w:tc>
          <w:tcPr>
            <w:tcW w:type="pct" w:w="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强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强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强</w:t>
            </w:r>
          </w:p>
        </w:tc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人力成本高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强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耗时 2-4 小时，无法规模化</w:t>
            </w:r>
          </w:p>
        </w:tc>
      </w:tr>
      <w:tr>
        <w:trPr>
          <w:cantSplit/>
        </w:trPr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本产品（Sky Research Agent）</w:t>
            </w:r>
          </w:p>
        </w:tc>
        <w:tc>
          <w:tcPr>
            <w:tcW w:type="pct" w:w="9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强</w:t>
            </w:r>
          </w:p>
        </w:tc>
        <w:tc>
          <w:tcPr>
            <w:tcW w:type="pct" w:w="1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强（逐颗粒可视）</w:t>
            </w:r>
          </w:p>
        </w:tc>
        <w:tc>
          <w:tcPr>
            <w:tcW w:type="pct" w:w="1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强（强制引用）</w:t>
            </w:r>
          </w:p>
        </w:tc>
        <w:tc>
          <w:tcPr>
            <w:tcW w:type="pct" w:w="11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四档预算可控</w:t>
            </w:r>
          </w:p>
        </w:tc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强（会话续跑）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单用户本地部署（本期定位）</w:t>
            </w:r>
          </w:p>
        </w:tc>
      </w:tr>
    </w:tbl>
    <w:p>
      <w:pPr>
        <w:pStyle w:val="Heading2"/>
        <w:spacing w:before="240" w:after="120" w:line="312"/>
      </w:pPr>
      <w:bookmarkStart w:id="100003" w:name="_Toc100003"/>
      <w:r>
        <w:rPr>
          <w:b/>
          <w:bCs/>
          <w:color w:val="1A2330"/>
          <w:sz w:val="28"/>
          <w:szCs w:val="28"/>
          <w:rFonts w:eastAsia="SimHei" w:ascii="Arial"/>
        </w:rPr>
        <w:t xml:space="preserve">1.3 产品定位与设计哲学</w:t>
      </w:r>
      <w:bookmarkEnd w:id="100003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一句话定位：</w:t>
      </w:r>
      <w:r>
        <w:rPr>
          <w:color w:val="000000"/>
          <w:sz w:val="24"/>
          <w:szCs w:val="24"/>
          <w:rFonts w:eastAsia="SimSun" w:ascii="Times New Roman"/>
        </w:rPr>
        <w:t xml:space="preserve">面向个人研究者的单用户深度研究工作台——输入一个研究问题，自主完成规划、多源检索、网页深读、笔记沉淀与交叉验证，交付一份带引用、可溯源的结构化报告；全程实时可视，成本可控。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产品遵循四条设计哲学，作为所有需求取舍的决策依据：判断权在模型、执行权在代码（智能与可靠的分界）；物理约束大于行为请求（收敛与刹车必须硬编码）；上下文即经济学（每个 token 计算投入产出）；评测即验收标准（没有评测的迭代等于没有验收标准的 PRD）。</w:t>
      </w:r>
    </w:p>
    <w:p>
      <w:pPr>
        <w:pStyle w:val="Heading1"/>
        <w:spacing w:before="360" w:after="160" w:line="312"/>
      </w:pPr>
      <w:bookmarkStart w:id="100004" w:name="_Toc100004"/>
      <w:r>
        <w:rPr>
          <w:b/>
          <w:bCs/>
          <w:color w:val="1A2330"/>
          <w:sz w:val="32"/>
          <w:szCs w:val="32"/>
          <w:rFonts w:eastAsia="SimHei" w:ascii="Arial"/>
        </w:rPr>
        <w:t xml:space="preserve">二、目标用户与使用场景</w:t>
      </w:r>
      <w:bookmarkEnd w:id="100004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目标用户为需要快速完成竞品、行业、政策、技术调研的知识工作者，产品经理为首位目标人群。核心使用场景：S1 竞品定价对比（对比类）；S2 行业政策核查（事实类）；S3 技术方案调研（开放类）；S4 同话题多轮追问（会话续跑）；S5 历史复盘（回放审计）。五个场景分别覆盖评测题库的三种题型与两类会话能力，构成验收的完整映射。</w:t>
      </w:r>
    </w:p>
    <w:p>
      <w:pPr>
        <w:pStyle w:val="Heading1"/>
        <w:spacing w:before="360" w:after="160" w:line="312"/>
      </w:pPr>
      <w:bookmarkStart w:id="100005" w:name="_Toc100005"/>
      <w:r>
        <w:rPr>
          <w:b/>
          <w:bCs/>
          <w:color w:val="1A2330"/>
          <w:sz w:val="32"/>
          <w:szCs w:val="32"/>
          <w:rFonts w:eastAsia="SimHei" w:ascii="Arial"/>
        </w:rPr>
        <w:t xml:space="preserve">三、产品目标与成功指标</w:t>
      </w:r>
      <w:bookmarkEnd w:id="100005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以 12 题全量评测（标准档）为当前基线：总分 0.66，四维分别为有据 0.54、有源 0.83、覆盖 0.72、简洁 0.54。本版目标与回归红线如下，所有指标均可由评测系统自动度量。</w:t>
      </w:r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2 成功指标（基线 → 目标）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指标</w:t>
            </w:r>
          </w:p>
        </w:tc>
        <w:tc>
          <w:tcPr>
            <w:tcW w:type="pct" w:w="22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基线</w:t>
            </w:r>
          </w:p>
        </w:tc>
        <w:tc>
          <w:tcPr>
            <w:tcW w:type="pct" w:w="2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目标</w:t>
            </w:r>
          </w:p>
        </w:tc>
        <w:tc>
          <w:tcPr>
            <w:tcW w:type="pct" w:w="2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回归红线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评测总分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0.66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不低于 0.80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任一维度不低于基线 0.05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有据 supported</w:t>
            </w:r>
          </w:p>
        </w:tc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0.54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不低于 0.70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同上（编造为本版头号风险）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有源 sourced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0.83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不低于 0.90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覆盖 complete</w:t>
            </w:r>
          </w:p>
        </w:tc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0.72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不低于 0.80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简洁 concise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0.54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不低于 0.65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标准档单题成本</w:t>
            </w:r>
          </w:p>
        </w:tc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约 5.6 万 token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不超过 6 万 token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超限题单独归因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交付可靠性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兜底链保证非空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零空报告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出现即最高级缺陷</w:t>
            </w:r>
          </w:p>
        </w:tc>
      </w:tr>
    </w:tbl>
    <w:p>
      <w:pPr>
        <w:pStyle w:val="Heading1"/>
        <w:spacing w:before="360" w:after="160" w:line="312"/>
      </w:pPr>
      <w:bookmarkStart w:id="100006" w:name="_Toc100006"/>
      <w:r>
        <w:rPr>
          <w:b/>
          <w:bCs/>
          <w:color w:val="1A2330"/>
          <w:sz w:val="32"/>
          <w:szCs w:val="32"/>
          <w:rFonts w:eastAsia="SimHei" w:ascii="Arial"/>
        </w:rPr>
        <w:t xml:space="preserve">四、业务流程与状态图</w:t>
      </w:r>
      <w:bookmarkEnd w:id="100006"/>
    </w:p>
    <w:p>
      <w:pPr>
        <w:pStyle w:val="Heading2"/>
        <w:spacing w:before="240" w:after="120" w:line="312"/>
      </w:pPr>
      <w:bookmarkStart w:id="100007" w:name="_Toc100007"/>
      <w:r>
        <w:rPr>
          <w:b/>
          <w:bCs/>
          <w:color w:val="1A2330"/>
          <w:sz w:val="28"/>
          <w:szCs w:val="28"/>
          <w:rFonts w:eastAsia="SimHei" w:ascii="Arial"/>
        </w:rPr>
        <w:t xml:space="preserve">4.1 主研究流程</w:t>
      </w:r>
      <w:bookmarkEnd w:id="100007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主流程分三段：启动准备（记忆注入、会话上下文、MCP 接入、预算护栏）、主循环（至多 20 步：注入进度与看板、调用模型、四级出口判断、工具执行、危险操作确认、结果回填、失败熔断）、收尾兜底（五出口汇合后强制保证交付物非空，随后记忆提取、会话保存、日志落盘、报告推送）。</w:t>
      </w:r>
    </w:p>
    <w:p>
      <w:pPr>
        <w:spacing w:before="120" w:after="120"/>
        <w:jc w:val="center"/>
      </w:pPr>
      <w:r>
        <w:drawing>
          <wp:inline distT="0" distB="0" distL="0" distR="0">
            <wp:extent cx="3238500" cy="635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21"/>
          <w:szCs w:val="21"/>
          <w:rFonts w:eastAsia="SimSun"/>
        </w:rPr>
        <w:t xml:space="preserve">图 1 主研究流程（含出口判断与兜底链）</w:t>
      </w:r>
    </w:p>
    <w:p>
      <w:pPr>
        <w:pStyle w:val="Heading2"/>
        <w:spacing w:before="240" w:after="120" w:line="312"/>
      </w:pPr>
      <w:bookmarkStart w:id="100008" w:name="_Toc100008"/>
      <w:r>
        <w:rPr>
          <w:b/>
          <w:bCs/>
          <w:color w:val="1A2330"/>
          <w:sz w:val="28"/>
          <w:szCs w:val="28"/>
          <w:rFonts w:eastAsia="SimHei" w:ascii="Arial"/>
        </w:rPr>
        <w:t xml:space="preserve">4.2 运行状态机</w:t>
      </w:r>
      <w:bookmarkEnd w:id="100008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一次运行在状态机中流转：提交请求后进入规划态，大纲与看板就绪转入研究态；研究态中若命中危险工具则进入确认等待（上限 600 秒，超时视为拒绝），批准后回到研究态，拒绝则转入收尾；模型完成、预算硬收尾、步数耗尽或用户中止均转入收尾态，由兜底链保证报告非空；随后完成记忆提取、会话保存与日志落盘，进入完成态。协议错误经兜底链接管后同样保证产出。</w:t>
      </w:r>
    </w:p>
    <w:p>
      <w:pPr>
        <w:spacing w:before="120" w:after="120"/>
        <w:jc w:val="center"/>
      </w:pPr>
      <w:r>
        <w:drawing>
          <wp:inline distT="0" distB="0" distL="0" distR="0">
            <wp:extent cx="5143500" cy="500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21"/>
          <w:szCs w:val="21"/>
          <w:rFonts w:eastAsia="SimSun"/>
        </w:rPr>
        <w:t xml:space="preserve">图 2 运行状态机</w:t>
      </w:r>
    </w:p>
    <w:p>
      <w:pPr>
        <w:pStyle w:val="Heading2"/>
        <w:spacing w:before="240" w:after="120" w:line="312"/>
      </w:pPr>
      <w:bookmarkStart w:id="100009" w:name="_Toc100009"/>
      <w:r>
        <w:rPr>
          <w:b/>
          <w:bCs/>
          <w:color w:val="1A2330"/>
          <w:sz w:val="28"/>
          <w:szCs w:val="28"/>
          <w:rFonts w:eastAsia="SimHei" w:ascii="Arial"/>
        </w:rPr>
        <w:t xml:space="preserve">4.3 子问题看板状态机</w:t>
      </w:r>
      <w:bookmarkEnd w:id="100009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规划产出的每个子问题在看板中独立流转：待查证为初始态；调研开始后进入查证中；当笔记写入命中该子问题标记时自动核销为已完成（附结论摘要），或由模型显式调用核销工具完成。全部子问题核销后，系统在下一轮注入强制收尾指令。</w:t>
      </w:r>
    </w:p>
    <w:p>
      <w:pPr>
        <w:spacing w:before="120" w:after="120"/>
        <w:jc w:val="center"/>
      </w:pPr>
      <w:r>
        <w:drawing>
          <wp:inline distT="0" distB="0" distL="0" distR="0">
            <wp:extent cx="4000500" cy="417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21"/>
          <w:szCs w:val="21"/>
          <w:rFonts w:eastAsia="SimSun"/>
        </w:rPr>
        <w:t xml:space="preserve">图 3 子问题看板状态机</w:t>
      </w:r>
    </w:p>
    <w:p>
      <w:pPr>
        <w:pStyle w:val="Heading2"/>
        <w:spacing w:before="240" w:after="120" w:line="312"/>
      </w:pPr>
      <w:bookmarkStart w:id="100010" w:name="_Toc100010"/>
      <w:r>
        <w:rPr>
          <w:b/>
          <w:bCs/>
          <w:color w:val="1A2330"/>
          <w:sz w:val="28"/>
          <w:szCs w:val="28"/>
          <w:rFonts w:eastAsia="SimHei" w:ascii="Arial"/>
        </w:rPr>
        <w:t xml:space="preserve">4.4 评测流程</w:t>
      </w:r>
      <w:bookmarkEnd w:id="100010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评测按六步流水线执行：取题、真跑、截留证据、对照阅卷、聚合成绩单、落盘归档。详见第十二章。</w:t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44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21"/>
          <w:szCs w:val="21"/>
          <w:rFonts w:eastAsia="SimSun"/>
        </w:rPr>
        <w:t xml:space="preserve">图 4 评测六步流水线</w:t>
      </w:r>
    </w:p>
    <w:p>
      <w:pPr>
        <w:pStyle w:val="Heading1"/>
        <w:spacing w:before="360" w:after="160" w:line="312"/>
      </w:pPr>
      <w:bookmarkStart w:id="100011" w:name="_Toc100011"/>
      <w:r>
        <w:rPr>
          <w:b/>
          <w:bCs/>
          <w:color w:val="1A2330"/>
          <w:sz w:val="32"/>
          <w:szCs w:val="32"/>
          <w:rFonts w:eastAsia="SimHei" w:ascii="Arial"/>
        </w:rPr>
        <w:t xml:space="preserve">五、用户故事</w:t>
      </w:r>
      <w:bookmarkEnd w:id="100011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以下用户故事采用标准格式（作为/我想要/以便），每条附验收条件（AC）。故事编号用于需求追踪矩阵的映射。</w:t>
      </w:r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3 用户故事与验收条件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编号</w:t>
            </w:r>
          </w:p>
        </w:tc>
        <w:tc>
          <w:tcPr>
            <w:tcW w:type="pct" w:w="4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用户故事</w:t>
            </w:r>
          </w:p>
        </w:tc>
        <w:tc>
          <w:tcPr>
            <w:tcW w:type="pct" w:w="4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验收条件（AC）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US-01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作为产品经理，我想要输入一个研究问题后自动完成检索与成文，以便把数小时调研压缩到几分钟。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AC1 提交后无需人工干预直至报告产出；AC2 报告含引用与参考小节</w:t>
            </w:r>
          </w:p>
        </w:tc>
      </w:tr>
      <w:tr>
        <w:trPr>
          <w:cantSplit/>
        </w:trPr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US-02</w:t>
            </w:r>
          </w:p>
        </w:tc>
        <w:tc>
          <w:tcPr>
            <w:tcW w:type="pct" w:w="4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作为审阅者，我想要看到研究的每一步动作，以便判断结论是否可信。</w:t>
            </w:r>
          </w:p>
        </w:tc>
        <w:tc>
          <w:tcPr>
            <w:tcW w:type="pct" w:w="4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AC1 执行流逐颗粒实时可见；AC2 每颗粒可下钻查看完整输入输出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US-03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作为成本敏感用户，我想要按任务规模选择预算档位，以便控制花费。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AC1 四档可选且实时显示消耗；AC2 到达上限必停并交付阶段报告</w:t>
            </w:r>
          </w:p>
        </w:tc>
      </w:tr>
      <w:tr>
        <w:trPr>
          <w:cantSplit/>
        </w:trPr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US-04</w:t>
            </w:r>
          </w:p>
        </w:tc>
        <w:tc>
          <w:tcPr>
            <w:tcW w:type="pct" w:w="4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作为深度研究者，我想要在同一话题下连续追问，以便逐层深入而不重复付费。</w:t>
            </w:r>
          </w:p>
        </w:tc>
        <w:tc>
          <w:tcPr>
            <w:tcW w:type="pct" w:w="4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AC1 追问轮复用笔记与上下文；AC2 检索次数较首轮下降不低于 40%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US-05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作为谨慎的使用者，我想要在 agent 执行危险动作前亲自确认，以便控制风险。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AC1 未经确认的动作执行次数为 0；AC2 确认卡展示参数与原因</w:t>
            </w:r>
          </w:p>
        </w:tc>
      </w:tr>
      <w:tr>
        <w:trPr>
          <w:cantSplit/>
        </w:trPr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US-06</w:t>
            </w:r>
          </w:p>
        </w:tc>
        <w:tc>
          <w:tcPr>
            <w:tcW w:type="pct" w:w="4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作为复盘者，我想要回看任意一次历史研究的完整过程，以便审计与学习。</w:t>
            </w:r>
          </w:p>
        </w:tc>
        <w:tc>
          <w:tcPr>
            <w:tcW w:type="pct" w:w="4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AC1 历史列表点击即回放；AC2 事件逐颗还原且与实时流一致</w:t>
            </w:r>
          </w:p>
        </w:tc>
      </w:tr>
    </w:tbl>
    <w:p>
      <w:pPr>
        <w:pStyle w:val="Heading1"/>
        <w:spacing w:before="360" w:after="160" w:line="312"/>
      </w:pPr>
      <w:bookmarkStart w:id="100012" w:name="_Toc100012"/>
      <w:r>
        <w:rPr>
          <w:b/>
          <w:bCs/>
          <w:color w:val="1A2330"/>
          <w:sz w:val="32"/>
          <w:szCs w:val="32"/>
          <w:rFonts w:eastAsia="SimHei" w:ascii="Arial"/>
        </w:rPr>
        <w:t xml:space="preserve">六、功能需求</w:t>
      </w:r>
      <w:bookmarkEnd w:id="100012"/>
    </w:p>
    <w:p>
      <w:pPr>
        <w:pStyle w:val="Heading2"/>
        <w:spacing w:before="240" w:after="120" w:line="312"/>
      </w:pPr>
      <w:bookmarkStart w:id="100013" w:name="_Toc100013"/>
      <w:r>
        <w:rPr>
          <w:b/>
          <w:bCs/>
          <w:color w:val="1A2330"/>
          <w:sz w:val="28"/>
          <w:szCs w:val="28"/>
          <w:rFonts w:eastAsia="SimHei" w:ascii="Arial"/>
        </w:rPr>
        <w:t xml:space="preserve">6.1 需求总表（需求信息列表）</w:t>
      </w:r>
      <w:bookmarkEnd w:id="100013"/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4 功能需求总表（含优先级依据）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编号</w:t>
            </w:r>
          </w:p>
        </w:tc>
        <w:tc>
          <w:tcPr>
            <w:tcW w:type="pct" w:w="2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需求名称</w:t>
            </w:r>
          </w:p>
        </w:tc>
        <w:tc>
          <w:tcPr>
            <w:tcW w:type="pct" w:w="1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优先级</w:t>
            </w:r>
          </w:p>
        </w:tc>
        <w:tc>
          <w:tcPr>
            <w:tcW w:type="pct" w:w="54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优先级依据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FR-01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研究输入与预算档位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P0</w:t>
            </w:r>
          </w:p>
        </w:tc>
        <w:tc>
          <w:tcPr>
            <w:tcW w:type="pct" w:w="5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产品入口，无此不可用</w:t>
            </w:r>
          </w:p>
        </w:tc>
      </w:tr>
      <w:tr>
        <w:trPr>
          <w:cantSplit/>
        </w:trPr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FR-02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自主研究循环</w:t>
            </w:r>
          </w:p>
        </w:tc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P0</w:t>
            </w:r>
          </w:p>
        </w:tc>
        <w:tc>
          <w:tcPr>
            <w:tcW w:type="pct" w:w="5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核心价值载体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FR-03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实时执行流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P0</w:t>
            </w:r>
          </w:p>
        </w:tc>
        <w:tc>
          <w:tcPr>
            <w:tcW w:type="pct" w:w="5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信任建立的关键（心法：过程即产品）</w:t>
            </w:r>
          </w:p>
        </w:tc>
      </w:tr>
      <w:tr>
        <w:trPr>
          <w:cantSplit/>
        </w:trPr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FR-04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报告交付与引用</w:t>
            </w:r>
          </w:p>
        </w:tc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P0</w:t>
            </w:r>
          </w:p>
        </w:tc>
        <w:tc>
          <w:tcPr>
            <w:tcW w:type="pct" w:w="5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最终交付物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FR-05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动态看板核销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P0</w:t>
            </w:r>
          </w:p>
        </w:tc>
        <w:tc>
          <w:tcPr>
            <w:tcW w:type="pct" w:w="5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收敛的物理保证</w:t>
            </w:r>
          </w:p>
        </w:tc>
      </w:tr>
      <w:tr>
        <w:trPr>
          <w:cantSplit/>
        </w:trPr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FR-06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上下文工程</w:t>
            </w:r>
          </w:p>
        </w:tc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P0</w:t>
            </w:r>
          </w:p>
        </w:tc>
        <w:tc>
          <w:tcPr>
            <w:tcW w:type="pct" w:w="5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成本曲线与长任务可行性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FR-07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安全护栏与兜底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P0</w:t>
            </w:r>
          </w:p>
        </w:tc>
        <w:tc>
          <w:tcPr>
            <w:tcW w:type="pct" w:w="5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交付底线</w:t>
            </w:r>
          </w:p>
        </w:tc>
      </w:tr>
      <w:tr>
        <w:trPr>
          <w:cantSplit/>
        </w:trPr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FR-08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危险操作人工确认</w:t>
            </w:r>
          </w:p>
        </w:tc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P1</w:t>
            </w:r>
          </w:p>
        </w:tc>
        <w:tc>
          <w:tcPr>
            <w:tcW w:type="pct" w:w="5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接入 MCP 写类工具时生效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FR-09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多轮会话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P1</w:t>
            </w:r>
          </w:p>
        </w:tc>
        <w:tc>
          <w:tcPr>
            <w:tcW w:type="pct" w:w="5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场景 S4/S5 的支撑能力</w:t>
            </w:r>
          </w:p>
        </w:tc>
      </w:tr>
      <w:tr>
        <w:trPr>
          <w:cantSplit/>
        </w:trPr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FR-10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历史回放</w:t>
            </w:r>
          </w:p>
        </w:tc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P1</w:t>
            </w:r>
          </w:p>
        </w:tc>
        <w:tc>
          <w:tcPr>
            <w:tcW w:type="pct" w:w="5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场景 S5 的支撑能力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FR-11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评测回归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P1</w:t>
            </w:r>
          </w:p>
        </w:tc>
        <w:tc>
          <w:tcPr>
            <w:tcW w:type="pct" w:w="5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迭代基础设施</w:t>
            </w:r>
          </w:p>
        </w:tc>
      </w:tr>
    </w:tbl>
    <w:p>
      <w:pPr>
        <w:pStyle w:val="Heading2"/>
        <w:spacing w:before="240" w:after="120" w:line="312"/>
      </w:pPr>
      <w:bookmarkStart w:id="100014" w:name="_Toc100014"/>
      <w:r>
        <w:rPr>
          <w:b/>
          <w:bCs/>
          <w:color w:val="1A2330"/>
          <w:sz w:val="28"/>
          <w:szCs w:val="28"/>
          <w:rFonts w:eastAsia="SimHei" w:ascii="Arial"/>
        </w:rPr>
        <w:t xml:space="preserve">6.2 需求详述（含异常流与验收标准）</w:t>
      </w:r>
      <w:bookmarkEnd w:id="100014"/>
    </w:p>
    <w:p>
      <w:pPr>
        <w:pStyle w:val="Heading3"/>
        <w:spacing w:before="200" w:after="100" w:line="312"/>
      </w:pPr>
      <w:bookmarkStart w:id="100015" w:name="_Toc100015"/>
      <w:r>
        <w:rPr>
          <w:b/>
          <w:bCs/>
          <w:color w:val="1A2330"/>
          <w:sz w:val="24"/>
          <w:szCs w:val="24"/>
          <w:rFonts w:eastAsia="SimHei" w:ascii="Arial"/>
        </w:rPr>
        <w:t xml:space="preserve">FR-01 研究输入与预算档位（P0）</w:t>
      </w:r>
      <w:bookmarkEnd w:id="100015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需求描述：</w:t>
      </w:r>
      <w:r>
        <w:rPr>
          <w:color w:val="000000"/>
          <w:sz w:val="24"/>
          <w:szCs w:val="24"/>
          <w:rFonts w:eastAsia="SimSun" w:ascii="Times New Roman"/>
        </w:rPr>
        <w:t xml:space="preserve">用户提交研究问题并选择预算档位：快问 2 万、标准 5 万、深度 12 万、不限额度。档位决定 token 上限与收敛节奏，步数上限统一为 20 步。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正向流程：</w:t>
      </w:r>
      <w:r>
        <w:rPr>
          <w:color w:val="000000"/>
          <w:sz w:val="24"/>
          <w:szCs w:val="24"/>
          <w:rFonts w:eastAsia="SimSun" w:ascii="Times New Roman"/>
        </w:rPr>
        <w:t xml:space="preserve">正向：输入非空、档位有效、服务可用时，研究在对应预算内完成并产出报告。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异常流：</w:t>
      </w:r>
      <w:r>
        <w:rPr>
          <w:color w:val="000000"/>
          <w:sz w:val="24"/>
          <w:szCs w:val="24"/>
          <w:rFonts w:eastAsia="SimSun" w:ascii="Times New Roman"/>
        </w:rPr>
        <w:t xml:space="preserve">异常流：输入为空则阻止提交并提示；档位无效回落标准档；服务不可用时明确报错并保留输入内容供重试。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验收标准：</w:t>
      </w:r>
      <w:r>
        <w:rPr>
          <w:color w:val="000000"/>
          <w:sz w:val="24"/>
          <w:szCs w:val="24"/>
          <w:rFonts w:eastAsia="SimSun" w:ascii="Times New Roman"/>
        </w:rPr>
        <w:t xml:space="preserve">验收：档位随请求生效且仪表实时显示消耗；运行中档位切换被禁用；预算到达上限必停并交付阶段报告。</w:t>
      </w:r>
    </w:p>
    <w:p>
      <w:pPr>
        <w:pStyle w:val="Heading3"/>
        <w:spacing w:before="200" w:after="100" w:line="312"/>
      </w:pPr>
      <w:bookmarkStart w:id="100016" w:name="_Toc100016"/>
      <w:r>
        <w:rPr>
          <w:b/>
          <w:bCs/>
          <w:color w:val="1A2330"/>
          <w:sz w:val="24"/>
          <w:szCs w:val="24"/>
          <w:rFonts w:eastAsia="SimHei" w:ascii="Arial"/>
        </w:rPr>
        <w:t xml:space="preserve">FR-02 自主研究循环（P0）</w:t>
      </w:r>
      <w:bookmarkEnd w:id="100016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需求描述：</w:t>
      </w:r>
      <w:r>
        <w:rPr>
          <w:color w:val="000000"/>
          <w:sz w:val="24"/>
          <w:szCs w:val="24"/>
          <w:rFonts w:eastAsia="SimSun" w:ascii="Times New Roman"/>
        </w:rPr>
        <w:t xml:space="preserve">系统先以独立调用将问题规划为不超过 3 个带查证要点的子问题并转为看板，随后进入主循环：模型自主调用检索、网页抓取（静态失败自动降级无头浏览器）、笔记等工具，长网页即时萃取、历史超限自动压缩。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正向流程：</w:t>
      </w:r>
      <w:r>
        <w:rPr>
          <w:color w:val="000000"/>
          <w:sz w:val="24"/>
          <w:szCs w:val="24"/>
          <w:rFonts w:eastAsia="SimSun" w:ascii="Times New Roman"/>
        </w:rPr>
        <w:t xml:space="preserve">正向：看板逐项核销，全绿后系统注入强制收尾指令，模型输出带引用报告。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异常流：</w:t>
      </w:r>
      <w:r>
        <w:rPr>
          <w:color w:val="000000"/>
          <w:sz w:val="24"/>
          <w:szCs w:val="24"/>
          <w:rFonts w:eastAsia="SimSun" w:ascii="Times New Roman"/>
        </w:rPr>
        <w:t xml:space="preserve">异常流：规划失败降级为空大纲继续执行；工具全部失败由熔断器注入改道指令；循环达 20 步上限转入强制结题。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验收标准：</w:t>
      </w:r>
      <w:r>
        <w:rPr>
          <w:color w:val="000000"/>
          <w:sz w:val="24"/>
          <w:szCs w:val="24"/>
          <w:rFonts w:eastAsia="SimSun" w:ascii="Times New Roman"/>
        </w:rPr>
        <w:t xml:space="preserve">验收：12 题评测全部产出完整报告；单题步数不超上限；重复检索被会话缓存去重。</w:t>
      </w:r>
    </w:p>
    <w:p>
      <w:pPr>
        <w:pStyle w:val="Heading3"/>
        <w:spacing w:before="200" w:after="100" w:line="312"/>
      </w:pPr>
      <w:bookmarkStart w:id="100017" w:name="_Toc100017"/>
      <w:r>
        <w:rPr>
          <w:b/>
          <w:bCs/>
          <w:color w:val="1A2330"/>
          <w:sz w:val="24"/>
          <w:szCs w:val="24"/>
          <w:rFonts w:eastAsia="SimHei" w:ascii="Arial"/>
        </w:rPr>
        <w:t xml:space="preserve">FR-03 实时执行流（P0）</w:t>
      </w:r>
      <w:bookmarkEnd w:id="100017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需求描述：</w:t>
      </w:r>
      <w:r>
        <w:rPr>
          <w:color w:val="000000"/>
          <w:sz w:val="24"/>
          <w:szCs w:val="24"/>
          <w:rFonts w:eastAsia="SimSun" w:ascii="Times New Roman"/>
        </w:rPr>
        <w:t xml:space="preserve">研究过程以 SSE 实时推送层级编号事件流（第 N 步、动作 M），每个颗粒可下钻查看完整输入、输出与耗时；服务端空闲 15 秒发送心跳，前端断线自动重连（至多 5 次退避，断点续传）。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正向流程：</w:t>
      </w:r>
      <w:r>
        <w:rPr>
          <w:color w:val="000000"/>
          <w:sz w:val="24"/>
          <w:szCs w:val="24"/>
          <w:rFonts w:eastAsia="SimSun" w:ascii="Times New Roman"/>
        </w:rPr>
        <w:t xml:space="preserve">正向：事件从规划到报告全程实时可见，颗粒可展开核对。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异常流：</w:t>
      </w:r>
      <w:r>
        <w:rPr>
          <w:color w:val="000000"/>
          <w:sz w:val="24"/>
          <w:szCs w:val="24"/>
          <w:rFonts w:eastAsia="SimSun" w:ascii="Times New Roman"/>
        </w:rPr>
        <w:t xml:space="preserve">异常流：长静默由心跳保活；断线后按已收帧数续传，5 次重连失败才降级为提示卡片，且明确告知运行仍在后台继续。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验收标准：</w:t>
      </w:r>
      <w:r>
        <w:rPr>
          <w:color w:val="000000"/>
          <w:sz w:val="24"/>
          <w:szCs w:val="24"/>
          <w:rFonts w:eastAsia="SimSun" w:ascii="Times New Roman"/>
        </w:rPr>
        <w:t xml:space="preserve">验收：长静默超过 60 秒不断流；重连后事件不重放、不漏发。</w:t>
      </w:r>
    </w:p>
    <w:p>
      <w:pPr>
        <w:pStyle w:val="Heading3"/>
        <w:spacing w:before="200" w:after="100" w:line="312"/>
      </w:pPr>
      <w:bookmarkStart w:id="100018" w:name="_Toc100018"/>
      <w:r>
        <w:rPr>
          <w:b/>
          <w:bCs/>
          <w:color w:val="1A2330"/>
          <w:sz w:val="24"/>
          <w:szCs w:val="24"/>
          <w:rFonts w:eastAsia="SimHei" w:ascii="Arial"/>
        </w:rPr>
        <w:t xml:space="preserve">FR-04 报告交付与引用（P0）</w:t>
      </w:r>
      <w:bookmarkEnd w:id="100018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需求描述：</w:t>
      </w:r>
      <w:r>
        <w:rPr>
          <w:color w:val="000000"/>
          <w:sz w:val="24"/>
          <w:szCs w:val="24"/>
          <w:rFonts w:eastAsia="SimSun" w:ascii="Times New Roman"/>
        </w:rPr>
        <w:t xml:space="preserve">最终报告以 Markdown 渲染，关键结论必须携带 [n](url) 编用引用并在文末列参考小节；支持复制与下载；报告面板仅在存在有效报告时显示。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正向流程：</w:t>
      </w:r>
      <w:r>
        <w:rPr>
          <w:color w:val="000000"/>
          <w:sz w:val="24"/>
          <w:szCs w:val="24"/>
          <w:rFonts w:eastAsia="SimSun" w:ascii="Times New Roman"/>
        </w:rPr>
        <w:t xml:space="preserve">正向：报告完成即渲染呈现并自动滚动定位。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异常流：</w:t>
      </w:r>
      <w:r>
        <w:rPr>
          <w:color w:val="000000"/>
          <w:sz w:val="24"/>
          <w:szCs w:val="24"/>
          <w:rFonts w:eastAsia="SimSun" w:ascii="Times New Roman"/>
        </w:rPr>
        <w:t xml:space="preserve">异常流：模型输出含内部标签时前端净化剔除；无有效报告时面板整体隐藏；渲染库加载失败降级为纯文本。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验收标准：</w:t>
      </w:r>
      <w:r>
        <w:rPr>
          <w:color w:val="000000"/>
          <w:sz w:val="24"/>
          <w:szCs w:val="24"/>
          <w:rFonts w:eastAsia="SimSun" w:ascii="Times New Roman"/>
        </w:rPr>
        <w:t xml:space="preserve">验收：评测有源维度不低于 0.90；异常输出零泄漏到界面。</w:t>
      </w:r>
    </w:p>
    <w:p>
      <w:pPr>
        <w:pStyle w:val="Heading3"/>
        <w:spacing w:before="200" w:after="100" w:line="312"/>
      </w:pPr>
      <w:bookmarkStart w:id="100019" w:name="_Toc100019"/>
      <w:r>
        <w:rPr>
          <w:b/>
          <w:bCs/>
          <w:color w:val="1A2330"/>
          <w:sz w:val="24"/>
          <w:szCs w:val="24"/>
          <w:rFonts w:eastAsia="SimHei" w:ascii="Arial"/>
        </w:rPr>
        <w:t xml:space="preserve">FR-05 动态看板核销（P0）</w:t>
      </w:r>
      <w:bookmarkEnd w:id="100019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需求描述：</w:t>
      </w:r>
      <w:r>
        <w:rPr>
          <w:color w:val="000000"/>
          <w:sz w:val="24"/>
          <w:szCs w:val="24"/>
          <w:rFonts w:eastAsia="SimSun" w:ascii="Times New Roman"/>
        </w:rPr>
        <w:t xml:space="preserve">子问题在看板中按状态机流转（待查证/查证中/已完成），笔记写入命中子问题标记时自动核销并附结论摘要，亦可显式核销；全部核销后注入强制收尾指令。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正向流程：</w:t>
      </w:r>
      <w:r>
        <w:rPr>
          <w:color w:val="000000"/>
          <w:sz w:val="24"/>
          <w:szCs w:val="24"/>
          <w:rFonts w:eastAsia="SimSun" w:ascii="Times New Roman"/>
        </w:rPr>
        <w:t xml:space="preserve">正向：看板实时刷新，与模型每轮看到的进度注入同源同拍。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异常流：</w:t>
      </w:r>
      <w:r>
        <w:rPr>
          <w:color w:val="000000"/>
          <w:sz w:val="24"/>
          <w:szCs w:val="24"/>
          <w:rFonts w:eastAsia="SimSun" w:ascii="Times New Roman"/>
        </w:rPr>
        <w:t xml:space="preserve">异常流：模型漏核销时由笔记感知兜底；看板无核销进展由进展自检提示收尾。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验收标准：</w:t>
      </w:r>
      <w:r>
        <w:rPr>
          <w:color w:val="000000"/>
          <w:sz w:val="24"/>
          <w:szCs w:val="24"/>
          <w:rFonts w:eastAsia="SimSun" w:ascii="Times New Roman"/>
        </w:rPr>
        <w:t xml:space="preserve">验收：看板与模型视角一致；核销结论可追溯至对应笔记。</w:t>
      </w:r>
    </w:p>
    <w:p>
      <w:pPr>
        <w:pStyle w:val="Heading3"/>
        <w:spacing w:before="200" w:after="100" w:line="312"/>
      </w:pPr>
      <w:bookmarkStart w:id="100020" w:name="_Toc100020"/>
      <w:r>
        <w:rPr>
          <w:b/>
          <w:bCs/>
          <w:color w:val="1A2330"/>
          <w:sz w:val="24"/>
          <w:szCs w:val="24"/>
          <w:rFonts w:eastAsia="SimHei" w:ascii="Arial"/>
        </w:rPr>
        <w:t xml:space="preserve">FR-06 上下文工程（P0）</w:t>
      </w:r>
      <w:bookmarkEnd w:id="100020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需求描述：</w:t>
      </w:r>
      <w:r>
        <w:rPr>
          <w:color w:val="000000"/>
          <w:sz w:val="24"/>
          <w:szCs w:val="24"/>
          <w:rFonts w:eastAsia="SimSun" w:ascii="Times New Roman"/>
        </w:rPr>
        <w:t xml:space="preserve">三层治理：网页正文进门截断（头尾保留，前 70% 加后 30%）；长文本进门即单页萃取（压减 80% 以上）；历史消息超阈值后由 LLM 摘要压缩（保留目标、发现、待办、约束）。压缩与萃取 token 全额计入预算。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正向流程：</w:t>
      </w:r>
      <w:r>
        <w:rPr>
          <w:color w:val="000000"/>
          <w:sz w:val="24"/>
          <w:szCs w:val="24"/>
          <w:rFonts w:eastAsia="SimSun" w:ascii="Times New Roman"/>
        </w:rPr>
        <w:t xml:space="preserve">正向：三层协同使标准档任务上下文峰值不超限。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异常流：</w:t>
      </w:r>
      <w:r>
        <w:rPr>
          <w:color w:val="000000"/>
          <w:sz w:val="24"/>
          <w:szCs w:val="24"/>
          <w:rFonts w:eastAsia="SimSun" w:ascii="Times New Roman"/>
        </w:rPr>
        <w:t xml:space="preserve">异常流：萃取失败降级为截断原文；压缩失败保留原历史并记录错误。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验收标准：</w:t>
      </w:r>
      <w:r>
        <w:rPr>
          <w:color w:val="000000"/>
          <w:sz w:val="24"/>
          <w:szCs w:val="24"/>
          <w:rFonts w:eastAsia="SimSun" w:ascii="Times New Roman"/>
        </w:rPr>
        <w:t xml:space="preserve">验收：标准档任务零上下文超限中断；关键事实多轮压缩后仍可由笔记找回。</w:t>
      </w:r>
    </w:p>
    <w:p>
      <w:pPr>
        <w:pStyle w:val="Heading3"/>
        <w:spacing w:before="200" w:after="100" w:line="312"/>
      </w:pPr>
      <w:bookmarkStart w:id="100021" w:name="_Toc100021"/>
      <w:r>
        <w:rPr>
          <w:b/>
          <w:bCs/>
          <w:color w:val="1A2330"/>
          <w:sz w:val="24"/>
          <w:szCs w:val="24"/>
          <w:rFonts w:eastAsia="SimHei" w:ascii="Arial"/>
        </w:rPr>
        <w:t xml:space="preserve">FR-07 安全护栏与兜底（P0）</w:t>
      </w:r>
      <w:bookmarkEnd w:id="100021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需求描述：</w:t>
      </w:r>
      <w:r>
        <w:rPr>
          <w:color w:val="000000"/>
          <w:sz w:val="24"/>
          <w:szCs w:val="24"/>
          <w:rFonts w:eastAsia="SimSun" w:ascii="Times New Roman"/>
        </w:rPr>
        <w:t xml:space="preserve">预算三水位：80% 软提醒、95% 摘除工具强制结题、耗尽强停；工具连续失败 4 次注入熔断指令（至多 2 次）；五出口汇合后执行兜底链（强制结题、笔记兜底、输出净化），保证交付物非空。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正向流程：</w:t>
      </w:r>
      <w:r>
        <w:rPr>
          <w:color w:val="000000"/>
          <w:sz w:val="24"/>
          <w:szCs w:val="24"/>
          <w:rFonts w:eastAsia="SimSun" w:ascii="Times New Roman"/>
        </w:rPr>
        <w:t xml:space="preserve">正向：正常完成走 model_done 出口直接交付。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异常流：</w:t>
      </w:r>
      <w:r>
        <w:rPr>
          <w:color w:val="000000"/>
          <w:sz w:val="24"/>
          <w:szCs w:val="24"/>
          <w:rFonts w:eastAsia="SimSun" w:ascii="Times New Roman"/>
        </w:rPr>
        <w:t xml:space="preserve">异常流：五种非正常出口（预算硬收尾/耗尽/中止/步数耗尽/错误）均进入兜底链；兜底调用失败由笔记原文顶替为报告。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验收标准：</w:t>
      </w:r>
      <w:r>
        <w:rPr>
          <w:color w:val="000000"/>
          <w:sz w:val="24"/>
          <w:szCs w:val="24"/>
          <w:rFonts w:eastAsia="SimSun" w:ascii="Times New Roman"/>
        </w:rPr>
        <w:t xml:space="preserve">验收：极端任务测试零空报告；硬收尾后模型无法再发起工具调用。</w:t>
      </w:r>
    </w:p>
    <w:p>
      <w:pPr>
        <w:pStyle w:val="Heading3"/>
        <w:spacing w:before="200" w:after="100" w:line="312"/>
      </w:pPr>
      <w:bookmarkStart w:id="100022" w:name="_Toc100022"/>
      <w:r>
        <w:rPr>
          <w:b/>
          <w:bCs/>
          <w:color w:val="1A2330"/>
          <w:sz w:val="24"/>
          <w:szCs w:val="24"/>
          <w:rFonts w:eastAsia="SimHei" w:ascii="Arial"/>
        </w:rPr>
        <w:t xml:space="preserve">FR-08 危险操作人工确认（P1）</w:t>
      </w:r>
      <w:bookmarkEnd w:id="100022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需求描述：</w:t>
      </w:r>
      <w:r>
        <w:rPr>
          <w:color w:val="000000"/>
          <w:sz w:val="24"/>
          <w:szCs w:val="24"/>
          <w:rFonts w:eastAsia="SimSun" w:ascii="Times New Roman"/>
        </w:rPr>
        <w:t xml:space="preserve">命中危险分级的工具执行前暂停并弹出确认横幅（含参数与危险原因），批准后执行，拒绝则回执引导模型改道；接入 MCP 写类外部工具时自动纳入危险分级。确认等待上限 600 秒，超时视为拒绝。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正向流程：</w:t>
      </w:r>
      <w:r>
        <w:rPr>
          <w:color w:val="000000"/>
          <w:sz w:val="24"/>
          <w:szCs w:val="24"/>
          <w:rFonts w:eastAsia="SimSun" w:ascii="Times New Roman"/>
        </w:rPr>
        <w:t xml:space="preserve">正向：确认横幅展示完整信息，用户决定后模型按回执行动。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异常流：</w:t>
      </w:r>
      <w:r>
        <w:rPr>
          <w:color w:val="000000"/>
          <w:sz w:val="24"/>
          <w:szCs w:val="24"/>
          <w:rFonts w:eastAsia="SimSun" w:ascii="Times New Roman"/>
        </w:rPr>
        <w:t xml:space="preserve">异常流：超时视为拒绝；拒绝回执固定引导模型改为直接输出内容，不得重复尝试。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验收标准：</w:t>
      </w:r>
      <w:r>
        <w:rPr>
          <w:color w:val="000000"/>
          <w:sz w:val="24"/>
          <w:szCs w:val="24"/>
          <w:rFonts w:eastAsia="SimSun" w:ascii="Times New Roman"/>
        </w:rPr>
        <w:t xml:space="preserve">验收：未经批准的危险动作执行次数为 0；拒绝后重复尝试次数为 0。</w:t>
      </w:r>
    </w:p>
    <w:p>
      <w:pPr>
        <w:pStyle w:val="Heading3"/>
        <w:spacing w:before="200" w:after="100" w:line="312"/>
      </w:pPr>
      <w:bookmarkStart w:id="100023" w:name="_Toc100023"/>
      <w:r>
        <w:rPr>
          <w:b/>
          <w:bCs/>
          <w:color w:val="1A2330"/>
          <w:sz w:val="24"/>
          <w:szCs w:val="24"/>
          <w:rFonts w:eastAsia="SimHei" w:ascii="Arial"/>
        </w:rPr>
        <w:t xml:space="preserve">FR-09 多轮会话（P1）</w:t>
      </w:r>
      <w:bookmarkEnd w:id="100023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需求描述：</w:t>
      </w:r>
      <w:r>
        <w:rPr>
          <w:color w:val="000000"/>
          <w:sz w:val="24"/>
          <w:szCs w:val="24"/>
          <w:rFonts w:eastAsia="SimSun" w:ascii="Times New Roman"/>
        </w:rPr>
        <w:t xml:space="preserve">同一会话共享笔记与上下文快照：新轮次注入上轮摘要与发现，支持指代追问；前端按轮次拼接全部输入与执行流，刷新后恢复。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正向流程：</w:t>
      </w:r>
      <w:r>
        <w:rPr>
          <w:color w:val="000000"/>
          <w:sz w:val="24"/>
          <w:szCs w:val="24"/>
          <w:rFonts w:eastAsia="SimSun" w:ascii="Times New Roman"/>
        </w:rPr>
        <w:t xml:space="preserve">正向：追问轮复用已有发现，检索次数较独立首轮下降不低于 40%。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异常流：</w:t>
      </w:r>
      <w:r>
        <w:rPr>
          <w:color w:val="000000"/>
          <w:sz w:val="24"/>
          <w:szCs w:val="24"/>
          <w:rFonts w:eastAsia="SimSun" w:ascii="Times New Roman"/>
        </w:rPr>
        <w:t xml:space="preserve">异常流：会话不存在时优雅新建；历史轮次无存档时该轮显示占位说明。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验收标准：</w:t>
      </w:r>
      <w:r>
        <w:rPr>
          <w:color w:val="000000"/>
          <w:sz w:val="24"/>
          <w:szCs w:val="24"/>
          <w:rFonts w:eastAsia="SimSun" w:ascii="Times New Roman"/>
        </w:rPr>
        <w:t xml:space="preserve">验收：同会话追问的检索次数较独立首轮下降不低于 40%（同题对比）；会话历史每轮恰好记录一次。</w:t>
      </w:r>
    </w:p>
    <w:p>
      <w:pPr>
        <w:pStyle w:val="Heading3"/>
        <w:spacing w:before="200" w:after="100" w:line="312"/>
      </w:pPr>
      <w:bookmarkStart w:id="100024" w:name="_Toc100024"/>
      <w:r>
        <w:rPr>
          <w:b/>
          <w:bCs/>
          <w:color w:val="1A2330"/>
          <w:sz w:val="24"/>
          <w:szCs w:val="24"/>
          <w:rFonts w:eastAsia="SimHei" w:ascii="Arial"/>
        </w:rPr>
        <w:t xml:space="preserve">FR-10 历史回放（P1）</w:t>
      </w:r>
      <w:bookmarkEnd w:id="100024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需求描述：</w:t>
      </w:r>
      <w:r>
        <w:rPr>
          <w:color w:val="000000"/>
          <w:sz w:val="24"/>
          <w:szCs w:val="24"/>
          <w:rFonts w:eastAsia="SimSun" w:ascii="Times New Roman"/>
        </w:rPr>
        <w:t xml:space="preserve">事件流与报告全量落盘；历史列表点击进入回放，按会话聚合还原全部轮次；回放为只读。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正向流程：</w:t>
      </w:r>
      <w:r>
        <w:rPr>
          <w:color w:val="000000"/>
          <w:sz w:val="24"/>
          <w:szCs w:val="24"/>
          <w:rFonts w:eastAsia="SimSun" w:ascii="Times New Roman"/>
        </w:rPr>
        <w:t xml:space="preserve">正向：任意历史运行可完整还原到颗颗动作。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异常流：</w:t>
      </w:r>
      <w:r>
        <w:rPr>
          <w:color w:val="000000"/>
          <w:sz w:val="24"/>
          <w:szCs w:val="24"/>
          <w:rFonts w:eastAsia="SimSun" w:ascii="Times New Roman"/>
        </w:rPr>
        <w:t xml:space="preserve">异常流：旧格式存档显示占位说明不报错；存档缺失的轮次同样优雅降级。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验收标准：</w:t>
      </w:r>
      <w:r>
        <w:rPr>
          <w:color w:val="000000"/>
          <w:sz w:val="24"/>
          <w:szCs w:val="24"/>
          <w:rFonts w:eastAsia="SimSun" w:ascii="Times New Roman"/>
        </w:rPr>
        <w:t xml:space="preserve">验收：回放事件与实时事件一一对应；跨轮会话可整段还原。</w:t>
      </w:r>
    </w:p>
    <w:p>
      <w:pPr>
        <w:pStyle w:val="Heading3"/>
        <w:spacing w:before="200" w:after="100" w:line="312"/>
      </w:pPr>
      <w:bookmarkStart w:id="100025" w:name="_Toc100025"/>
      <w:r>
        <w:rPr>
          <w:b/>
          <w:bCs/>
          <w:color w:val="1A2330"/>
          <w:sz w:val="24"/>
          <w:szCs w:val="24"/>
          <w:rFonts w:eastAsia="SimHei" w:ascii="Arial"/>
        </w:rPr>
        <w:t xml:space="preserve">FR-11 评测回归（P1）</w:t>
      </w:r>
      <w:bookmarkEnd w:id="100025"/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需求描述：</w:t>
      </w:r>
      <w:r>
        <w:rPr>
          <w:color w:val="000000"/>
          <w:sz w:val="24"/>
          <w:szCs w:val="24"/>
          <w:rFonts w:eastAsia="SimSun" w:ascii="Times New Roman"/>
        </w:rPr>
        <w:t xml:space="preserve">内置 12 题评测三件套：题库（问题+要点）、评分器（对照原始证据四维打分，不上网）、运行器（快跑/指定题/全量）。成绩单含总分、维度分、逐题问题清单。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正向流程：</w:t>
      </w:r>
      <w:r>
        <w:rPr>
          <w:color w:val="000000"/>
          <w:sz w:val="24"/>
          <w:szCs w:val="24"/>
          <w:rFonts w:eastAsia="SimSun" w:ascii="Times New Roman"/>
        </w:rPr>
        <w:t xml:space="preserve">正向：全量评测 30 分钟内完成并落盘成绩单。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异常流：</w:t>
      </w:r>
      <w:r>
        <w:rPr>
          <w:color w:val="000000"/>
          <w:sz w:val="24"/>
          <w:szCs w:val="24"/>
          <w:rFonts w:eastAsia="SimSun" w:ascii="Times New Roman"/>
        </w:rPr>
        <w:t xml:space="preserve">异常流：评分器解析失败记 0 并标注（区分故障与真差）；单题噪声只看多题均值。</w:t>
      </w:r>
    </w:p>
    <w:p>
      <w:pPr>
        <w:spacing w:line="312" w:after="60"/>
        <w:ind w:firstLine="480"/>
        <w:jc w:val="both"/>
      </w:pPr>
      <w:r>
        <w:rPr>
          <w:b/>
          <w:bCs/>
          <w:color w:val="000000"/>
          <w:sz w:val="24"/>
          <w:szCs w:val="24"/>
          <w:rFonts w:eastAsia="SimHei" w:ascii="Times New Roman"/>
        </w:rPr>
        <w:t xml:space="preserve">验收标准：</w:t>
      </w:r>
      <w:r>
        <w:rPr>
          <w:color w:val="000000"/>
          <w:sz w:val="24"/>
          <w:szCs w:val="24"/>
          <w:rFonts w:eastAsia="SimSun" w:ascii="Times New Roman"/>
        </w:rPr>
        <w:t xml:space="preserve">验收：全量 30 分钟内完成；成绩单可直接用于改前改后对比。</w:t>
      </w:r>
    </w:p>
    <w:p>
      <w:pPr>
        <w:pStyle w:val="Heading1"/>
        <w:spacing w:before="360" w:after="160" w:line="312"/>
      </w:pPr>
      <w:bookmarkStart w:id="100026" w:name="_Toc100026"/>
      <w:r>
        <w:rPr>
          <w:b/>
          <w:bCs/>
          <w:color w:val="1A2330"/>
          <w:sz w:val="32"/>
          <w:szCs w:val="32"/>
          <w:rFonts w:eastAsia="SimHei" w:ascii="Arial"/>
        </w:rPr>
        <w:t xml:space="preserve">七、界面与交互需求</w:t>
      </w:r>
      <w:bookmarkEnd w:id="100026"/>
    </w:p>
    <w:p>
      <w:pPr>
        <w:pStyle w:val="Heading2"/>
        <w:spacing w:before="240" w:after="120" w:line="312"/>
      </w:pPr>
      <w:bookmarkStart w:id="100027" w:name="_Toc100027"/>
      <w:r>
        <w:rPr>
          <w:b/>
          <w:bCs/>
          <w:color w:val="1A2330"/>
          <w:sz w:val="28"/>
          <w:szCs w:val="28"/>
          <w:rFonts w:eastAsia="SimHei" w:ascii="Arial"/>
        </w:rPr>
        <w:t xml:space="preserve">7.1 界面元素清单</w:t>
      </w:r>
      <w:bookmarkEnd w:id="100027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工作台为单页应用，自上而下分为：页头（模型与预算仪表）、运行状态条、三栏主区（左：运行历史列表；中：执行流与确认卡；下：报告面板）、底部输入区（场景词、问题输入、档位选择、操作按钮）。</w:t>
      </w:r>
    </w:p>
    <w:p>
      <w:pPr>
        <w:pStyle w:val="Heading2"/>
        <w:spacing w:before="240" w:after="120" w:line="312"/>
      </w:pPr>
      <w:bookmarkStart w:id="100028" w:name="_Toc100028"/>
      <w:r>
        <w:rPr>
          <w:b/>
          <w:bCs/>
          <w:color w:val="1A2330"/>
          <w:sz w:val="28"/>
          <w:szCs w:val="28"/>
          <w:rFonts w:eastAsia="SimHei" w:ascii="Arial"/>
        </w:rPr>
        <w:t xml:space="preserve">7.2 关键元素交互四态定义</w:t>
      </w:r>
      <w:bookmarkEnd w:id="100028"/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5 界面元素四态定义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元素</w:t>
            </w:r>
          </w:p>
        </w:tc>
        <w:tc>
          <w:tcPr>
            <w:tcW w:type="pct" w:w="2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加载中</w:t>
            </w:r>
          </w:p>
        </w:tc>
        <w:tc>
          <w:tcPr>
            <w:tcW w:type="pct" w:w="1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空</w:t>
            </w:r>
          </w:p>
        </w:tc>
        <w:tc>
          <w:tcPr>
            <w:tcW w:type="pct" w:w="24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错误</w:t>
            </w:r>
          </w:p>
        </w:tc>
        <w:tc>
          <w:tcPr>
            <w:tcW w:type="pct" w:w="2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成功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输入区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可用（运行中禁用提交）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占位文案引导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提交失败弹提示并保留内容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清空并聚焦，追加轮次卡片</w:t>
            </w:r>
          </w:p>
        </w:tc>
      </w:tr>
      <w:tr>
        <w:trPr>
          <w:cantSplit/>
        </w:trPr>
        <w:tc>
          <w:tcPr>
            <w:tcW w:type="pct" w:w="1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执行流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显示等待运行占位</w:t>
            </w:r>
          </w:p>
        </w:tc>
        <w:tc>
          <w:tcPr>
            <w:tcW w:type="pct" w:w="1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同左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断线卡（重连中/失败提示）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全量颗粒可见，可展开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确认横幅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倒计时等待（600 秒）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隐藏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超时视为拒绝并提示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批准后置灰，显示回执</w:t>
            </w:r>
          </w:p>
        </w:tc>
      </w:tr>
      <w:tr>
        <w:trPr>
          <w:cantSplit/>
        </w:trPr>
        <w:tc>
          <w:tcPr>
            <w:tcW w:type="pct" w:w="1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报告面板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隐藏（final 事件前）</w:t>
            </w:r>
          </w:p>
        </w:tc>
        <w:tc>
          <w:tcPr>
            <w:tcW w:type="pct" w:w="1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隐藏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隐藏（错误卡替代）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渲染 MD，附元信息与复制/下载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历史列表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加载占位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显示暂无运行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显示加载失败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倒序列出，点击回放</w:t>
            </w:r>
          </w:p>
        </w:tc>
      </w:tr>
      <w:tr>
        <w:trPr>
          <w:cantSplit/>
        </w:trPr>
        <w:tc>
          <w:tcPr>
            <w:tcW w:type="pct" w:w="1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看板卡片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隐藏（规划前）</w:t>
            </w:r>
          </w:p>
        </w:tc>
        <w:tc>
          <w:tcPr>
            <w:tcW w:type="pct" w:w="1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隐藏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隐藏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随 checklist 事件刷新</w:t>
            </w:r>
          </w:p>
        </w:tc>
      </w:tr>
    </w:tbl>
    <w:p>
      <w:pPr>
        <w:pStyle w:val="Heading2"/>
        <w:spacing w:before="240" w:after="120" w:line="312"/>
      </w:pPr>
      <w:bookmarkStart w:id="100029" w:name="_Toc100029"/>
      <w:r>
        <w:rPr>
          <w:b/>
          <w:bCs/>
          <w:color w:val="1A2330"/>
          <w:sz w:val="28"/>
          <w:szCs w:val="28"/>
          <w:rFonts w:eastAsia="SimHei" w:ascii="Arial"/>
        </w:rPr>
        <w:t xml:space="preserve">7.3 交互与文案规范</w:t>
      </w:r>
      <w:bookmarkEnd w:id="100029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确认类按钮必须使用动词明确语义（确认发送/批准执行），取消按钮并列呈现；错误文案必须包含下一步动作建议（例如提示查看日志或重试）；所有系统提示在事件流中以独立颗粒留痕，不允许静默失败；运行中禁用开始按钮与档位切换，防止并发运行。</w:t>
      </w:r>
    </w:p>
    <w:p>
      <w:pPr>
        <w:pStyle w:val="Heading1"/>
        <w:spacing w:before="360" w:after="160" w:line="312"/>
      </w:pPr>
      <w:bookmarkStart w:id="100030" w:name="_Toc100030"/>
      <w:r>
        <w:rPr>
          <w:b/>
          <w:bCs/>
          <w:color w:val="1A2330"/>
          <w:sz w:val="32"/>
          <w:szCs w:val="32"/>
          <w:rFonts w:eastAsia="SimHei" w:ascii="Arial"/>
        </w:rPr>
        <w:t xml:space="preserve">八、数据需求</w:t>
      </w:r>
      <w:bookmarkEnd w:id="100030"/>
    </w:p>
    <w:p>
      <w:pPr>
        <w:pStyle w:val="Heading2"/>
        <w:spacing w:before="240" w:after="120" w:line="312"/>
      </w:pPr>
      <w:bookmarkStart w:id="100031" w:name="_Toc100031"/>
      <w:r>
        <w:rPr>
          <w:b/>
          <w:bCs/>
          <w:color w:val="1A2330"/>
          <w:sz w:val="28"/>
          <w:szCs w:val="28"/>
          <w:rFonts w:eastAsia="SimHei" w:ascii="Arial"/>
        </w:rPr>
        <w:t xml:space="preserve">8.1 运行日志字段（runs.jsonl，每行一条）</w:t>
      </w:r>
      <w:bookmarkEnd w:id="100031"/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6 运行日志字段字典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字段</w:t>
            </w:r>
          </w:p>
        </w:tc>
        <w:tc>
          <w:tcPr>
            <w:tcW w:type="pct" w:w="14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类型</w:t>
            </w:r>
          </w:p>
        </w:tc>
        <w:tc>
          <w:tcPr>
            <w:tcW w:type="pct" w:w="62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run_id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string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运行唯一标识（8 位十六进制）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ts / impl</w:t>
            </w:r>
          </w:p>
        </w:tc>
        <w:tc>
          <w:tcPr>
            <w:tcW w:type="pct" w:w="1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string</w:t>
            </w:r>
          </w:p>
        </w:tc>
        <w:tc>
          <w:tcPr>
            <w:tcW w:type="pct" w:w="6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时间戳与宿主实现标识（webapp/cli 等）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question / steps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string/int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研究问题（截 80 字）与实际执行步数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tool_calls</w:t>
            </w:r>
          </w:p>
        </w:tc>
        <w:tc>
          <w:tcPr>
            <w:tcW w:type="pct" w:w="1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array</w:t>
            </w:r>
          </w:p>
        </w:tc>
        <w:tc>
          <w:tcPr>
            <w:tcW w:type="pct" w:w="6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工具调用序列（按执行顺序）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tokens / budget_max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int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实际消耗与预算上限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stop_reason</w:t>
            </w:r>
          </w:p>
        </w:tc>
        <w:tc>
          <w:tcPr>
            <w:tcW w:type="pct" w:w="1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string</w:t>
            </w:r>
          </w:p>
        </w:tc>
        <w:tc>
          <w:tcPr>
            <w:tcW w:type="pct" w:w="6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停止原因（model_done/budget_hard_stop/user_stop/max_steps/error）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errors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array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错误清单（含协议异常与工具异常）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extra</w:t>
            </w:r>
          </w:p>
        </w:tc>
        <w:tc>
          <w:tcPr>
            <w:tcW w:type="pct" w:w="1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object</w:t>
            </w:r>
          </w:p>
        </w:tc>
        <w:tc>
          <w:tcPr>
            <w:tcW w:type="pct" w:w="6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扩展字段：new_preferences（提取的偏好）、session_id（会话溯源）</w:t>
            </w:r>
          </w:p>
        </w:tc>
      </w:tr>
    </w:tbl>
    <w:p>
      <w:pPr>
        <w:pStyle w:val="Heading2"/>
        <w:spacing w:before="240" w:after="120" w:line="312"/>
      </w:pPr>
      <w:bookmarkStart w:id="100032" w:name="_Toc100032"/>
      <w:r>
        <w:rPr>
          <w:b/>
          <w:bCs/>
          <w:color w:val="1A2330"/>
          <w:sz w:val="28"/>
          <w:szCs w:val="28"/>
          <w:rFonts w:eastAsia="SimHei" w:ascii="Arial"/>
        </w:rPr>
        <w:t xml:space="preserve">8.2 事件类型枚举（事件流与存档）</w:t>
      </w:r>
      <w:bookmarkEnd w:id="100032"/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7 事件类型清单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事件</w:t>
            </w:r>
          </w:p>
        </w:tc>
        <w:tc>
          <w:tcPr>
            <w:tcW w:type="pct" w:w="34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载荷要点</w:t>
            </w:r>
          </w:p>
        </w:tc>
        <w:tc>
          <w:tcPr>
            <w:tcW w:type="pct" w:w="4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run_meta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run_id/session_id/question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存档头部：会话溯源与跨轮回放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memory_inject</w:t>
            </w:r>
          </w:p>
        </w:tc>
        <w:tc>
          <w:tcPr>
            <w:tcW w:type="pct" w:w="3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count/total/filtered/text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展示记忆注入与门禁过滤情况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guardrail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max/dangerous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预算护栏与危险工具清单公示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mcp</w:t>
            </w:r>
          </w:p>
        </w:tc>
        <w:tc>
          <w:tcPr>
            <w:tcW w:type="pct" w:w="3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msg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MCP 接入状态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plan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outline/sub_questions/ms/detail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规划卡片与全量 IO 详单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progress</w:t>
            </w:r>
          </w:p>
        </w:tc>
        <w:tc>
          <w:tcPr>
            <w:tcW w:type="pct" w:w="3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text/checklist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每轮进度注入与看板文本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step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tools/prompt_tokens/detail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模型调用颗粒（含全量 IO 与 token 明细）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tool_result</w:t>
            </w:r>
          </w:p>
        </w:tc>
        <w:tc>
          <w:tcPr>
            <w:tcW w:type="pct" w:w="3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name/result/full_result/args/耗时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工具执行颗粒与徽章数据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budget / inject / breaker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used/max/note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三水位与死线、熔断的护栏事件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compact</w:t>
            </w:r>
          </w:p>
        </w:tc>
        <w:tc>
          <w:tcPr>
            <w:tcW w:type="pct" w:w="3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before/after/stats/summary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历史压缩颗粒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checklist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items/completed/total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看板状态机刷新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approval_request / result</w:t>
            </w:r>
          </w:p>
        </w:tc>
        <w:tc>
          <w:tcPr>
            <w:tcW w:type="pct" w:w="3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tool/args/receipt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危险操作确认闭环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backfill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count/items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本轮回填确认（一圈一结清）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memory_extract / memory_saved</w:t>
            </w:r>
          </w:p>
        </w:tc>
        <w:tc>
          <w:tcPr>
            <w:tcW w:type="pct" w:w="3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prefs/transcript/added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会话结束的记忆提取与合并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forced_final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ms/output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强制结题调用记录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final</w:t>
            </w:r>
          </w:p>
        </w:tc>
        <w:tc>
          <w:tcPr>
            <w:tcW w:type="pct" w:w="3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answer/steps/used/stop_reason/total_ms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报告全文与运行汇总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done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无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收流标记（服务端合成，不入存档）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error</w:t>
            </w:r>
          </w:p>
        </w:tc>
        <w:tc>
          <w:tcPr>
            <w:tcW w:type="pct" w:w="3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message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协议层错误</w:t>
            </w:r>
          </w:p>
        </w:tc>
      </w:tr>
    </w:tbl>
    <w:p>
      <w:pPr>
        <w:pStyle w:val="Heading2"/>
        <w:spacing w:before="240" w:after="120" w:line="312"/>
      </w:pPr>
      <w:bookmarkStart w:id="100033" w:name="_Toc100033"/>
      <w:r>
        <w:rPr>
          <w:b/>
          <w:bCs/>
          <w:color w:val="1A2330"/>
          <w:sz w:val="28"/>
          <w:szCs w:val="28"/>
          <w:rFonts w:eastAsia="SimHei" w:ascii="Arial"/>
        </w:rPr>
        <w:t xml:space="preserve">8.3 会话存储结构</w:t>
      </w:r>
      <w:bookmarkEnd w:id="100033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每个会话对应 sessions 目录下的独立子目录：notes.md 为该会话共享的调研笔记（跨轮追加）；meta.json 记录创建时间与全部轮次（run_id、问题、时间）；context.json 为每轮结束后的上下文快照（摘要、关键发现、待办），下一轮启动时注入系统提示词。会话数据含个人研究内容，不入版本库。</w:t>
      </w:r>
    </w:p>
    <w:p>
      <w:pPr>
        <w:pStyle w:val="Heading1"/>
        <w:spacing w:before="360" w:after="160" w:line="312"/>
      </w:pPr>
      <w:bookmarkStart w:id="100034" w:name="_Toc100034"/>
      <w:r>
        <w:rPr>
          <w:b/>
          <w:bCs/>
          <w:color w:val="1A2330"/>
          <w:sz w:val="32"/>
          <w:szCs w:val="32"/>
          <w:rFonts w:eastAsia="SimHei" w:ascii="Arial"/>
        </w:rPr>
        <w:t xml:space="preserve">九、非功能需求</w:t>
      </w:r>
      <w:bookmarkEnd w:id="100034"/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8 非功能需求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类别</w:t>
            </w:r>
          </w:p>
        </w:tc>
        <w:tc>
          <w:tcPr>
            <w:tcW w:type="pct" w:w="8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性能</w:t>
            </w:r>
          </w:p>
        </w:tc>
        <w:tc>
          <w:tcPr>
            <w:tcW w:type="pct" w:w="8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快问档单题不超过 3 分钟，标准档不超过 6 分钟，深度档不超过 15 分钟（含工具执行）</w:t>
            </w:r>
          </w:p>
        </w:tc>
      </w:tr>
      <w:tr>
        <w:trPr>
          <w:cantSplit/>
        </w:trPr>
        <w:tc>
          <w:tcPr>
            <w:tcW w:type="pct" w:w="1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成本</w:t>
            </w:r>
          </w:p>
        </w:tc>
        <w:tc>
          <w:tcPr>
            <w:tcW w:type="pct" w:w="8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Token 记账全覆盖（含压缩与萃取调用）；档位上限即硬上限，到线必停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可靠性</w:t>
            </w:r>
          </w:p>
        </w:tc>
        <w:tc>
          <w:tcPr>
            <w:tcW w:type="pct" w:w="8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服务端 15 秒心跳保活；前端断线自动重连；事件与运行日志全量落盘，可回放可审计</w:t>
            </w:r>
          </w:p>
        </w:tc>
      </w:tr>
      <w:tr>
        <w:trPr>
          <w:cantSplit/>
        </w:trPr>
        <w:tc>
          <w:tcPr>
            <w:tcW w:type="pct" w:w="1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安全</w:t>
            </w:r>
          </w:p>
        </w:tc>
        <w:tc>
          <w:tcPr>
            <w:tcW w:type="pct" w:w="8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密钥仅存本地 .env 且不入版本库；报告结论强制溯源；对外动作必须人工确认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兼容</w:t>
            </w:r>
          </w:p>
        </w:tc>
        <w:tc>
          <w:tcPr>
            <w:tcW w:type="pct" w:w="8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支持任一 OpenAI 兼容协议模型（DeepSeek/GLM/Qwen 等）；可选接入 Tavily 搜索与 MCP 工具生态</w:t>
            </w:r>
          </w:p>
        </w:tc>
      </w:tr>
    </w:tbl>
    <w:p>
      <w:pPr>
        <w:pStyle w:val="Heading1"/>
        <w:spacing w:before="360" w:after="160" w:line="312"/>
      </w:pPr>
      <w:bookmarkStart w:id="100035" w:name="_Toc100035"/>
      <w:r>
        <w:rPr>
          <w:b/>
          <w:bCs/>
          <w:color w:val="1A2330"/>
          <w:sz w:val="32"/>
          <w:szCs w:val="32"/>
          <w:rFonts w:eastAsia="SimHei" w:ascii="Arial"/>
        </w:rPr>
        <w:t xml:space="preserve">十、范围外（本版不做）</w:t>
      </w:r>
      <w:bookmarkEnd w:id="100035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以下能力经评估后明确移出本版范围，记录决策依据以防止范围回摆：其一，邮件投递功能——已完成真实发送验证后按 MVP 聚焦原则整体移除，完整实现与教训存档于版本历史（判断权在模型、执行权在代码的架构结论已沉淀至设计哲学）；其二，多租户与账号体系——当前定位单用户本地工作台；其三，agent 自我修复（自动归因并改写自身代码）——归因学习是本项目的核心目标，不做自动化。</w:t>
      </w:r>
    </w:p>
    <w:p>
      <w:pPr>
        <w:pStyle w:val="Heading1"/>
        <w:spacing w:before="360" w:after="160" w:line="312"/>
      </w:pPr>
      <w:bookmarkStart w:id="100036" w:name="_Toc100036"/>
      <w:r>
        <w:rPr>
          <w:b/>
          <w:bCs/>
          <w:color w:val="1A2330"/>
          <w:sz w:val="32"/>
          <w:szCs w:val="32"/>
          <w:rFonts w:eastAsia="SimHei" w:ascii="Arial"/>
        </w:rPr>
        <w:t xml:space="preserve">十一、系统架构概览</w:t>
      </w:r>
      <w:bookmarkEnd w:id="100036"/>
    </w:p>
    <w:p>
      <w:pPr>
        <w:pStyle w:val="Heading2"/>
        <w:spacing w:before="240" w:after="120" w:line="312"/>
      </w:pPr>
      <w:bookmarkStart w:id="100037" w:name="_Toc100037"/>
      <w:r>
        <w:rPr>
          <w:b/>
          <w:bCs/>
          <w:color w:val="1A2330"/>
          <w:sz w:val="28"/>
          <w:szCs w:val="28"/>
          <w:rFonts w:eastAsia="SimHei" w:ascii="Arial"/>
        </w:rPr>
        <w:t xml:space="preserve">11.1 四层架构</w:t>
      </w:r>
      <w:bookmarkEnd w:id="100037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系统采用四层架构。第一层为工作台（产品界面）：基于 FastAPI 与原生前端，提供 SSE 实时执行流、确认卡、历史回放与多轮会话视图。第二层为服务与评测基建：12 题评测三件套、运行日志与观测面板、会话存储。第三层为执行内核：一套依赖注入的研究决策逻辑，规划、循环、上下文工程、护栏全部集中于此，通过 emit、approver、stop_check、budget、session 五个注入点更换宿主。第四层为工具与配置：检索、抓取、笔记等本地工具与 MCP 外部生态。全部 16 个模块的详细职责与数据流见项目内文档 realize.md。</w:t>
      </w:r>
    </w:p>
    <w:p>
      <w:pPr>
        <w:pStyle w:val="Heading2"/>
        <w:spacing w:before="240" w:after="120" w:line="312"/>
      </w:pPr>
      <w:bookmarkStart w:id="100038" w:name="_Toc100038"/>
      <w:r>
        <w:rPr>
          <w:b/>
          <w:bCs/>
          <w:color w:val="1A2330"/>
          <w:sz w:val="28"/>
          <w:szCs w:val="28"/>
          <w:rFonts w:eastAsia="SimHei" w:ascii="Arial"/>
        </w:rPr>
        <w:t xml:space="preserve">11.2 决策权分配矩阵（编排的核心契约）</w:t>
      </w:r>
      <w:bookmarkEnd w:id="100038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开发实现编排时的第一依据：每个决策点的判断者、边界依据与判断错误的兜底方式。原则——需要语言理解与灵活判断的交给模型，需要确定性与时序保证的交给代码，不可逆动作的最后决定权交给人。</w:t>
      </w:r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11 决策权分配矩阵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决策点</w:t>
            </w:r>
          </w:p>
        </w:tc>
        <w:tc>
          <w:tcPr>
            <w:tcW w:type="pct" w:w="1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判断者</w:t>
            </w:r>
          </w:p>
        </w:tc>
        <w:tc>
          <w:tcPr>
            <w:tcW w:type="pct" w:w="28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边界依据</w:t>
            </w:r>
          </w:p>
        </w:tc>
        <w:tc>
          <w:tcPr>
            <w:tcW w:type="pct" w:w="32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判断错误的兜底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子问题拆解（数量、查证要点）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模型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规划提示词硬性约束（不超过 3 个）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解析失败降级空大纲，继续执行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每步调用哪些工具与参数</w:t>
            </w:r>
          </w:p>
        </w:tc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模型</w:t>
            </w:r>
          </w:p>
        </w:tc>
        <w:tc>
          <w:tcPr>
            <w:tcW w:type="pct" w:w="2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工具说明书（描述与 Schema）</w:t>
            </w:r>
          </w:p>
        </w:tc>
        <w:tc>
          <w:tcPr>
            <w:tcW w:type="pct" w:w="3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异常转可行动错误文本回填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笔记写入的内容与时机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模型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提示词要求随手沉淀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上下文压缩与笔记兜底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子问题核销（显式）</w:t>
            </w:r>
          </w:p>
        </w:tc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模型</w:t>
            </w:r>
          </w:p>
        </w:tc>
        <w:tc>
          <w:tcPr>
            <w:tcW w:type="pct" w:w="2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update_checklist 工具</w:t>
            </w:r>
          </w:p>
        </w:tc>
        <w:tc>
          <w:tcPr>
            <w:tcW w:type="pct" w:w="3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笔记感知自动核销兜底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哪些评审意见需要补查、查什么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模型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修订策划调用（次数受限）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策划失败降级纯改写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预算水位触发（80/95/100%）</w:t>
            </w:r>
          </w:p>
        </w:tc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代码</w:t>
            </w:r>
          </w:p>
        </w:tc>
        <w:tc>
          <w:tcPr>
            <w:tcW w:type="pct" w:w="2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真实 token 计量</w:t>
            </w:r>
          </w:p>
        </w:tc>
        <w:tc>
          <w:tcPr>
            <w:tcW w:type="pct" w:w="3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到线必停，不依赖模型自觉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强制收尾的触发与执行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代码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看板全绿/死线/硬收尾水位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笔记原文兜底报告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熔断触发（连败 4 次，至多 2 次）</w:t>
            </w:r>
          </w:p>
        </w:tc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代码</w:t>
            </w:r>
          </w:p>
        </w:tc>
        <w:tc>
          <w:tcPr>
            <w:tcW w:type="pct" w:w="2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失败计数器</w:t>
            </w:r>
          </w:p>
        </w:tc>
        <w:tc>
          <w:tcPr>
            <w:tcW w:type="pct" w:w="3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超限后停止重试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上下文压缩的触发与执行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代码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usage 真实计量超阈值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压缩失败保留原历史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危险动作的最终执行</w:t>
            </w:r>
          </w:p>
        </w:tc>
        <w:tc>
          <w:tcPr>
            <w:tcW w:type="pct" w:w="1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人</w:t>
            </w:r>
          </w:p>
        </w:tc>
        <w:tc>
          <w:tcPr>
            <w:tcW w:type="pct" w:w="2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确认卡（600 秒超时视为拒绝）</w:t>
            </w:r>
          </w:p>
        </w:tc>
        <w:tc>
          <w:tcPr>
            <w:tcW w:type="pct" w:w="3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拒绝回执引导模型改道</w:t>
            </w:r>
          </w:p>
        </w:tc>
      </w:tr>
    </w:tbl>
    <w:p>
      <w:pPr>
        <w:pStyle w:val="Heading2"/>
        <w:spacing w:before="240" w:after="120" w:line="312"/>
      </w:pPr>
      <w:bookmarkStart w:id="100039" w:name="_Toc100039"/>
      <w:r>
        <w:rPr>
          <w:b/>
          <w:bCs/>
          <w:color w:val="1A2330"/>
          <w:sz w:val="28"/>
          <w:szCs w:val="28"/>
          <w:rFonts w:eastAsia="SimHei" w:ascii="Arial"/>
        </w:rPr>
        <w:t xml:space="preserve">11.3 工具清单与危险分级</w:t>
      </w:r>
      <w:bookmarkEnd w:id="100039"/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12 工具清单（模型可见的完整工具箱）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工具</w:t>
            </w:r>
          </w:p>
        </w:tc>
        <w:tc>
          <w:tcPr>
            <w:tcW w:type="pct" w:w="2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用途</w:t>
            </w:r>
          </w:p>
        </w:tc>
        <w:tc>
          <w:tcPr>
            <w:tcW w:type="pct" w:w="18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关键参数</w:t>
            </w:r>
          </w:p>
        </w:tc>
        <w:tc>
          <w:tcPr>
            <w:tcW w:type="pct" w:w="24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返回与限制</w:t>
            </w:r>
          </w:p>
        </w:tc>
        <w:tc>
          <w:tcPr>
            <w:tcW w:type="pct" w:w="1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危险分级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web_search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联网检索（Tavily 优先，免费引擎降级）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query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结构化结果列表，头尾保留截断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只读</w:t>
            </w:r>
          </w:p>
        </w:tc>
      </w:tr>
      <w:tr>
        <w:trPr>
          <w:cantSplit/>
        </w:trPr>
        <w:tc>
          <w:tcPr>
            <w:tcW w:type="pct" w:w="1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fetch_url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静态网页抓取（正文抽取）</w:t>
            </w:r>
          </w:p>
        </w:tc>
        <w:tc>
          <w:tcPr>
            <w:tcW w:type="pct" w:w="1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url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纯文本正文，截断 4000 字符；SPA 自动降级</w:t>
            </w:r>
          </w:p>
        </w:tc>
        <w:tc>
          <w:tcPr>
            <w:tcW w:type="pct" w:w="1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只读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fetch_js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无头浏览器 JS 渲染抓取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url, wait_ms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渲染后正文（含页脚），头尾保留截断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只读（资源重，走缓存）</w:t>
            </w:r>
          </w:p>
        </w:tc>
      </w:tr>
      <w:tr>
        <w:trPr>
          <w:cantSplit/>
        </w:trPr>
        <w:tc>
          <w:tcPr>
            <w:tcW w:type="pct" w:w="1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note_write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沉淀调研笔记（自动核销看板）</w:t>
            </w:r>
          </w:p>
        </w:tc>
        <w:tc>
          <w:tcPr>
            <w:tcW w:type="pct" w:w="1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content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确认文案</w:t>
            </w:r>
          </w:p>
        </w:tc>
        <w:tc>
          <w:tcPr>
            <w:tcW w:type="pct" w:w="1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写入会话本地笔记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note_read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读取当前会话全部笔记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无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笔记全文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只读</w:t>
            </w:r>
          </w:p>
        </w:tc>
      </w:tr>
      <w:tr>
        <w:trPr>
          <w:cantSplit/>
        </w:trPr>
        <w:tc>
          <w:tcPr>
            <w:tcW w:type="pct" w:w="1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update_checklist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显式核销子问题</w:t>
            </w:r>
          </w:p>
        </w:tc>
        <w:tc>
          <w:tcPr>
            <w:tcW w:type="pct" w:w="1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sub_id, status, summary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更新确认与看板事件</w:t>
            </w:r>
          </w:p>
        </w:tc>
        <w:tc>
          <w:tcPr>
            <w:tcW w:type="pct" w:w="1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只读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MCP 外部工具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按 MCP_SERVERS 配置动态接入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由外部 server 定义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拼接文本回填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写类自动进危险分级走 HITL</w:t>
            </w:r>
          </w:p>
        </w:tc>
      </w:tr>
    </w:tbl>
    <w:p>
      <w:pPr>
        <w:pStyle w:val="Heading2"/>
        <w:spacing w:before="240" w:after="120" w:line="312"/>
      </w:pPr>
      <w:bookmarkStart w:id="100040" w:name="_Toc100040"/>
      <w:r>
        <w:rPr>
          <w:b/>
          <w:bCs/>
          <w:color w:val="1A2330"/>
          <w:sz w:val="28"/>
          <w:szCs w:val="28"/>
          <w:rFonts w:eastAsia="SimHei" w:ascii="Arial"/>
        </w:rPr>
        <w:t xml:space="preserve">11.4 关键参数表（开发按此取值）</w:t>
      </w:r>
      <w:bookmarkEnd w:id="100040"/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13 关键参数（集中定义，调整须过评测回归）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参数</w:t>
            </w:r>
          </w:p>
        </w:tc>
        <w:tc>
          <w:tcPr>
            <w:tcW w:type="pct" w:w="2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当前值</w:t>
            </w:r>
          </w:p>
        </w:tc>
        <w:tc>
          <w:tcPr>
            <w:tcW w:type="pct" w:w="24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作用</w:t>
            </w:r>
          </w:p>
        </w:tc>
        <w:tc>
          <w:tcPr>
            <w:tcW w:type="pct" w:w="2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调整依据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MAX_LOOP_STEPS 最大循环步数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20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防失控硬上限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覆盖评测题最慢路径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BUDGET_TIERS 预算档位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2万/5万/12万/不限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成本与完整度分档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实测合法深度任务 8.5 万-10.8 万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预算软提醒水位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80%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注入收敛提醒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为硬收尾留缓冲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预算硬收尾水位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95%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摘除工具强制结题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为结题调用留余量（实测约需 3000）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压缩触发阈值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600,000 token（窗口 1M × 60%）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触发历史压缩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配置化自动推导（CONTEXT_WINDOW × COMPACTION_RATIO），为输出与工具结果留 40% 空间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压缩保留轮数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最近 20 条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压缩后保留近期原文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窗口 1M 下放宽保护圈，平衡连续性与成本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工具结果截断上限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4000 字符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单结果上限（头尾保留）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配合证据池与萃取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单页萃取触发阈值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800 字符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长文即时萃取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短文直通以节省调用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熔断触发与上限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连败 4 次 / 至多 2 次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注入改道指令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实测 35 次重复重搜的教训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确认等待上限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600 秒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人工确认超时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超时视为拒绝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SSE 心跳间隔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15 秒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保活与探活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防长静默断流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断线重连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至多 5 次, 退避 0.8 秒乘以次数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前端自动重连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5 连败才降级提示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记忆容量上限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20 条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偏好库防膨胀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超出丢弃最旧</w:t>
            </w:r>
          </w:p>
        </w:tc>
      </w:tr>
    </w:tbl>
    <w:p>
      <w:pPr>
        <w:pStyle w:val="Heading2"/>
        <w:spacing w:before="240" w:after="120" w:line="312"/>
      </w:pPr>
      <w:bookmarkStart w:id="100041" w:name="_Toc100041"/>
      <w:r>
        <w:rPr>
          <w:b/>
          <w:bCs/>
          <w:color w:val="1A2330"/>
          <w:sz w:val="28"/>
          <w:szCs w:val="28"/>
          <w:rFonts w:eastAsia="SimHei" w:ascii="Arial"/>
        </w:rPr>
        <w:t xml:space="preserve">11.5 每轮上下文构成说明</w:t>
      </w:r>
      <w:bookmarkEnd w:id="100041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模型每轮看到的上下文由三部分构成：系统提示词（规则、研究大纲、记忆注入、会话上下文，约 1500 至 3000 token）；历史消息（压缩后为摘要加最近 6 条原文，随任务增长被压缩机制约束在阈值内）；本轮注入（进度行与看板文本，约 200 至 500 token）。开发实现时以上表 11.4 的参数为准，任何参数调整必须过第十二章的评测回归。</w:t>
      </w:r>
    </w:p>
    <w:p>
      <w:pPr>
        <w:pStyle w:val="Heading2"/>
        <w:spacing w:before="240" w:after="120" w:line="312"/>
      </w:pPr>
      <w:bookmarkStart w:id="100042" w:name="_Toc100042"/>
      <w:r>
        <w:rPr>
          <w:b/>
          <w:bCs/>
          <w:color w:val="1A2330"/>
          <w:sz w:val="28"/>
          <w:szCs w:val="28"/>
          <w:rFonts w:eastAsia="SimHei" w:ascii="Arial"/>
        </w:rPr>
        <w:t xml:space="preserve">11.6 兜底链</w:t>
      </w:r>
      <w:bookmarkEnd w:id="100042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内核循环的五出口兜底链是可靠性核心：模型正常完成、预算硬收尾、用户中止、步数耗尽、协议错误，五种出口汇合后执行统一兜底（强制结题调用、笔记原文兜底、输出净化），保证交付物永不为空。</w:t>
      </w:r>
    </w:p>
    <w:p>
      <w:pPr>
        <w:pStyle w:val="Heading1"/>
        <w:spacing w:before="360" w:after="160" w:line="312"/>
      </w:pPr>
      <w:bookmarkStart w:id="100043" w:name="_Toc100043"/>
      <w:r>
        <w:rPr>
          <w:b/>
          <w:bCs/>
          <w:color w:val="1A2330"/>
          <w:sz w:val="32"/>
          <w:szCs w:val="32"/>
          <w:rFonts w:eastAsia="SimHei" w:ascii="Arial"/>
        </w:rPr>
        <w:t xml:space="preserve">十二、评测与验收标准</w:t>
      </w:r>
      <w:bookmarkEnd w:id="100043"/>
    </w:p>
    <w:p>
      <w:pPr>
        <w:pStyle w:val="Heading2"/>
        <w:spacing w:before="240" w:after="120" w:line="312"/>
      </w:pPr>
      <w:bookmarkStart w:id="100044" w:name="_Toc100044"/>
      <w:r>
        <w:rPr>
          <w:b/>
          <w:bCs/>
          <w:color w:val="1A2330"/>
          <w:sz w:val="28"/>
          <w:szCs w:val="28"/>
          <w:rFonts w:eastAsia="SimHei" w:ascii="Arial"/>
        </w:rPr>
        <w:t xml:space="preserve">12.1 评测构成</w:t>
      </w:r>
      <w:bookmarkEnd w:id="100044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评测体系由三件套构成：12 道真实研究题（事实类 6、对比类 4、开放类 2，每题带必须查证的要点清单）；LLM 评分器（不上网，只对照研究过程截留的原始证据核对结论，四维各 0 至 1 分并附扣分依据）；运行器（快跑、指定题与全量三种模式）。</w:t>
      </w:r>
    </w:p>
    <w:p>
      <w:pPr>
        <w:pStyle w:val="Heading2"/>
        <w:spacing w:before="240" w:after="120" w:line="312"/>
      </w:pPr>
      <w:bookmarkStart w:id="100045" w:name="_Toc100045"/>
      <w:r>
        <w:rPr>
          <w:b/>
          <w:bCs/>
          <w:color w:val="1A2330"/>
          <w:sz w:val="28"/>
          <w:szCs w:val="28"/>
          <w:rFonts w:eastAsia="SimHei" w:ascii="Arial"/>
        </w:rPr>
        <w:t xml:space="preserve">12.2 四维评分锚点</w:t>
      </w:r>
      <w:bookmarkEnd w:id="100045"/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9 四维评分标准与锚点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维度</w:t>
            </w:r>
          </w:p>
        </w:tc>
        <w:tc>
          <w:tcPr>
            <w:tcW w:type="pct" w:w="34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定义</w:t>
            </w:r>
          </w:p>
        </w:tc>
        <w:tc>
          <w:tcPr>
            <w:tcW w:type="pct" w:w="22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0 分锚点</w:t>
            </w:r>
          </w:p>
        </w:tc>
        <w:tc>
          <w:tcPr>
            <w:tcW w:type="pct" w:w="24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满分锚点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有据 supported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关键结论均能在原始证据中找到支撑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编造/证据不足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每个事实有对应证据</w:t>
            </w:r>
          </w:p>
        </w:tc>
      </w:tr>
      <w:tr>
        <w:trPr>
          <w:cantSplit/>
        </w:trPr>
        <w:tc>
          <w:tcPr>
            <w:tcW w:type="pct" w:w="2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有源 sourced</w:t>
            </w:r>
          </w:p>
        </w:tc>
        <w:tc>
          <w:tcPr>
            <w:tcW w:type="pct" w:w="3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每个事实带 [n](url) 引用</w:t>
            </w:r>
          </w:p>
        </w:tc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无引用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全文规范引用加参考小节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覆盖 complete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问题及大纲要求的信息点全部覆盖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缺一半以上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全覆盖且逐点查证</w:t>
            </w:r>
          </w:p>
        </w:tc>
      </w:tr>
      <w:tr>
        <w:trPr>
          <w:cantSplit/>
        </w:trPr>
        <w:tc>
          <w:tcPr>
            <w:tcW w:type="pct" w:w="2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简洁 concise</w:t>
            </w:r>
          </w:p>
        </w:tc>
        <w:tc>
          <w:tcPr>
            <w:tcW w:type="pct" w:w="3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无复述证据原文、无空话套话</w:t>
            </w:r>
          </w:p>
        </w:tc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严重冗长</w:t>
            </w:r>
          </w:p>
        </w:tc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结构清晰、信息密度高</w:t>
            </w:r>
          </w:p>
        </w:tc>
      </w:tr>
    </w:tbl>
    <w:p>
      <w:pPr>
        <w:pStyle w:val="Heading2"/>
        <w:spacing w:before="240" w:after="120" w:line="312"/>
      </w:pPr>
      <w:bookmarkStart w:id="100046" w:name="_Toc100046"/>
      <w:r>
        <w:rPr>
          <w:b/>
          <w:bCs/>
          <w:color w:val="1A2330"/>
          <w:sz w:val="28"/>
          <w:szCs w:val="28"/>
          <w:rFonts w:eastAsia="SimHei" w:ascii="Arial"/>
        </w:rPr>
        <w:t xml:space="preserve">12.3 验收流程与红线</w:t>
      </w:r>
      <w:bookmarkEnd w:id="100046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任何内核、提示词、工具或阈值的改动，均须执行改前基线、改后回归的双跑对比；任一维度低于基线 0.05 即判定为回归，阻断合入。低分题按三类处置：系统故障（修复评测器或收尾路径）、偶然噪声（重跑取均值，不改代码）、真实能力缺口（进入归因流程）。归因口诀：评测出分数，trace 找病灶，修复下刀要小，回归验证明效。</w:t>
      </w:r>
    </w:p>
    <w:p>
      <w:pPr>
        <w:pStyle w:val="Heading1"/>
        <w:spacing w:before="360" w:after="160" w:line="312"/>
      </w:pPr>
      <w:bookmarkStart w:id="100047" w:name="_Toc100047"/>
      <w:r>
        <w:rPr>
          <w:b/>
          <w:bCs/>
          <w:color w:val="1A2330"/>
          <w:sz w:val="32"/>
          <w:szCs w:val="32"/>
          <w:rFonts w:eastAsia="SimHei" w:ascii="Arial"/>
        </w:rPr>
        <w:t xml:space="preserve">十三、数据与可观测性</w:t>
      </w:r>
      <w:bookmarkEnd w:id="100047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观测面板围绕三问设计：成功率多少、token 花在哪、失败归哪几类。执行流中的关键行为（缓存命中、萃取提纯、压缩发生、护栏触发、投递登记）均有独立事件颗粒；失败由 LLM 自动归类为固定类目并输出分布表，作为下一版本修复优先级的输入。</w:t>
      </w:r>
    </w:p>
    <w:p>
      <w:pPr>
        <w:pStyle w:val="Heading1"/>
        <w:spacing w:before="360" w:after="160" w:line="312"/>
      </w:pPr>
      <w:bookmarkStart w:id="100048" w:name="_Toc100048"/>
      <w:r>
        <w:rPr>
          <w:b/>
          <w:bCs/>
          <w:color w:val="1A2330"/>
          <w:sz w:val="32"/>
          <w:szCs w:val="32"/>
          <w:rFonts w:eastAsia="SimHei" w:ascii="Arial"/>
        </w:rPr>
        <w:t xml:space="preserve">十四、风险与开放问题</w:t>
      </w:r>
      <w:bookmarkEnd w:id="100048"/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10 风险清单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风险</w:t>
            </w:r>
          </w:p>
        </w:tc>
        <w:tc>
          <w:tcPr>
            <w:tcW w:type="pct" w:w="3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影响</w:t>
            </w:r>
          </w:p>
        </w:tc>
        <w:tc>
          <w:tcPr>
            <w:tcW w:type="pct" w:w="4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应对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编造风险（supported 当前 0.54）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结论可信度受损，产品信任的头号威胁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提升证据覆盖率：检索源质量、萃取召回、截断策略三处并行优化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模型供应商行为漂移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同提示词效果随模型更新波动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评测回归机制化；关键规则冗余表述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超长报告截断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评测与投递素材上限可能截断尾部内容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提升组装素材上限；长报告分段处理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搜索源限流与反爬</w:t>
            </w:r>
          </w:p>
        </w:tc>
        <w:tc>
          <w:tcPr>
            <w:tcW w:type="pct" w:w="3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检索质量下降、任务变慢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双通道搜索、错峰启动、域名级失败感知改道</w:t>
            </w:r>
          </w:p>
        </w:tc>
      </w:tr>
    </w:tbl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开放问题：反思模式（评审后带工具补查）是否晋级为生产内核的二道质量闸门；报告流式输出能否在不破坏引用完整性的前提下实现；多智能体并行调研接入工作台后的执行流可视化方案。</w:t>
      </w:r>
    </w:p>
    <w:p>
      <w:pPr>
        <w:pStyle w:val="Heading1"/>
        <w:spacing w:before="360" w:after="160" w:line="312"/>
      </w:pPr>
      <w:bookmarkStart w:id="100049" w:name="_Toc100049"/>
      <w:r>
        <w:rPr>
          <w:b/>
          <w:bCs/>
          <w:color w:val="1A2330"/>
          <w:sz w:val="32"/>
          <w:szCs w:val="32"/>
          <w:rFonts w:eastAsia="SimHei" w:ascii="Arial"/>
        </w:rPr>
        <w:t xml:space="preserve">十五、发布计划与回滚策略</w:t>
      </w:r>
      <w:bookmarkEnd w:id="100049"/>
    </w:p>
    <w:p>
      <w:pPr>
        <w:pStyle w:val="Heading2"/>
        <w:spacing w:before="240" w:after="120" w:line="312"/>
      </w:pPr>
      <w:bookmarkStart w:id="100050" w:name="_Toc100050"/>
      <w:r>
        <w:rPr>
          <w:b/>
          <w:bCs/>
          <w:color w:val="1A2330"/>
          <w:sz w:val="28"/>
          <w:szCs w:val="28"/>
          <w:rFonts w:eastAsia="SimHei" w:ascii="Arial"/>
        </w:rPr>
        <w:t xml:space="preserve">15.1 发布检查清单（Go / No-Go）</w:t>
      </w:r>
      <w:bookmarkEnd w:id="100050"/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11 发布检查清单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检查项</w:t>
            </w:r>
          </w:p>
        </w:tc>
        <w:tc>
          <w:tcPr>
            <w:tcW w:type="pct" w:w="52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通过标准</w:t>
            </w:r>
          </w:p>
        </w:tc>
        <w:tc>
          <w:tcPr>
            <w:tcW w:type="pct" w:w="22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结论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全量评测回归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总分不低于 0.80，四维不低于红线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【通过/不通过】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极端任务测试</w:t>
            </w:r>
          </w:p>
        </w:tc>
        <w:tc>
          <w:tcPr>
            <w:tcW w:type="pct" w:w="5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预算耗尽、步数耗尽、错误注入三类场景零空报告</w:t>
            </w:r>
          </w:p>
        </w:tc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【通过/不通过】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长静默断流演练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心跳保活下运行不断流；断线重连不重放不漏发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【通过/不通过】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密钥与隐私检查</w:t>
            </w:r>
          </w:p>
        </w:tc>
        <w:tc>
          <w:tcPr>
            <w:tcW w:type="pct" w:w="5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.env 不入版本库；会话数据不入仓库</w:t>
            </w:r>
          </w:p>
        </w:tc>
        <w:tc>
          <w:tcPr>
            <w:tcW w:type="pct" w:w="22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【通过/不通过】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文档同步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README 流程图、realize.md 与代码一致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【通过/不通过】</w:t>
            </w:r>
          </w:p>
        </w:tc>
      </w:tr>
    </w:tbl>
    <w:p>
      <w:pPr>
        <w:pStyle w:val="Heading2"/>
        <w:spacing w:before="240" w:after="120" w:line="312"/>
      </w:pPr>
      <w:bookmarkStart w:id="100051" w:name="_Toc100051"/>
      <w:r>
        <w:rPr>
          <w:b/>
          <w:bCs/>
          <w:color w:val="1A2330"/>
          <w:sz w:val="28"/>
          <w:szCs w:val="28"/>
          <w:rFonts w:eastAsia="SimHei" w:ascii="Arial"/>
        </w:rPr>
        <w:t xml:space="preserve">15.2 回滚策略</w:t>
      </w:r>
      <w:bookmarkEnd w:id="100051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发布以 git 标签为原子单位。出现严重缺陷时的回滚步骤：停止工作台（stop.sh）；将代码回退至上一发布标签（git checkout 标签号）；重启服务（start.sh）；以评测快跑模式验证恢复到上一基线；确认历史数据（日志、事件存档、会话）不受影响后关闭事件。回滚决策由产品与研发共同确认，回滚后 24 小时内完成缺陷归因。</w:t>
      </w:r>
    </w:p>
    <w:p>
      <w:pPr>
        <w:pStyle w:val="Heading1"/>
        <w:spacing w:before="360" w:after="160" w:line="312"/>
      </w:pPr>
      <w:bookmarkStart w:id="100052" w:name="_Toc100052"/>
      <w:r>
        <w:rPr>
          <w:b/>
          <w:bCs/>
          <w:color w:val="1A2330"/>
          <w:sz w:val="32"/>
          <w:szCs w:val="32"/>
          <w:rFonts w:eastAsia="SimHei" w:ascii="Arial"/>
        </w:rPr>
        <w:t xml:space="preserve">十六、里程碑规划</w:t>
      </w:r>
      <w:bookmarkEnd w:id="100052"/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12 里程碑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版本</w:t>
            </w:r>
          </w:p>
        </w:tc>
        <w:tc>
          <w:tcPr>
            <w:tcW w:type="pct" w:w="4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范围</w:t>
            </w:r>
          </w:p>
        </w:tc>
        <w:tc>
          <w:tcPr>
            <w:tcW w:type="pct" w:w="3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验收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v1.0（已交付）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单 agent 工作台、多轮会话、评测基线 0.66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P0 需求全量验收通过</w:t>
            </w:r>
          </w:p>
        </w:tc>
      </w:tr>
      <w:tr>
        <w:trPr>
          <w:cantSplit/>
        </w:trPr>
        <w:tc>
          <w:tcPr>
            <w:tcW w:type="pct" w:w="1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v1.1（本版）</w:t>
            </w:r>
          </w:p>
        </w:tc>
        <w:tc>
          <w:tcPr>
            <w:tcW w:type="pct" w:w="4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PRD 标准化完善；supported 专项优化（检索源、萃取召回、截断策略）</w:t>
            </w:r>
          </w:p>
        </w:tc>
        <w:tc>
          <w:tcPr>
            <w:tcW w:type="pct" w:w="3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总分不低于 0.80 且 supported 不低于 0.70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v1.2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反思模式产品化或报告流式输出（按用户反馈二选一）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对应功能独立验收标准</w:t>
            </w:r>
          </w:p>
        </w:tc>
      </w:tr>
      <w:tr>
        <w:trPr>
          <w:cantSplit/>
        </w:trPr>
        <w:tc>
          <w:tcPr>
            <w:tcW w:type="pct" w:w="18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v2.0（探索）</w:t>
            </w:r>
          </w:p>
        </w:tc>
        <w:tc>
          <w:tcPr>
            <w:tcW w:type="pct" w:w="4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多智能体并行调研接入工作台</w:t>
            </w:r>
          </w:p>
        </w:tc>
        <w:tc>
          <w:tcPr>
            <w:tcW w:type="pct" w:w="3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同质量前提下墙钟时间缩短 40% 以上</w:t>
            </w:r>
          </w:p>
        </w:tc>
      </w:tr>
    </w:tbl>
    <w:p>
      <w:pPr>
        <w:pStyle w:val="Heading1"/>
        <w:spacing w:before="360" w:after="160" w:line="312"/>
      </w:pPr>
      <w:bookmarkStart w:id="100053" w:name="_Toc100053"/>
      <w:r>
        <w:rPr>
          <w:b/>
          <w:bCs/>
          <w:color w:val="1A2330"/>
          <w:sz w:val="32"/>
          <w:szCs w:val="32"/>
          <w:rFonts w:eastAsia="SimHei" w:ascii="Arial"/>
        </w:rPr>
        <w:t xml:space="preserve">十七、附录</w:t>
      </w:r>
      <w:bookmarkEnd w:id="100053"/>
    </w:p>
    <w:p>
      <w:pPr>
        <w:pStyle w:val="Heading2"/>
        <w:spacing w:before="240" w:after="120" w:line="312"/>
      </w:pPr>
      <w:bookmarkStart w:id="100054" w:name="_Toc100054"/>
      <w:r>
        <w:rPr>
          <w:b/>
          <w:bCs/>
          <w:color w:val="1A2330"/>
          <w:sz w:val="28"/>
          <w:szCs w:val="28"/>
          <w:rFonts w:eastAsia="SimHei" w:ascii="Arial"/>
        </w:rPr>
        <w:t xml:space="preserve">17.1 术语表</w:t>
      </w:r>
      <w:bookmarkEnd w:id="100054"/>
    </w:p>
    <w:p>
      <w:pPr>
        <w:keepNext/>
        <w:spacing w:before="160" w:after="80" w:line="312"/>
      </w:pPr>
      <w:r>
        <w:rPr>
          <w:b/>
          <w:bCs/>
          <w:color w:val="1A2330"/>
          <w:sz w:val="21"/>
          <w:szCs w:val="21"/>
          <w:rFonts w:eastAsia="SimHei" w:ascii="Arial"/>
        </w:rPr>
        <w:t xml:space="preserve">表 13 术语表</w:t>
      </w:r>
    </w:p>
    <w:tbl>
      <w:tblPr>
        <w:tblW w:type="pct" w:w="100%"/>
        <w:tblBorders>
          <w:top w:val="single" w:color="D4875A" w:sz="2"/>
          <w:left w:val="none" w:color="FFFFFF" w:sz="0"/>
          <w:bottom w:val="single" w:color="D4875A" w:sz="2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术语</w:t>
            </w:r>
          </w:p>
        </w:tc>
        <w:tc>
          <w:tcPr>
            <w:tcW w:type="pct" w:w="76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1"/>
                <w:szCs w:val="21"/>
                <w:rFonts w:eastAsia="SimHei" w:ascii="Arial"/>
              </w:rPr>
              <w:t xml:space="preserve">释义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HITL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Human-In-The-Loop，人在回路：危险动作执行前暂停，由人工批准或拒绝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SSE</w:t>
            </w:r>
          </w:p>
        </w:tc>
        <w:tc>
          <w:tcPr>
            <w:tcW w:type="pct" w:w="7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Server-Sent Events：服务器向浏览器单向实时推送事件的传输方式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MCP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Model Context Protocol：接入外部工具生态的标准化协议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token</w:t>
            </w:r>
          </w:p>
        </w:tc>
        <w:tc>
          <w:tcPr>
            <w:tcW w:type="pct" w:w="7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模型的计量与计费单位，预算与成本均按 token 记账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groundedness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有据性：结论是否被研究过程截留的原始证据支撑，评测的灵魂维度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DSML</w:t>
            </w:r>
          </w:p>
        </w:tc>
        <w:tc>
          <w:tcPr>
            <w:tcW w:type="pct" w:w="7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模型在极端场景下泄漏的内部工具调用标签，报告净化环节负责剔除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JSONL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每行一个 JSON 对象的文件格式，运行日志与事件存档采用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trace</w:t>
            </w:r>
          </w:p>
        </w:tc>
        <w:tc>
          <w:tcPr>
            <w:tcW w:type="pct" w:w="7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一次运行的完整消息流存档，用于复盘与归因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rubric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评分标准：judge 打分所依据的维度定义与 0 分锚点</w:t>
            </w:r>
          </w:p>
        </w:tc>
      </w:tr>
      <w:tr>
        <w:trPr>
          <w:cantSplit/>
        </w:trPr>
        <w:tc>
          <w:tcPr>
            <w:tcW w:type="pct" w:w="24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Context Rot</w:t>
            </w:r>
          </w:p>
        </w:tc>
        <w:tc>
          <w:tcPr>
            <w:tcW w:type="pct" w:w="76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上下文腐烂：对话越长模型对早期信息召回越差的现象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Evaluator-Optimizer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eastAsia="SimSun" w:ascii="Arial"/>
              </w:rPr>
              <w:t xml:space="preserve">评估-优化模式：草稿经评审与修订循环提升质量</w:t>
            </w:r>
          </w:p>
        </w:tc>
      </w:tr>
    </w:tbl>
    <w:p>
      <w:pPr>
        <w:pStyle w:val="Heading2"/>
        <w:spacing w:before="240" w:after="120" w:line="312"/>
      </w:pPr>
      <w:bookmarkStart w:id="100055" w:name="_Toc100055"/>
      <w:r>
        <w:rPr>
          <w:b/>
          <w:bCs/>
          <w:color w:val="1A2330"/>
          <w:sz w:val="28"/>
          <w:szCs w:val="28"/>
          <w:rFonts w:eastAsia="SimHei" w:ascii="Arial"/>
        </w:rPr>
        <w:t xml:space="preserve">17.2 参考资料</w:t>
      </w:r>
      <w:bookmarkEnd w:id="100055"/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eastAsia="SimSun" w:ascii="Times New Roman"/>
        </w:rPr>
        <w:t xml:space="preserve">Anthropic《Building Effective Agents》（Workflow Patterns 一节）；OpenAI《A Practical Guide to Building Agents》；HumanLayer《12-Factor Agents》；项目内文档 realize.md（实现图纸，16 大节点 89 小节）与 PITFALLS.md（54 条实战坑典）。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Sky Research Agent 产品需求文档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sz w:val="24"/>
        <w:szCs w:val="24"/>
        <w:rFonts w:ascii="Times New Roman" w:eastAsia="SimSun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60" w:line="312"/>
      <w:outlineLvl w:val="0"/>
    </w:pPr>
    <w:rPr>
      <w:b/>
      <w:bCs/>
      <w:color w:val="1A2330"/>
      <w:sz w:val="32"/>
      <w:szCs w:val="32"/>
      <w:rFonts w:ascii="Arial" w:eastAsia="SimHei"/>
    </w:rPr>
  </w:style>
  <w:style w:type="paragraph" w:styleId="Heading2">
    <w:name w:val="Heading 2"/>
    <w:basedOn w:val="Normal"/>
    <w:next w:val="Normal"/>
    <w:qFormat/>
    <w:pPr>
      <w:spacing w:before="240" w:after="120" w:line="312"/>
      <w:outlineLvl w:val="1"/>
    </w:pPr>
    <w:rPr>
      <w:b/>
      <w:bCs/>
      <w:color w:val="1A2330"/>
      <w:sz w:val="28"/>
      <w:szCs w:val="28"/>
      <w:rFonts w:ascii="Arial" w:eastAsia="SimHei"/>
    </w:rPr>
  </w:style>
  <w:style w:type="paragraph" w:styleId="Heading3">
    <w:name w:val="Heading 3"/>
    <w:basedOn w:val="Normal"/>
    <w:next w:val="Normal"/>
    <w:qFormat/>
    <w:pPr>
      <w:spacing w:before="200" w:after="100" w:line="312"/>
      <w:outlineLvl w:val="2"/>
    </w:pPr>
    <w:rPr>
      <w:b/>
      <w:bCs/>
      <w:color w:val="1A2330"/>
      <w:sz w:val="24"/>
      <w:szCs w:val="24"/>
      <w:rFonts w:ascii="Arial" w:eastAsia="SimHei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image" Target="media/pq_a6845xnshxse9a3ezz.png"/><Relationship Id="rId10" Type="http://schemas.openxmlformats.org/officeDocument/2006/relationships/image" Target="media/pg4utrsewius9esnzaku5.png"/><Relationship Id="rId11" Type="http://schemas.openxmlformats.org/officeDocument/2006/relationships/image" Target="media/dnpjkhlltubz6e76nb0p3.png"/><Relationship Id="rId12" Type="http://schemas.openxmlformats.org/officeDocument/2006/relationships/image" Target="media/jlbiif0p9xd1hizpdppxu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2026-09-21T07:22:09.851Z</dcterms:created>
  <dcterms:modified xsi:type="dcterms:W3CDTF">2026-09-21T07:22:09.856Z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