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6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1"/>
    <w:bookmarkStart w:id="7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3"/>
    <w:bookmarkStart w:id="76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4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Jira</w:t>
        </w:r>
      </w:hyperlink>
      <w:r>
        <w:t xml:space="preserve">, building platforms, collaboration, coordination with downstream services, cross-collaboration (dozens of teams, hundreds of services), organization of complex projects, product development, product roadmap management, project documentation, project management, technical documentation.</w:t>
      </w:r>
    </w:p>
    <w:bookmarkEnd w:id="76"/>
    <w:bookmarkStart w:id="79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7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8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9"/>
    <w:bookmarkStart w:id="8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1"/>
    <w:bookmarkEnd w:id="8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8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7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4" Target="https://www.atlassian.com/software/confluence" TargetMode="External" /><Relationship Type="http://schemas.openxmlformats.org/officeDocument/2006/relationships/hyperlink" Id="rId75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8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tpm.docx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28" Target="https://github.com/skyzyx/resume/blob/master/resumes/ryanparman-tpm.odt" TargetMode="External" /><Relationship Type="http://schemas.openxmlformats.org/officeDocument/2006/relationships/hyperlink" Id="rId26" Target="https://github.com/skyzyx/resume/blob/master/resumes/ryanparman-tpm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7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4" Target="https://www.atlassian.com/software/confluence" TargetMode="External" /><Relationship Type="http://schemas.openxmlformats.org/officeDocument/2006/relationships/hyperlink" Id="rId75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2025-01-25T23:40:34Z</dcterms:created>
  <dcterms:modified xsi:type="dcterms:W3CDTF">2025-01-25T23:40:34Z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