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TV</w:t>
      </w:r>
      <w:r>
        <w:t xml:space="preserve"> </w:t>
      </w:r>
      <w:r>
        <w:t xml:space="preserve">Channel</w:t>
      </w:r>
      <w:r>
        <w:t xml:space="preserve"> </w:t>
      </w:r>
      <w:r>
        <w:t xml:space="preserve">Forecast</w:t>
      </w:r>
      <w:r>
        <w:t xml:space="preserve"> </w:t>
      </w:r>
      <w:r>
        <w:t xml:space="preserve">Documentation</w:t>
      </w:r>
    </w:p>
    <w:p>
      <w:pPr>
        <w:pStyle w:val="Author"/>
      </w:pPr>
      <w:r>
        <w:t xml:space="preserve">Jeffrey</w:t>
      </w:r>
      <w:r>
        <w:t xml:space="preserve"> </w:t>
      </w:r>
      <w:r>
        <w:t xml:space="preserve">Uslan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13,</w:t>
      </w:r>
      <w:r>
        <w:t xml:space="preserve"> </w:t>
      </w:r>
      <w:r>
        <w:t xml:space="preserve">2015</w:t>
      </w:r>
    </w:p>
    <w:p>
      <w:r>
        <w:t xml:space="preserve">This documentation will serve as guide to reproduce work done on modeling TV spending impact on site visits via several channel. The scripts of import are the following:</w:t>
      </w:r>
      <w:r>
        <w:t xml:space="preserve"> </w:t>
      </w:r>
    </w:p>
    <w:p>
      <w:pPr>
        <w:pStyle w:val="Compact"/>
        <w:numPr>
          <w:numId w:val="1001"/>
          <w:ilvl w:val="0"/>
        </w:numPr>
      </w:pPr>
      <w:r>
        <w:t xml:space="preserve">tv_channel_models_data_munge.R</w:t>
      </w:r>
    </w:p>
    <w:p>
      <w:pPr>
        <w:pStyle w:val="Compact"/>
        <w:numPr>
          <w:numId w:val="1001"/>
          <w:ilvl w:val="0"/>
        </w:numPr>
      </w:pPr>
      <w:r>
        <w:t xml:space="preserve">report_functions.R</w:t>
      </w:r>
    </w:p>
    <w:p>
      <w:pPr>
        <w:pStyle w:val="Compact"/>
        <w:numPr>
          <w:numId w:val="1001"/>
          <w:ilvl w:val="0"/>
        </w:numPr>
      </w:pPr>
      <w:r>
        <w:t xml:space="preserve">TV_channel_Arima_forecast_uploader.R</w:t>
      </w:r>
    </w:p>
    <w:p>
      <w:pPr>
        <w:pStyle w:val="Compact"/>
        <w:numPr>
          <w:numId w:val="1001"/>
          <w:ilvl w:val="0"/>
        </w:numPr>
      </w:pPr>
      <w:r>
        <w:t xml:space="preserve">TV_channel_models_lite.Rmd</w:t>
      </w:r>
    </w:p>
    <w:p>
      <w:pPr>
        <w:pStyle w:val="Heading3"/>
      </w:pPr>
      <w:bookmarkStart w:id="21" w:name="tv_channel_models_data_munge.r"/>
      <w:bookmarkEnd w:id="21"/>
      <w:r>
        <w:t xml:space="preserve">tv_channel_models_data_munge.R</w:t>
      </w:r>
    </w:p>
    <w:p>
      <w:r>
        <w:t xml:space="preserve">At present, this script pulls TV Spending and Gross Merchandising Value data from "tvanalysis_wgmv.xlsx" and site visit data from a google sheet called "channeldata with home". Ideally, these data will be pulled from a data base where they are updated, in uniform format, so the dependent analyses will be dynamically updated.</w:t>
      </w:r>
    </w:p>
    <w:p>
      <w:r>
        <w:t xml:space="preserve">These data sources are then processed into a single data frame for easy processing in the scripts following.</w:t>
      </w:r>
    </w:p>
    <w:p>
      <w:pPr>
        <w:pStyle w:val="Heading3"/>
      </w:pPr>
      <w:bookmarkStart w:id="22" w:name="report_functions.r"/>
      <w:bookmarkEnd w:id="22"/>
      <w:r>
        <w:t xml:space="preserve">report_functions.R</w:t>
      </w:r>
    </w:p>
    <w:p>
      <w:r>
        <w:t xml:space="preserve">This script contatin many functions used in the report generator and spreadsheet creator.</w:t>
      </w:r>
    </w:p>
    <w:p>
      <w:pPr>
        <w:pStyle w:val="Heading3"/>
      </w:pPr>
      <w:bookmarkStart w:id="23" w:name="tv_channel_arima_forecast_uploader.r"/>
      <w:bookmarkEnd w:id="23"/>
      <w:r>
        <w:t xml:space="preserve">TV_channel_Arima_forecast_uploader.R</w:t>
      </w:r>
    </w:p>
    <w:p>
      <w:r>
        <w:t xml:space="preserve">This script creates a dataframe with the following columns:</w:t>
      </w:r>
    </w:p>
    <w:p>
      <w:pPr>
        <w:pStyle w:val="Compact"/>
        <w:numPr>
          <w:numId w:val="1002"/>
          <w:ilvl w:val="0"/>
        </w:numPr>
      </w:pPr>
      <w:r>
        <w:t xml:space="preserve">Date</w:t>
      </w:r>
    </w:p>
    <w:p>
      <w:pPr>
        <w:pStyle w:val="Compact"/>
        <w:numPr>
          <w:numId w:val="1002"/>
          <w:ilvl w:val="0"/>
        </w:numPr>
      </w:pPr>
      <w:r>
        <w:t xml:space="preserve">GMV</w:t>
      </w:r>
    </w:p>
    <w:p>
      <w:pPr>
        <w:pStyle w:val="Compact"/>
        <w:numPr>
          <w:numId w:val="1002"/>
          <w:ilvl w:val="0"/>
        </w:numPr>
      </w:pPr>
      <w:r>
        <w:t xml:space="preserve">tv.spend</w:t>
      </w:r>
    </w:p>
    <w:p>
      <w:pPr>
        <w:pStyle w:val="Compact"/>
        <w:numPr>
          <w:numId w:val="1002"/>
          <w:ilvl w:val="0"/>
        </w:numPr>
      </w:pPr>
      <w:r>
        <w:t xml:space="preserve">tv_forecasted</w:t>
      </w:r>
    </w:p>
    <w:p>
      <w:pPr>
        <w:pStyle w:val="Compact"/>
        <w:numPr>
          <w:numId w:val="1002"/>
          <w:ilvl w:val="0"/>
        </w:numPr>
      </w:pPr>
      <w:r>
        <w:t xml:space="preserve">oganic.net.home</w:t>
      </w:r>
    </w:p>
    <w:p>
      <w:pPr>
        <w:pStyle w:val="Compact"/>
        <w:numPr>
          <w:numId w:val="1002"/>
          <w:ilvl w:val="0"/>
        </w:numPr>
      </w:pPr>
      <w:r>
        <w:t xml:space="preserve">oganic.net.home.lift</w:t>
      </w:r>
    </w:p>
    <w:p>
      <w:pPr>
        <w:pStyle w:val="Compact"/>
        <w:numPr>
          <w:numId w:val="1002"/>
          <w:ilvl w:val="0"/>
        </w:numPr>
      </w:pPr>
      <w:r>
        <w:t xml:space="preserve">oganic.net.home.lift.low.bound</w:t>
      </w:r>
    </w:p>
    <w:p>
      <w:pPr>
        <w:pStyle w:val="Compact"/>
        <w:numPr>
          <w:numId w:val="1002"/>
          <w:ilvl w:val="0"/>
        </w:numPr>
      </w:pPr>
      <w:r>
        <w:t xml:space="preserve">oganic.net.home.lift.upper.bound</w:t>
      </w:r>
    </w:p>
    <w:p>
      <w:pPr>
        <w:pStyle w:val="Compact"/>
        <w:numPr>
          <w:numId w:val="1002"/>
          <w:ilvl w:val="0"/>
        </w:numPr>
      </w:pPr>
      <w:r>
        <w:t xml:space="preserve">oganic.home</w:t>
      </w:r>
    </w:p>
    <w:p>
      <w:pPr>
        <w:pStyle w:val="Compact"/>
        <w:numPr>
          <w:numId w:val="1002"/>
          <w:ilvl w:val="0"/>
        </w:numPr>
      </w:pPr>
      <w:r>
        <w:t xml:space="preserve">oganic.home.lift</w:t>
      </w:r>
    </w:p>
    <w:p>
      <w:pPr>
        <w:pStyle w:val="Compact"/>
        <w:numPr>
          <w:numId w:val="1002"/>
          <w:ilvl w:val="0"/>
        </w:numPr>
      </w:pPr>
      <w:r>
        <w:t xml:space="preserve">oganic.home.lift.low.bound</w:t>
      </w:r>
    </w:p>
    <w:p>
      <w:pPr>
        <w:pStyle w:val="Compact"/>
        <w:numPr>
          <w:numId w:val="1002"/>
          <w:ilvl w:val="0"/>
        </w:numPr>
      </w:pPr>
      <w:r>
        <w:t xml:space="preserve">oganic.home.lift.upper.bound</w:t>
      </w:r>
    </w:p>
    <w:p>
      <w:pPr>
        <w:pStyle w:val="Compact"/>
        <w:numPr>
          <w:numId w:val="1002"/>
          <w:ilvl w:val="0"/>
        </w:numPr>
      </w:pPr>
      <w:r>
        <w:t xml:space="preserve">oganic.all</w:t>
      </w:r>
    </w:p>
    <w:p>
      <w:pPr>
        <w:pStyle w:val="Compact"/>
        <w:numPr>
          <w:numId w:val="1002"/>
          <w:ilvl w:val="0"/>
        </w:numPr>
      </w:pPr>
      <w:r>
        <w:t xml:space="preserve">oganic.all.lift</w:t>
      </w:r>
    </w:p>
    <w:p>
      <w:pPr>
        <w:pStyle w:val="Compact"/>
        <w:numPr>
          <w:numId w:val="1002"/>
          <w:ilvl w:val="0"/>
        </w:numPr>
      </w:pPr>
      <w:r>
        <w:t xml:space="preserve">oganic.all.lift.low.bound</w:t>
      </w:r>
    </w:p>
    <w:p>
      <w:pPr>
        <w:pStyle w:val="Compact"/>
        <w:numPr>
          <w:numId w:val="1002"/>
          <w:ilvl w:val="0"/>
        </w:numPr>
      </w:pPr>
      <w:r>
        <w:t xml:space="preserve">oganic.all.lift.upper.bound</w:t>
      </w:r>
    </w:p>
    <w:p>
      <w:pPr>
        <w:pStyle w:val="Compact"/>
        <w:numPr>
          <w:numId w:val="1002"/>
          <w:ilvl w:val="0"/>
        </w:numPr>
      </w:pPr>
      <w:r>
        <w:t xml:space="preserve">direct.net.home</w:t>
      </w:r>
    </w:p>
    <w:p>
      <w:pPr>
        <w:pStyle w:val="Compact"/>
        <w:numPr>
          <w:numId w:val="1002"/>
          <w:ilvl w:val="0"/>
        </w:numPr>
      </w:pPr>
      <w:r>
        <w:t xml:space="preserve">direct.net.home.lift</w:t>
      </w:r>
    </w:p>
    <w:p>
      <w:pPr>
        <w:pStyle w:val="Compact"/>
        <w:numPr>
          <w:numId w:val="1002"/>
          <w:ilvl w:val="0"/>
        </w:numPr>
      </w:pPr>
      <w:r>
        <w:t xml:space="preserve">direct.net.home.lift.low.bound</w:t>
      </w:r>
    </w:p>
    <w:p>
      <w:pPr>
        <w:pStyle w:val="Compact"/>
        <w:numPr>
          <w:numId w:val="1002"/>
          <w:ilvl w:val="0"/>
        </w:numPr>
      </w:pPr>
      <w:r>
        <w:t xml:space="preserve">direct.net.home.lift.upper.bound</w:t>
      </w:r>
    </w:p>
    <w:p>
      <w:pPr>
        <w:pStyle w:val="Compact"/>
        <w:numPr>
          <w:numId w:val="1002"/>
          <w:ilvl w:val="0"/>
        </w:numPr>
      </w:pPr>
      <w:r>
        <w:t xml:space="preserve">direct.home</w:t>
      </w:r>
    </w:p>
    <w:p>
      <w:pPr>
        <w:pStyle w:val="Compact"/>
        <w:numPr>
          <w:numId w:val="1002"/>
          <w:ilvl w:val="0"/>
        </w:numPr>
      </w:pPr>
      <w:r>
        <w:t xml:space="preserve">direct.home.lift</w:t>
      </w:r>
    </w:p>
    <w:p>
      <w:pPr>
        <w:pStyle w:val="Compact"/>
        <w:numPr>
          <w:numId w:val="1002"/>
          <w:ilvl w:val="0"/>
        </w:numPr>
      </w:pPr>
      <w:r>
        <w:t xml:space="preserve">direct.home.lift.low.bound</w:t>
      </w:r>
    </w:p>
    <w:p>
      <w:pPr>
        <w:pStyle w:val="Compact"/>
        <w:numPr>
          <w:numId w:val="1002"/>
          <w:ilvl w:val="0"/>
        </w:numPr>
      </w:pPr>
      <w:r>
        <w:t xml:space="preserve">direct.home.lift.upper.bound</w:t>
      </w:r>
    </w:p>
    <w:p>
      <w:pPr>
        <w:pStyle w:val="Compact"/>
        <w:numPr>
          <w:numId w:val="1002"/>
          <w:ilvl w:val="0"/>
        </w:numPr>
      </w:pPr>
      <w:r>
        <w:t xml:space="preserve">direct.all</w:t>
      </w:r>
    </w:p>
    <w:p>
      <w:pPr>
        <w:pStyle w:val="Compact"/>
        <w:numPr>
          <w:numId w:val="1002"/>
          <w:ilvl w:val="0"/>
        </w:numPr>
      </w:pPr>
      <w:r>
        <w:t xml:space="preserve">direct.all.lift</w:t>
      </w:r>
    </w:p>
    <w:p>
      <w:pPr>
        <w:pStyle w:val="Compact"/>
        <w:numPr>
          <w:numId w:val="1002"/>
          <w:ilvl w:val="0"/>
        </w:numPr>
      </w:pPr>
      <w:r>
        <w:t xml:space="preserve">direct.all.lift.low.bound</w:t>
      </w:r>
    </w:p>
    <w:p>
      <w:pPr>
        <w:pStyle w:val="Compact"/>
        <w:numPr>
          <w:numId w:val="1002"/>
          <w:ilvl w:val="0"/>
        </w:numPr>
      </w:pPr>
      <w:r>
        <w:t xml:space="preserve">direct.all.lift.upper.bound</w:t>
      </w:r>
    </w:p>
    <w:p>
      <w:pPr>
        <w:pStyle w:val="Compact"/>
        <w:numPr>
          <w:numId w:val="1002"/>
          <w:ilvl w:val="0"/>
        </w:numPr>
      </w:pPr>
      <w:r>
        <w:t xml:space="preserve">paid.brand</w:t>
      </w:r>
    </w:p>
    <w:p>
      <w:pPr>
        <w:pStyle w:val="Compact"/>
        <w:numPr>
          <w:numId w:val="1002"/>
          <w:ilvl w:val="0"/>
        </w:numPr>
      </w:pPr>
      <w:r>
        <w:t xml:space="preserve">paid.brand.lift</w:t>
      </w:r>
    </w:p>
    <w:p>
      <w:pPr>
        <w:pStyle w:val="Compact"/>
        <w:numPr>
          <w:numId w:val="1002"/>
          <w:ilvl w:val="0"/>
        </w:numPr>
      </w:pPr>
      <w:r>
        <w:t xml:space="preserve">paid.brand.lift.low.bound</w:t>
      </w:r>
    </w:p>
    <w:p>
      <w:pPr>
        <w:pStyle w:val="Compact"/>
        <w:numPr>
          <w:numId w:val="1002"/>
          <w:ilvl w:val="0"/>
        </w:numPr>
      </w:pPr>
      <w:r>
        <w:t xml:space="preserve">paid.brand.lift.upper.bound</w:t>
      </w:r>
    </w:p>
    <w:p>
      <w:r>
        <w:t xml:space="preserve">The report elaborates further, but the lift values are only directionally accurate approximations. The lower and upper bounds and produced using the TV spending coefficient confidence interval endpoints with a 80% confidence level.</w:t>
      </w:r>
    </w:p>
    <w:p>
      <w:pPr>
        <w:pStyle w:val="Heading3"/>
      </w:pPr>
      <w:bookmarkStart w:id="24" w:name="tv_channel_models_lite.rmd"/>
      <w:bookmarkEnd w:id="24"/>
      <w:r>
        <w:t xml:space="preserve">TV_channel_models_lite.Rmd</w:t>
      </w:r>
    </w:p>
    <w:p>
      <w:r>
        <w:t xml:space="preserve">This script must be run from Rstudio, an R integrated development environment. It will produce a presentation-ready report with diagnostics and model information in an appendix.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523e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356709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TV Channel Forecast Documentation</dc:title>
  <dc:creator>Jeffrey Uslan</dc:creator>
  <dcterms:created xsi:type="dcterms:W3CDTF">2015-11-13</dcterms:created>
  <dcterms:modified xsi:type="dcterms:W3CDTF">2015-11-13</dcterms:modified>
</cp:coreProperties>
</file>