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E1A" w:rsidRPr="00847D25" w:rsidRDefault="00C81E1A" w:rsidP="00847D25">
      <w:pPr>
        <w:rPr>
          <w:rFonts w:cstheme="minorHAnsi"/>
          <w:sz w:val="24"/>
          <w:szCs w:val="24"/>
        </w:rPr>
      </w:pPr>
      <w:bookmarkStart w:id="0" w:name="_GoBack"/>
      <w:bookmarkEnd w:id="0"/>
      <w:r w:rsidRPr="00847D25">
        <w:rPr>
          <w:rFonts w:cstheme="minorHAnsi"/>
          <w:sz w:val="24"/>
          <w:szCs w:val="24"/>
        </w:rPr>
        <w:t>Assisting in liquidity risk oversight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Review and </w:t>
      </w:r>
      <w:proofErr w:type="gramStart"/>
      <w:r w:rsidRPr="00847D25">
        <w:rPr>
          <w:rFonts w:cstheme="minorHAnsi"/>
          <w:sz w:val="24"/>
          <w:szCs w:val="24"/>
        </w:rPr>
        <w:t>challenge front business units</w:t>
      </w:r>
      <w:proofErr w:type="gramEnd"/>
      <w:r w:rsidRPr="00847D25">
        <w:rPr>
          <w:rFonts w:cstheme="minorHAnsi"/>
          <w:sz w:val="24"/>
          <w:szCs w:val="24"/>
        </w:rPr>
        <w:t>’ liquidity risk assessment and liquidity risk management practice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Enhance and improve </w:t>
      </w:r>
      <w:proofErr w:type="gramStart"/>
      <w:r w:rsidRPr="00847D25">
        <w:rPr>
          <w:rFonts w:cstheme="minorHAnsi"/>
          <w:sz w:val="24"/>
          <w:szCs w:val="24"/>
        </w:rPr>
        <w:t>liquidity risk management process</w:t>
      </w:r>
      <w:proofErr w:type="gramEnd"/>
      <w:r w:rsidRPr="00847D25">
        <w:rPr>
          <w:rFonts w:cstheme="minorHAnsi"/>
          <w:sz w:val="24"/>
          <w:szCs w:val="24"/>
        </w:rPr>
        <w:t xml:space="preserve"> and procedures, asset liability and funding management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Implement and enhancing regulatory required reports and existing framework 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Identify, measure, monitor and track liquidity risk exposure and analyzing future trends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Building capabilities in liquidity risk data and analysis including exposure, key risk indicator and other risk metrics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2D73AF" w:rsidRDefault="00C81E1A" w:rsidP="002D73AF">
      <w:pPr>
        <w:rPr>
          <w:rFonts w:cstheme="minorHAnsi"/>
          <w:sz w:val="24"/>
          <w:szCs w:val="24"/>
        </w:rPr>
      </w:pPr>
      <w:r w:rsidRPr="002D73AF">
        <w:rPr>
          <w:rFonts w:cstheme="minorHAnsi"/>
          <w:sz w:val="24"/>
          <w:szCs w:val="24"/>
        </w:rPr>
        <w:t>Review and Challenge: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FR2052a Report</w:t>
      </w:r>
      <w:r w:rsidR="00847D25">
        <w:rPr>
          <w:rFonts w:cstheme="minorHAnsi"/>
          <w:sz w:val="24"/>
          <w:szCs w:val="24"/>
        </w:rPr>
        <w:t xml:space="preserve"> Review</w:t>
      </w:r>
    </w:p>
    <w:p w:rsidR="00C81E1A" w:rsidRPr="00847D25" w:rsidRDefault="00C81E1A" w:rsidP="00847D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Data Integrity</w:t>
      </w:r>
    </w:p>
    <w:p w:rsidR="00C81E1A" w:rsidRPr="00847D25" w:rsidRDefault="00C81E1A" w:rsidP="00847D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Operation Deposit and Non-Operation Funding</w:t>
      </w:r>
    </w:p>
    <w:p w:rsidR="00C81E1A" w:rsidRPr="00847D25" w:rsidRDefault="00C81E1A" w:rsidP="00847D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Asset Haircuts</w:t>
      </w:r>
    </w:p>
    <w:p w:rsidR="00C81E1A" w:rsidRPr="00847D25" w:rsidRDefault="00C81E1A" w:rsidP="00847D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FR2052a and LCR Calculation</w:t>
      </w:r>
    </w:p>
    <w:p w:rsidR="00C81E1A" w:rsidRPr="00847D25" w:rsidRDefault="00C81E1A" w:rsidP="00847D2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LCR trends and variance analysis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Liquidity Stress Testing </w:t>
      </w:r>
      <w:r w:rsidR="00847D25">
        <w:rPr>
          <w:rFonts w:cstheme="minorHAnsi"/>
          <w:sz w:val="24"/>
          <w:szCs w:val="24"/>
        </w:rPr>
        <w:t>Model Review</w:t>
      </w:r>
    </w:p>
    <w:p w:rsidR="00C81E1A" w:rsidRPr="00847D25" w:rsidRDefault="00C81E1A" w:rsidP="00847D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Operational Deposit Methodology</w:t>
      </w:r>
    </w:p>
    <w:p w:rsidR="00C81E1A" w:rsidRPr="00847D25" w:rsidRDefault="00C81E1A" w:rsidP="00847D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Daily Cashflow</w:t>
      </w:r>
    </w:p>
    <w:p w:rsidR="00C81E1A" w:rsidRPr="00847D25" w:rsidRDefault="00C81E1A" w:rsidP="00847D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lastRenderedPageBreak/>
        <w:t>CPDP</w:t>
      </w:r>
    </w:p>
    <w:p w:rsidR="00C81E1A" w:rsidRPr="00847D25" w:rsidRDefault="00C81E1A" w:rsidP="00847D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Security Haircuts </w:t>
      </w:r>
    </w:p>
    <w:p w:rsidR="00C81E1A" w:rsidRPr="00847D25" w:rsidRDefault="00C81E1A" w:rsidP="00847D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Term Deposit early remediation and rollover behavior </w:t>
      </w:r>
    </w:p>
    <w:p w:rsidR="00C81E1A" w:rsidRPr="00847D25" w:rsidRDefault="00C81E1A" w:rsidP="00847D2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Credit and Liquidity Facility (Loan Commitment and Standby LC)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Cash Flow Projection</w:t>
      </w:r>
      <w:r w:rsidR="00847D25">
        <w:rPr>
          <w:rFonts w:cstheme="minorHAnsi"/>
          <w:sz w:val="24"/>
          <w:szCs w:val="24"/>
        </w:rPr>
        <w:t xml:space="preserve"> Review</w:t>
      </w:r>
    </w:p>
    <w:p w:rsidR="00C81E1A" w:rsidRPr="0059478E" w:rsidRDefault="00C81E1A" w:rsidP="005947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9478E">
        <w:rPr>
          <w:rFonts w:cstheme="minorHAnsi"/>
          <w:sz w:val="24"/>
          <w:szCs w:val="24"/>
        </w:rPr>
        <w:t xml:space="preserve">Accuracy </w:t>
      </w:r>
      <w:r w:rsidR="00847D25" w:rsidRPr="0059478E">
        <w:rPr>
          <w:rFonts w:cstheme="minorHAnsi"/>
          <w:sz w:val="24"/>
          <w:szCs w:val="24"/>
        </w:rPr>
        <w:t>of the cash flow projection results</w:t>
      </w:r>
    </w:p>
    <w:p w:rsidR="00847D25" w:rsidRPr="0059478E" w:rsidRDefault="00847D25" w:rsidP="005947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9478E">
        <w:rPr>
          <w:rFonts w:cstheme="minorHAnsi"/>
          <w:sz w:val="24"/>
          <w:szCs w:val="24"/>
        </w:rPr>
        <w:t>Enhance the current approach and/or process</w:t>
      </w:r>
    </w:p>
    <w:p w:rsidR="00C81E1A" w:rsidRPr="0059478E" w:rsidRDefault="00C81E1A" w:rsidP="0059478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9478E">
        <w:rPr>
          <w:rFonts w:cstheme="minorHAnsi"/>
          <w:sz w:val="24"/>
          <w:szCs w:val="24"/>
        </w:rPr>
        <w:t>Kick-Off Memo and Policy 4.4</w:t>
      </w:r>
    </w:p>
    <w:p w:rsidR="00C81E1A" w:rsidRDefault="00C81E1A" w:rsidP="00847D25">
      <w:pPr>
        <w:rPr>
          <w:rFonts w:cstheme="minorHAnsi"/>
          <w:sz w:val="24"/>
          <w:szCs w:val="24"/>
        </w:rPr>
      </w:pPr>
    </w:p>
    <w:p w:rsidR="00847D25" w:rsidRDefault="00847D25" w:rsidP="00847D25">
      <w:pPr>
        <w:rPr>
          <w:rFonts w:cstheme="minorHAnsi"/>
          <w:sz w:val="24"/>
          <w:szCs w:val="24"/>
        </w:rPr>
      </w:pPr>
    </w:p>
    <w:p w:rsidR="00847D25" w:rsidRDefault="00847D25" w:rsidP="00847D25">
      <w:pPr>
        <w:rPr>
          <w:rFonts w:cstheme="minorHAnsi"/>
          <w:sz w:val="24"/>
          <w:szCs w:val="24"/>
        </w:rPr>
      </w:pPr>
    </w:p>
    <w:p w:rsidR="00847D25" w:rsidRPr="00847D25" w:rsidRDefault="00847D25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RAS &amp; KRI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Policy 4.2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CFP &amp; EWI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Policy 4.5.2 &amp; 4.6.4</w:t>
      </w:r>
    </w:p>
    <w:p w:rsidR="00C81E1A" w:rsidRPr="00847D25" w:rsidRDefault="00C81E1A" w:rsidP="007A5115"/>
    <w:p w:rsidR="00C81E1A" w:rsidRPr="00847D25" w:rsidRDefault="00C81E1A" w:rsidP="007A5115"/>
    <w:p w:rsidR="00C81E1A" w:rsidRPr="00847D25" w:rsidRDefault="00C81E1A" w:rsidP="007A5115"/>
    <w:p w:rsidR="00C81E1A" w:rsidRPr="00847D25" w:rsidRDefault="00847D25" w:rsidP="007A5115">
      <w:r>
        <w:t>Monitoring</w:t>
      </w:r>
    </w:p>
    <w:p w:rsidR="00C81E1A" w:rsidRPr="00847D25" w:rsidRDefault="00C81E1A" w:rsidP="007A5115"/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Liquidity Profile, Position and Exposure </w:t>
      </w:r>
      <w:r w:rsidR="00847D25">
        <w:rPr>
          <w:rFonts w:cstheme="minorHAnsi"/>
          <w:sz w:val="24"/>
          <w:szCs w:val="24"/>
        </w:rPr>
        <w:t>Monitoring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proofErr w:type="gramStart"/>
      <w:r w:rsidRPr="00847D25">
        <w:rPr>
          <w:rFonts w:cstheme="minorHAnsi"/>
          <w:sz w:val="24"/>
          <w:szCs w:val="24"/>
        </w:rPr>
        <w:t>Liquidity Profile: breakdown by inflow and outflow, maturity, product, internal/external and counterparty type.</w:t>
      </w:r>
      <w:proofErr w:type="gramEnd"/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proofErr w:type="gramStart"/>
      <w:r w:rsidRPr="00847D25">
        <w:rPr>
          <w:rFonts w:cstheme="minorHAnsi"/>
          <w:sz w:val="24"/>
          <w:szCs w:val="24"/>
        </w:rPr>
        <w:t>Liquidity Position: LCR / Buffer Cushion Ratio trends monitor and variance analysis (major driver).</w:t>
      </w:r>
      <w:proofErr w:type="gramEnd"/>
      <w:r w:rsidRPr="00847D25">
        <w:rPr>
          <w:rFonts w:cstheme="minorHAnsi"/>
          <w:sz w:val="24"/>
          <w:szCs w:val="24"/>
        </w:rPr>
        <w:t xml:space="preserve"> 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proofErr w:type="gramStart"/>
      <w:r w:rsidRPr="00847D25">
        <w:rPr>
          <w:rFonts w:cstheme="minorHAnsi"/>
          <w:sz w:val="24"/>
          <w:szCs w:val="24"/>
        </w:rPr>
        <w:t>Liquidity Exposure: Deposit Composition and Runoff Structure.</w:t>
      </w:r>
      <w:proofErr w:type="gramEnd"/>
      <w:r w:rsidRPr="00847D25">
        <w:rPr>
          <w:rFonts w:cstheme="minorHAnsi"/>
          <w:sz w:val="24"/>
          <w:szCs w:val="24"/>
        </w:rPr>
        <w:t xml:space="preserve"> </w:t>
      </w:r>
      <w:proofErr w:type="gramStart"/>
      <w:r w:rsidRPr="00847D25">
        <w:rPr>
          <w:rFonts w:cstheme="minorHAnsi"/>
          <w:sz w:val="24"/>
          <w:szCs w:val="24"/>
        </w:rPr>
        <w:t>Funding Concertation (Top 5 Depositors).</w:t>
      </w:r>
      <w:proofErr w:type="gramEnd"/>
      <w:r w:rsidRPr="00847D25">
        <w:rPr>
          <w:rFonts w:cstheme="minorHAnsi"/>
          <w:sz w:val="24"/>
          <w:szCs w:val="24"/>
        </w:rPr>
        <w:t xml:space="preserve"> Credit and Liquidity Facility Collateral Ratio (Off-Balance Exposure)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Liquidity Model Performance: LCR Benchmark and LST Production Validation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Investment Collateral Management Securities available to </w:t>
      </w:r>
      <w:proofErr w:type="gramStart"/>
      <w:r w:rsidRPr="00847D25">
        <w:rPr>
          <w:rFonts w:cstheme="minorHAnsi"/>
          <w:sz w:val="24"/>
          <w:szCs w:val="24"/>
        </w:rPr>
        <w:t>be pledged</w:t>
      </w:r>
      <w:proofErr w:type="gramEnd"/>
      <w:r w:rsidRPr="00847D25">
        <w:rPr>
          <w:rFonts w:cstheme="minorHAnsi"/>
          <w:sz w:val="24"/>
          <w:szCs w:val="24"/>
        </w:rPr>
        <w:t xml:space="preserve"> as collateral (Unencumbered and Liquidity Buffer)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Intraday Funding Activity – Fedwire Security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Pro-activity analyzes the potential impact of regulatory or market change that may alter the Bank’s liquidity risk profile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Securities Profile and Position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Price Risk Policy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Data Analysis: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Fed Net Debt Cap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Liquidity Position (Fed Cash) Volatility Major Driver and Seasonality Factor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Large Clients Behavior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Model: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 xml:space="preserve">Benchmark Validation Model </w:t>
      </w: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</w:p>
    <w:p w:rsidR="00C81E1A" w:rsidRPr="00847D25" w:rsidRDefault="00C81E1A" w:rsidP="00847D25">
      <w:pPr>
        <w:rPr>
          <w:rFonts w:cstheme="minorHAnsi"/>
          <w:sz w:val="24"/>
          <w:szCs w:val="24"/>
        </w:rPr>
      </w:pPr>
      <w:r w:rsidRPr="00847D25">
        <w:rPr>
          <w:rFonts w:cstheme="minorHAnsi"/>
          <w:sz w:val="24"/>
          <w:szCs w:val="24"/>
        </w:rPr>
        <w:t>Fed Cash Segmentation Model</w:t>
      </w:r>
    </w:p>
    <w:sectPr w:rsidR="00C81E1A" w:rsidRPr="0084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F7803"/>
    <w:multiLevelType w:val="hybridMultilevel"/>
    <w:tmpl w:val="F5321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B393B"/>
    <w:multiLevelType w:val="hybridMultilevel"/>
    <w:tmpl w:val="810C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B0D5F"/>
    <w:multiLevelType w:val="hybridMultilevel"/>
    <w:tmpl w:val="DF24E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AE4">
      <w:numFmt w:val="bullet"/>
      <w:lvlText w:val="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25594"/>
    <w:multiLevelType w:val="hybridMultilevel"/>
    <w:tmpl w:val="D10C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2143A"/>
    <w:multiLevelType w:val="hybridMultilevel"/>
    <w:tmpl w:val="6D221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1A"/>
    <w:rsid w:val="0002313A"/>
    <w:rsid w:val="002D73AF"/>
    <w:rsid w:val="003B0376"/>
    <w:rsid w:val="00442BFB"/>
    <w:rsid w:val="005019B1"/>
    <w:rsid w:val="0059478E"/>
    <w:rsid w:val="007A5115"/>
    <w:rsid w:val="00847D25"/>
    <w:rsid w:val="00C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7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47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SHUNAN</dc:creator>
  <cp:lastModifiedBy>LIU, SHUNAN</cp:lastModifiedBy>
  <cp:revision>3</cp:revision>
  <dcterms:created xsi:type="dcterms:W3CDTF">2019-03-13T13:00:00Z</dcterms:created>
  <dcterms:modified xsi:type="dcterms:W3CDTF">2019-03-13T17:32:00Z</dcterms:modified>
</cp:coreProperties>
</file>