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92" w:rsidRDefault="00CD6D92" w:rsidP="00182FDA">
      <w:pPr>
        <w:pStyle w:val="Heading1"/>
        <w:spacing w:after="240"/>
        <w:rPr>
          <w:rStyle w:val="SubtleReference"/>
        </w:rPr>
      </w:pPr>
      <w:r>
        <w:rPr>
          <w:rStyle w:val="SubtleReference"/>
        </w:rPr>
        <w:t>BOC Multiplier for Key Accounts</w:t>
      </w:r>
    </w:p>
    <w:p w:rsidR="00CD6D92" w:rsidRPr="00CD6D92" w:rsidRDefault="00CD6D92" w:rsidP="00CD6D92">
      <w:r>
        <w:rPr>
          <w:noProof/>
        </w:rPr>
        <w:drawing>
          <wp:inline distT="0" distB="0" distL="0" distR="0" wp14:anchorId="4FEF6C06" wp14:editId="155DA54F">
            <wp:extent cx="5943600" cy="30759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82FDA" w:rsidRPr="00182FDA" w:rsidRDefault="00182FDA" w:rsidP="00182FDA">
      <w:pPr>
        <w:pStyle w:val="Heading1"/>
        <w:spacing w:after="240"/>
        <w:rPr>
          <w:rStyle w:val="SubtleReference"/>
        </w:rPr>
      </w:pPr>
      <w:r w:rsidRPr="00182FDA">
        <w:rPr>
          <w:rStyle w:val="SubtleReference"/>
        </w:rPr>
        <w:t>The ClearingHouse Study</w:t>
      </w:r>
    </w:p>
    <w:p w:rsidR="00182FDA" w:rsidRPr="00182FDA" w:rsidRDefault="00182FDA" w:rsidP="00182FDA">
      <w:pPr>
        <w:pStyle w:val="NormalWeb"/>
        <w:spacing w:before="0" w:beforeAutospacing="0" w:after="0" w:afterAutospacing="0"/>
        <w:ind w:left="14"/>
        <w:rPr>
          <w:rFonts w:ascii="Arial" w:hAnsi="Arial" w:cs="Arial"/>
          <w:b/>
          <w:sz w:val="22"/>
          <w:szCs w:val="22"/>
        </w:rPr>
      </w:pPr>
      <w:r w:rsidRPr="00182FDA">
        <w:rPr>
          <w:rFonts w:ascii="Arial" w:hAnsi="Arial" w:cs="Arial"/>
          <w:b/>
          <w:spacing w:val="5"/>
          <w:sz w:val="22"/>
          <w:szCs w:val="22"/>
        </w:rPr>
        <w:t>W</w:t>
      </w:r>
      <w:r w:rsidRPr="00182FDA">
        <w:rPr>
          <w:rFonts w:ascii="Arial" w:hAnsi="Arial" w:cs="Arial"/>
          <w:b/>
          <w:spacing w:val="-3"/>
          <w:sz w:val="22"/>
          <w:szCs w:val="22"/>
        </w:rPr>
        <w:t>o</w:t>
      </w:r>
      <w:r w:rsidRPr="00182FDA">
        <w:rPr>
          <w:rFonts w:ascii="Arial" w:hAnsi="Arial" w:cs="Arial"/>
          <w:b/>
          <w:spacing w:val="-2"/>
          <w:sz w:val="22"/>
          <w:szCs w:val="22"/>
        </w:rPr>
        <w:t>r</w:t>
      </w:r>
      <w:r w:rsidRPr="00182FDA">
        <w:rPr>
          <w:rFonts w:ascii="Arial" w:hAnsi="Arial" w:cs="Arial"/>
          <w:b/>
          <w:spacing w:val="-3"/>
          <w:sz w:val="22"/>
          <w:szCs w:val="22"/>
        </w:rPr>
        <w:t>s</w:t>
      </w:r>
      <w:r w:rsidRPr="00182FDA">
        <w:rPr>
          <w:rFonts w:ascii="Arial" w:hAnsi="Arial" w:cs="Arial"/>
          <w:b/>
          <w:sz w:val="22"/>
          <w:szCs w:val="22"/>
        </w:rPr>
        <w:t>t</w:t>
      </w:r>
      <w:r w:rsidRPr="00182FDA">
        <w:rPr>
          <w:rFonts w:ascii="Arial" w:hAnsi="Arial" w:cs="Arial"/>
          <w:b/>
          <w:spacing w:val="-1"/>
          <w:sz w:val="22"/>
          <w:szCs w:val="22"/>
        </w:rPr>
        <w:t xml:space="preserve"> 3</w:t>
      </w:r>
      <w:r w:rsidRPr="00182FDA">
        <w:rPr>
          <w:rFonts w:ascii="Arial" w:hAnsi="Arial" w:cs="Arial"/>
          <w:b/>
          <w:spacing w:val="-3"/>
          <w:sz w:val="22"/>
          <w:szCs w:val="22"/>
        </w:rPr>
        <w:t>0</w:t>
      </w:r>
      <w:r w:rsidRPr="00182FDA">
        <w:rPr>
          <w:rFonts w:ascii="Arial" w:hAnsi="Arial" w:cs="Arial"/>
          <w:b/>
          <w:sz w:val="22"/>
          <w:szCs w:val="22"/>
        </w:rPr>
        <w:t>-</w:t>
      </w:r>
      <w:r w:rsidRPr="00182FDA">
        <w:rPr>
          <w:rFonts w:ascii="Arial" w:hAnsi="Arial" w:cs="Arial"/>
          <w:b/>
          <w:spacing w:val="-1"/>
          <w:sz w:val="22"/>
          <w:szCs w:val="22"/>
        </w:rPr>
        <w:t>da</w:t>
      </w:r>
      <w:r w:rsidRPr="00182FDA">
        <w:rPr>
          <w:rFonts w:ascii="Arial" w:hAnsi="Arial" w:cs="Arial"/>
          <w:b/>
          <w:sz w:val="22"/>
          <w:szCs w:val="22"/>
        </w:rPr>
        <w:t>y</w:t>
      </w:r>
      <w:r w:rsidRPr="00182FDA">
        <w:rPr>
          <w:rFonts w:ascii="Arial" w:hAnsi="Arial" w:cs="Arial"/>
          <w:b/>
          <w:spacing w:val="-2"/>
          <w:sz w:val="22"/>
          <w:szCs w:val="22"/>
        </w:rPr>
        <w:t xml:space="preserve"> </w:t>
      </w:r>
      <w:r w:rsidRPr="00182FDA">
        <w:rPr>
          <w:rFonts w:ascii="Arial" w:hAnsi="Arial" w:cs="Arial"/>
          <w:b/>
          <w:spacing w:val="-4"/>
          <w:sz w:val="22"/>
          <w:szCs w:val="22"/>
        </w:rPr>
        <w:t>w</w:t>
      </w:r>
      <w:r w:rsidRPr="00182FDA">
        <w:rPr>
          <w:rFonts w:ascii="Arial" w:hAnsi="Arial" w:cs="Arial"/>
          <w:b/>
          <w:spacing w:val="-1"/>
          <w:sz w:val="22"/>
          <w:szCs w:val="22"/>
        </w:rPr>
        <w:t>hole</w:t>
      </w:r>
      <w:r w:rsidRPr="00182FDA">
        <w:rPr>
          <w:rFonts w:ascii="Arial" w:hAnsi="Arial" w:cs="Arial"/>
          <w:b/>
          <w:sz w:val="22"/>
          <w:szCs w:val="22"/>
        </w:rPr>
        <w:t>s</w:t>
      </w:r>
      <w:r w:rsidRPr="00182FDA">
        <w:rPr>
          <w:rFonts w:ascii="Arial" w:hAnsi="Arial" w:cs="Arial"/>
          <w:b/>
          <w:spacing w:val="2"/>
          <w:sz w:val="22"/>
          <w:szCs w:val="22"/>
        </w:rPr>
        <w:t>a</w:t>
      </w:r>
      <w:r w:rsidRPr="00182FDA">
        <w:rPr>
          <w:rFonts w:ascii="Arial" w:hAnsi="Arial" w:cs="Arial"/>
          <w:b/>
          <w:spacing w:val="-1"/>
          <w:sz w:val="22"/>
          <w:szCs w:val="22"/>
        </w:rPr>
        <w:t>l</w:t>
      </w:r>
      <w:r w:rsidRPr="00182FDA">
        <w:rPr>
          <w:rFonts w:ascii="Arial" w:hAnsi="Arial" w:cs="Arial"/>
          <w:b/>
          <w:sz w:val="22"/>
          <w:szCs w:val="22"/>
        </w:rPr>
        <w:t>e r</w:t>
      </w:r>
      <w:r w:rsidRPr="00182FDA">
        <w:rPr>
          <w:rFonts w:ascii="Arial" w:hAnsi="Arial" w:cs="Arial"/>
          <w:b/>
          <w:spacing w:val="-1"/>
          <w:sz w:val="22"/>
          <w:szCs w:val="22"/>
        </w:rPr>
        <w:t>u</w:t>
      </w:r>
      <w:r w:rsidRPr="00182FDA">
        <w:rPr>
          <w:rFonts w:ascii="Arial" w:hAnsi="Arial" w:cs="Arial"/>
          <w:b/>
          <w:spacing w:val="-3"/>
          <w:sz w:val="22"/>
          <w:szCs w:val="22"/>
        </w:rPr>
        <w:t>n</w:t>
      </w:r>
      <w:r w:rsidRPr="00182FDA">
        <w:rPr>
          <w:rFonts w:ascii="Arial" w:hAnsi="Arial" w:cs="Arial"/>
          <w:b/>
          <w:sz w:val="22"/>
          <w:szCs w:val="22"/>
        </w:rPr>
        <w:t>-</w:t>
      </w:r>
      <w:r w:rsidRPr="00182FDA">
        <w:rPr>
          <w:rFonts w:ascii="Arial" w:hAnsi="Arial" w:cs="Arial"/>
          <w:b/>
          <w:spacing w:val="-3"/>
          <w:sz w:val="22"/>
          <w:szCs w:val="22"/>
        </w:rPr>
        <w:t>o</w:t>
      </w:r>
      <w:r w:rsidRPr="00182FDA">
        <w:rPr>
          <w:rFonts w:ascii="Arial" w:hAnsi="Arial" w:cs="Arial"/>
          <w:b/>
          <w:spacing w:val="1"/>
          <w:sz w:val="22"/>
          <w:szCs w:val="22"/>
        </w:rPr>
        <w:t>ff</w:t>
      </w:r>
      <w:r w:rsidRPr="00182FDA">
        <w:rPr>
          <w:rFonts w:ascii="Arial" w:hAnsi="Arial" w:cs="Arial"/>
          <w:b/>
          <w:sz w:val="22"/>
          <w:szCs w:val="22"/>
        </w:rPr>
        <w:t>s</w:t>
      </w:r>
      <w:r w:rsidRPr="00182FDA">
        <w:rPr>
          <w:rFonts w:ascii="Arial" w:hAnsi="Arial" w:cs="Arial"/>
          <w:b/>
          <w:spacing w:val="-4"/>
          <w:sz w:val="22"/>
          <w:szCs w:val="22"/>
        </w:rPr>
        <w:t xml:space="preserve"> </w:t>
      </w:r>
      <w:r w:rsidRPr="00182FDA">
        <w:rPr>
          <w:rFonts w:ascii="Arial" w:hAnsi="Arial" w:cs="Arial"/>
          <w:b/>
          <w:spacing w:val="-3"/>
          <w:sz w:val="22"/>
          <w:szCs w:val="22"/>
        </w:rPr>
        <w:t>o</w:t>
      </w:r>
      <w:r w:rsidRPr="00182FDA">
        <w:rPr>
          <w:rFonts w:ascii="Arial" w:hAnsi="Arial" w:cs="Arial"/>
          <w:b/>
          <w:sz w:val="22"/>
          <w:szCs w:val="22"/>
        </w:rPr>
        <w:t>f</w:t>
      </w:r>
      <w:r w:rsidRPr="00182FDA">
        <w:rPr>
          <w:rFonts w:ascii="Arial" w:hAnsi="Arial" w:cs="Arial"/>
          <w:b/>
          <w:spacing w:val="-1"/>
          <w:sz w:val="22"/>
          <w:szCs w:val="22"/>
        </w:rPr>
        <w:t xml:space="preserve"> 33</w:t>
      </w:r>
      <w:r w:rsidRPr="00182FDA">
        <w:rPr>
          <w:rFonts w:ascii="Arial" w:hAnsi="Arial" w:cs="Arial"/>
          <w:b/>
          <w:sz w:val="22"/>
          <w:szCs w:val="22"/>
        </w:rPr>
        <w:t>%</w:t>
      </w:r>
      <w:r w:rsidRPr="00182FDA">
        <w:rPr>
          <w:rFonts w:ascii="Arial" w:hAnsi="Arial" w:cs="Arial"/>
          <w:b/>
          <w:spacing w:val="-1"/>
          <w:sz w:val="22"/>
          <w:szCs w:val="22"/>
        </w:rPr>
        <w:t xml:space="preserve"> </w:t>
      </w:r>
      <w:bookmarkStart w:id="0" w:name="_GoBack"/>
      <w:bookmarkEnd w:id="0"/>
      <w:r w:rsidRPr="00182FDA">
        <w:rPr>
          <w:rFonts w:ascii="Arial" w:hAnsi="Arial" w:cs="Arial"/>
          <w:b/>
          <w:spacing w:val="1"/>
          <w:sz w:val="22"/>
          <w:szCs w:val="22"/>
        </w:rPr>
        <w:t>f</w:t>
      </w:r>
      <w:r w:rsidRPr="00182FDA">
        <w:rPr>
          <w:rFonts w:ascii="Arial" w:hAnsi="Arial" w:cs="Arial"/>
          <w:b/>
          <w:spacing w:val="-1"/>
          <w:sz w:val="22"/>
          <w:szCs w:val="22"/>
        </w:rPr>
        <w:t>o</w:t>
      </w:r>
      <w:r w:rsidRPr="00182FDA">
        <w:rPr>
          <w:rFonts w:ascii="Arial" w:hAnsi="Arial" w:cs="Arial"/>
          <w:b/>
          <w:sz w:val="22"/>
          <w:szCs w:val="22"/>
        </w:rPr>
        <w:t>r</w:t>
      </w:r>
      <w:r w:rsidRPr="00182FDA">
        <w:rPr>
          <w:rFonts w:ascii="Arial" w:hAnsi="Arial" w:cs="Arial"/>
          <w:b/>
          <w:spacing w:val="-3"/>
          <w:sz w:val="22"/>
          <w:szCs w:val="22"/>
        </w:rPr>
        <w:t xml:space="preserve"> </w:t>
      </w:r>
      <w:r w:rsidRPr="00182FDA">
        <w:rPr>
          <w:rFonts w:ascii="Arial" w:hAnsi="Arial" w:cs="Arial"/>
          <w:b/>
          <w:spacing w:val="1"/>
          <w:sz w:val="22"/>
          <w:szCs w:val="22"/>
        </w:rPr>
        <w:t>t</w:t>
      </w:r>
      <w:r w:rsidRPr="00182FDA">
        <w:rPr>
          <w:rFonts w:ascii="Arial" w:hAnsi="Arial" w:cs="Arial"/>
          <w:b/>
          <w:spacing w:val="-1"/>
          <w:sz w:val="22"/>
          <w:szCs w:val="22"/>
        </w:rPr>
        <w:t>h</w:t>
      </w:r>
      <w:r w:rsidRPr="00182FDA">
        <w:rPr>
          <w:rFonts w:ascii="Arial" w:hAnsi="Arial" w:cs="Arial"/>
          <w:b/>
          <w:sz w:val="22"/>
          <w:szCs w:val="22"/>
        </w:rPr>
        <w:t>e</w:t>
      </w:r>
      <w:r w:rsidRPr="00182FDA">
        <w:rPr>
          <w:rFonts w:ascii="Arial" w:hAnsi="Arial" w:cs="Arial"/>
          <w:b/>
          <w:spacing w:val="-2"/>
          <w:sz w:val="22"/>
          <w:szCs w:val="22"/>
        </w:rPr>
        <w:t xml:space="preserve"> </w:t>
      </w:r>
      <w:r w:rsidRPr="00182FDA">
        <w:rPr>
          <w:rFonts w:ascii="Arial" w:hAnsi="Arial" w:cs="Arial"/>
          <w:b/>
          <w:spacing w:val="-4"/>
          <w:sz w:val="22"/>
          <w:szCs w:val="22"/>
        </w:rPr>
        <w:t>w</w:t>
      </w:r>
      <w:r w:rsidRPr="00182FDA">
        <w:rPr>
          <w:rFonts w:ascii="Arial" w:hAnsi="Arial" w:cs="Arial"/>
          <w:b/>
          <w:spacing w:val="-1"/>
          <w:sz w:val="22"/>
          <w:szCs w:val="22"/>
        </w:rPr>
        <w:t>o</w:t>
      </w:r>
      <w:r w:rsidRPr="00182FDA">
        <w:rPr>
          <w:rFonts w:ascii="Arial" w:hAnsi="Arial" w:cs="Arial"/>
          <w:b/>
          <w:sz w:val="22"/>
          <w:szCs w:val="22"/>
        </w:rPr>
        <w:t>r</w:t>
      </w:r>
      <w:r w:rsidRPr="00182FDA">
        <w:rPr>
          <w:rFonts w:ascii="Arial" w:hAnsi="Arial" w:cs="Arial"/>
          <w:b/>
          <w:spacing w:val="-3"/>
          <w:sz w:val="22"/>
          <w:szCs w:val="22"/>
        </w:rPr>
        <w:t>s</w:t>
      </w:r>
      <w:r w:rsidRPr="00182FDA">
        <w:rPr>
          <w:rFonts w:ascii="Arial" w:hAnsi="Arial" w:cs="Arial"/>
          <w:b/>
          <w:spacing w:val="1"/>
          <w:sz w:val="22"/>
          <w:szCs w:val="22"/>
        </w:rPr>
        <w:t>t</w:t>
      </w:r>
      <w:r w:rsidRPr="00182FDA">
        <w:rPr>
          <w:rFonts w:ascii="Arial" w:hAnsi="Arial" w:cs="Arial"/>
          <w:b/>
          <w:spacing w:val="-2"/>
          <w:sz w:val="22"/>
          <w:szCs w:val="22"/>
        </w:rPr>
        <w:t>-</w:t>
      </w:r>
      <w:r w:rsidRPr="00182FDA">
        <w:rPr>
          <w:rFonts w:ascii="Arial" w:hAnsi="Arial" w:cs="Arial"/>
          <w:b/>
          <w:sz w:val="22"/>
          <w:szCs w:val="22"/>
        </w:rPr>
        <w:t>c</w:t>
      </w:r>
      <w:r w:rsidRPr="00182FDA">
        <w:rPr>
          <w:rFonts w:ascii="Arial" w:hAnsi="Arial" w:cs="Arial"/>
          <w:b/>
          <w:spacing w:val="-1"/>
          <w:sz w:val="22"/>
          <w:szCs w:val="22"/>
        </w:rPr>
        <w:t>a</w:t>
      </w:r>
      <w:r w:rsidRPr="00182FDA">
        <w:rPr>
          <w:rFonts w:ascii="Arial" w:hAnsi="Arial" w:cs="Arial"/>
          <w:b/>
          <w:sz w:val="22"/>
          <w:szCs w:val="22"/>
        </w:rPr>
        <w:t>se</w:t>
      </w:r>
      <w:r w:rsidRPr="00182FDA">
        <w:rPr>
          <w:rFonts w:ascii="Arial" w:hAnsi="Arial" w:cs="Arial"/>
          <w:b/>
          <w:spacing w:val="-2"/>
          <w:sz w:val="22"/>
          <w:szCs w:val="22"/>
        </w:rPr>
        <w:t xml:space="preserve"> </w:t>
      </w:r>
      <w:r w:rsidRPr="00182FDA">
        <w:rPr>
          <w:rFonts w:ascii="Arial" w:hAnsi="Arial" w:cs="Arial"/>
          <w:b/>
          <w:spacing w:val="-3"/>
          <w:sz w:val="22"/>
          <w:szCs w:val="22"/>
        </w:rPr>
        <w:t>b</w:t>
      </w:r>
      <w:r w:rsidRPr="00182FDA">
        <w:rPr>
          <w:rFonts w:ascii="Arial" w:hAnsi="Arial" w:cs="Arial"/>
          <w:b/>
          <w:spacing w:val="-1"/>
          <w:sz w:val="22"/>
          <w:szCs w:val="22"/>
        </w:rPr>
        <w:t>an</w:t>
      </w:r>
      <w:r w:rsidRPr="00182FDA">
        <w:rPr>
          <w:rFonts w:ascii="Arial" w:hAnsi="Arial" w:cs="Arial"/>
          <w:b/>
          <w:sz w:val="22"/>
          <w:szCs w:val="22"/>
        </w:rPr>
        <w:t>k.</w:t>
      </w:r>
    </w:p>
    <w:p w:rsidR="00182FDA" w:rsidRDefault="00182FDA" w:rsidP="00182FDA">
      <w:pPr>
        <w:pStyle w:val="NormalWeb"/>
        <w:numPr>
          <w:ilvl w:val="0"/>
          <w:numId w:val="1"/>
        </w:numPr>
        <w:spacing w:before="77" w:beforeAutospacing="0" w:after="0" w:afterAutospacing="0" w:line="242" w:lineRule="auto"/>
        <w:ind w:right="202"/>
        <w:rPr>
          <w:rFonts w:ascii="Arial" w:hAnsi="Arial" w:cs="Arial"/>
          <w:sz w:val="22"/>
          <w:szCs w:val="22"/>
        </w:rPr>
      </w:pPr>
      <w:r>
        <w:rPr>
          <w:rFonts w:ascii="Arial" w:hAnsi="Arial" w:cs="Arial"/>
          <w:spacing w:val="-1"/>
          <w:sz w:val="22"/>
          <w:szCs w:val="22"/>
        </w:rPr>
        <w:t>Finan</w:t>
      </w:r>
      <w:r>
        <w:rPr>
          <w:rFonts w:ascii="Arial" w:hAnsi="Arial" w:cs="Arial"/>
          <w:spacing w:val="2"/>
          <w:sz w:val="22"/>
          <w:szCs w:val="22"/>
        </w:rPr>
        <w:t>c</w:t>
      </w:r>
      <w:r>
        <w:rPr>
          <w:rFonts w:ascii="Arial" w:hAnsi="Arial" w:cs="Arial"/>
          <w:spacing w:val="-1"/>
          <w:sz w:val="22"/>
          <w:szCs w:val="22"/>
        </w:rPr>
        <w:t>i</w:t>
      </w:r>
      <w:r>
        <w:rPr>
          <w:rFonts w:ascii="Arial" w:hAnsi="Arial" w:cs="Arial"/>
          <w:spacing w:val="2"/>
          <w:sz w:val="22"/>
          <w:szCs w:val="22"/>
        </w:rPr>
        <w:t>a</w:t>
      </w:r>
      <w:r>
        <w:rPr>
          <w:rFonts w:ascii="Arial" w:hAnsi="Arial" w:cs="Arial"/>
          <w:sz w:val="22"/>
          <w:szCs w:val="22"/>
        </w:rPr>
        <w:t xml:space="preserve">l </w:t>
      </w:r>
      <w:r>
        <w:rPr>
          <w:rFonts w:ascii="Arial" w:hAnsi="Arial" w:cs="Arial"/>
          <w:spacing w:val="-1"/>
          <w:sz w:val="22"/>
          <w:szCs w:val="22"/>
        </w:rPr>
        <w:t>in</w:t>
      </w:r>
      <w:r>
        <w:rPr>
          <w:rFonts w:ascii="Arial" w:hAnsi="Arial" w:cs="Arial"/>
          <w:sz w:val="22"/>
          <w:szCs w:val="22"/>
        </w:rPr>
        <w:t>s</w:t>
      </w:r>
      <w:r>
        <w:rPr>
          <w:rFonts w:ascii="Arial" w:hAnsi="Arial" w:cs="Arial"/>
          <w:spacing w:val="1"/>
          <w:sz w:val="22"/>
          <w:szCs w:val="22"/>
        </w:rPr>
        <w:t>t</w:t>
      </w:r>
      <w:r>
        <w:rPr>
          <w:rFonts w:ascii="Arial" w:hAnsi="Arial" w:cs="Arial"/>
          <w:spacing w:val="-1"/>
          <w:sz w:val="22"/>
          <w:szCs w:val="22"/>
        </w:rPr>
        <w:t>i</w:t>
      </w:r>
      <w:r>
        <w:rPr>
          <w:rFonts w:ascii="Arial" w:hAnsi="Arial" w:cs="Arial"/>
          <w:spacing w:val="1"/>
          <w:sz w:val="22"/>
          <w:szCs w:val="22"/>
        </w:rPr>
        <w:t>t</w:t>
      </w:r>
      <w:r>
        <w:rPr>
          <w:rFonts w:ascii="Arial" w:hAnsi="Arial" w:cs="Arial"/>
          <w:spacing w:val="-3"/>
          <w:sz w:val="22"/>
          <w:szCs w:val="22"/>
        </w:rPr>
        <w:t>u</w:t>
      </w:r>
      <w:r>
        <w:rPr>
          <w:rFonts w:ascii="Arial" w:hAnsi="Arial" w:cs="Arial"/>
          <w:spacing w:val="1"/>
          <w:sz w:val="22"/>
          <w:szCs w:val="22"/>
        </w:rPr>
        <w:t>t</w:t>
      </w:r>
      <w:r>
        <w:rPr>
          <w:rFonts w:ascii="Arial" w:hAnsi="Arial" w:cs="Arial"/>
          <w:spacing w:val="-1"/>
          <w:sz w:val="22"/>
          <w:szCs w:val="22"/>
        </w:rPr>
        <w:t>ion</w:t>
      </w:r>
      <w:r>
        <w:rPr>
          <w:rFonts w:ascii="Arial" w:hAnsi="Arial" w:cs="Arial"/>
          <w:sz w:val="22"/>
          <w:szCs w:val="22"/>
        </w:rPr>
        <w:t>s:</w:t>
      </w:r>
      <w:r>
        <w:rPr>
          <w:rFonts w:ascii="Arial" w:hAnsi="Arial" w:cs="Arial"/>
          <w:spacing w:val="-1"/>
          <w:sz w:val="22"/>
          <w:szCs w:val="22"/>
        </w:rPr>
        <w:t xml:space="preserve"> la</w:t>
      </w:r>
      <w:r>
        <w:rPr>
          <w:rFonts w:ascii="Arial" w:hAnsi="Arial" w:cs="Arial"/>
          <w:spacing w:val="-2"/>
          <w:sz w:val="22"/>
          <w:szCs w:val="22"/>
        </w:rPr>
        <w:t>r</w:t>
      </w:r>
      <w:r>
        <w:rPr>
          <w:rFonts w:ascii="Arial" w:hAnsi="Arial" w:cs="Arial"/>
          <w:spacing w:val="2"/>
          <w:sz w:val="22"/>
          <w:szCs w:val="22"/>
        </w:rPr>
        <w:t>g</w:t>
      </w:r>
      <w:r>
        <w:rPr>
          <w:rFonts w:ascii="Arial" w:hAnsi="Arial" w:cs="Arial"/>
          <w:spacing w:val="-1"/>
          <w:sz w:val="22"/>
          <w:szCs w:val="22"/>
        </w:rPr>
        <w:t>el</w:t>
      </w:r>
      <w:r>
        <w:rPr>
          <w:rFonts w:ascii="Arial" w:hAnsi="Arial" w:cs="Arial"/>
          <w:sz w:val="22"/>
          <w:szCs w:val="22"/>
        </w:rPr>
        <w:t>y</w:t>
      </w:r>
      <w:r>
        <w:rPr>
          <w:rFonts w:ascii="Arial" w:hAnsi="Arial" w:cs="Arial"/>
          <w:spacing w:val="-2"/>
          <w:sz w:val="22"/>
          <w:szCs w:val="22"/>
        </w:rPr>
        <w:t xml:space="preserve"> </w:t>
      </w:r>
      <w:r>
        <w:rPr>
          <w:rFonts w:ascii="Arial" w:hAnsi="Arial" w:cs="Arial"/>
          <w:spacing w:val="-1"/>
          <w:sz w:val="22"/>
          <w:szCs w:val="22"/>
        </w:rPr>
        <w:t>ali</w:t>
      </w:r>
      <w:r>
        <w:rPr>
          <w:rFonts w:ascii="Arial" w:hAnsi="Arial" w:cs="Arial"/>
          <w:spacing w:val="2"/>
          <w:sz w:val="22"/>
          <w:szCs w:val="22"/>
        </w:rPr>
        <w:t>g</w:t>
      </w:r>
      <w:r>
        <w:rPr>
          <w:rFonts w:ascii="Arial" w:hAnsi="Arial" w:cs="Arial"/>
          <w:spacing w:val="-1"/>
          <w:sz w:val="22"/>
          <w:szCs w:val="22"/>
        </w:rPr>
        <w:t>ne</w:t>
      </w:r>
      <w:r>
        <w:rPr>
          <w:rFonts w:ascii="Arial" w:hAnsi="Arial" w:cs="Arial"/>
          <w:sz w:val="22"/>
          <w:szCs w:val="22"/>
        </w:rPr>
        <w:t xml:space="preserve">d </w:t>
      </w:r>
      <w:r>
        <w:rPr>
          <w:rFonts w:ascii="Arial" w:hAnsi="Arial" w:cs="Arial"/>
          <w:spacing w:val="-1"/>
          <w:sz w:val="22"/>
          <w:szCs w:val="22"/>
        </w:rPr>
        <w:t>wi</w:t>
      </w:r>
      <w:r>
        <w:rPr>
          <w:rFonts w:ascii="Arial" w:hAnsi="Arial" w:cs="Arial"/>
          <w:spacing w:val="1"/>
          <w:sz w:val="22"/>
          <w:szCs w:val="22"/>
        </w:rPr>
        <w:t>t</w:t>
      </w:r>
      <w:r>
        <w:rPr>
          <w:rFonts w:ascii="Arial" w:hAnsi="Arial" w:cs="Arial"/>
          <w:sz w:val="22"/>
          <w:szCs w:val="22"/>
        </w:rPr>
        <w:t xml:space="preserve">h </w:t>
      </w:r>
      <w:r>
        <w:rPr>
          <w:rFonts w:ascii="Arial" w:hAnsi="Arial" w:cs="Arial"/>
          <w:spacing w:val="-1"/>
          <w:sz w:val="22"/>
          <w:szCs w:val="22"/>
        </w:rPr>
        <w:t>LC</w:t>
      </w:r>
      <w:r>
        <w:rPr>
          <w:rFonts w:ascii="Arial" w:hAnsi="Arial" w:cs="Arial"/>
          <w:sz w:val="22"/>
          <w:szCs w:val="22"/>
        </w:rPr>
        <w:t>R</w:t>
      </w:r>
      <w:r>
        <w:rPr>
          <w:rFonts w:ascii="Arial" w:hAnsi="Arial" w:cs="Arial"/>
          <w:spacing w:val="-3"/>
          <w:sz w:val="22"/>
          <w:szCs w:val="22"/>
        </w:rPr>
        <w:t xml:space="preserve"> </w:t>
      </w:r>
      <w:r>
        <w:rPr>
          <w:rFonts w:ascii="Arial" w:hAnsi="Arial" w:cs="Arial"/>
          <w:spacing w:val="3"/>
          <w:sz w:val="22"/>
          <w:szCs w:val="22"/>
        </w:rPr>
        <w:t>f</w:t>
      </w:r>
      <w:r>
        <w:rPr>
          <w:rFonts w:ascii="Arial" w:hAnsi="Arial" w:cs="Arial"/>
          <w:spacing w:val="-3"/>
          <w:sz w:val="22"/>
          <w:szCs w:val="22"/>
        </w:rPr>
        <w:t>o</w:t>
      </w:r>
      <w:r>
        <w:rPr>
          <w:rFonts w:ascii="Arial" w:hAnsi="Arial" w:cs="Arial"/>
          <w:sz w:val="22"/>
          <w:szCs w:val="22"/>
        </w:rPr>
        <w:t>r</w:t>
      </w:r>
      <w:r>
        <w:rPr>
          <w:rFonts w:ascii="Arial" w:hAnsi="Arial" w:cs="Arial"/>
          <w:spacing w:val="-1"/>
          <w:sz w:val="22"/>
          <w:szCs w:val="22"/>
        </w:rPr>
        <w:t xml:space="preserve"> op</w:t>
      </w:r>
      <w:r>
        <w:rPr>
          <w:rFonts w:ascii="Arial" w:hAnsi="Arial" w:cs="Arial"/>
          <w:spacing w:val="-3"/>
          <w:sz w:val="22"/>
          <w:szCs w:val="22"/>
        </w:rPr>
        <w:t>e</w:t>
      </w:r>
      <w:r>
        <w:rPr>
          <w:rFonts w:ascii="Arial" w:hAnsi="Arial" w:cs="Arial"/>
          <w:sz w:val="22"/>
          <w:szCs w:val="22"/>
        </w:rPr>
        <w:t>r</w:t>
      </w:r>
      <w:r>
        <w:rPr>
          <w:rFonts w:ascii="Arial" w:hAnsi="Arial" w:cs="Arial"/>
          <w:spacing w:val="-3"/>
          <w:sz w:val="22"/>
          <w:szCs w:val="22"/>
        </w:rPr>
        <w:t>a</w:t>
      </w:r>
      <w:r>
        <w:rPr>
          <w:rFonts w:ascii="Arial" w:hAnsi="Arial" w:cs="Arial"/>
          <w:spacing w:val="1"/>
          <w:sz w:val="22"/>
          <w:szCs w:val="22"/>
        </w:rPr>
        <w:t>t</w:t>
      </w:r>
      <w:r>
        <w:rPr>
          <w:rFonts w:ascii="Arial" w:hAnsi="Arial" w:cs="Arial"/>
          <w:spacing w:val="-1"/>
          <w:sz w:val="22"/>
          <w:szCs w:val="22"/>
        </w:rPr>
        <w:t>iona</w:t>
      </w:r>
      <w:r>
        <w:rPr>
          <w:rFonts w:ascii="Arial" w:hAnsi="Arial" w:cs="Arial"/>
          <w:sz w:val="22"/>
          <w:szCs w:val="22"/>
        </w:rPr>
        <w:t>l (</w:t>
      </w:r>
      <w:r>
        <w:rPr>
          <w:rFonts w:ascii="Arial" w:hAnsi="Arial" w:cs="Arial"/>
          <w:spacing w:val="-1"/>
          <w:sz w:val="22"/>
          <w:szCs w:val="22"/>
        </w:rPr>
        <w:t>23</w:t>
      </w:r>
      <w:r>
        <w:rPr>
          <w:rFonts w:ascii="Arial" w:hAnsi="Arial" w:cs="Arial"/>
          <w:sz w:val="22"/>
          <w:szCs w:val="22"/>
        </w:rPr>
        <w:t>%</w:t>
      </w:r>
      <w:r>
        <w:rPr>
          <w:rFonts w:ascii="Arial" w:hAnsi="Arial" w:cs="Arial"/>
          <w:spacing w:val="-1"/>
          <w:sz w:val="22"/>
          <w:szCs w:val="22"/>
        </w:rPr>
        <w:t xml:space="preserve"> ob</w:t>
      </w:r>
      <w:r>
        <w:rPr>
          <w:rFonts w:ascii="Arial" w:hAnsi="Arial" w:cs="Arial"/>
          <w:sz w:val="22"/>
          <w:szCs w:val="22"/>
        </w:rPr>
        <w:t>s</w:t>
      </w:r>
      <w:r>
        <w:rPr>
          <w:rFonts w:ascii="Arial" w:hAnsi="Arial" w:cs="Arial"/>
          <w:spacing w:val="-3"/>
          <w:sz w:val="22"/>
          <w:szCs w:val="22"/>
        </w:rPr>
        <w:t>e</w:t>
      </w:r>
      <w:r>
        <w:rPr>
          <w:rFonts w:ascii="Arial" w:hAnsi="Arial" w:cs="Arial"/>
          <w:sz w:val="22"/>
          <w:szCs w:val="22"/>
        </w:rPr>
        <w:t>r</w:t>
      </w:r>
      <w:r>
        <w:rPr>
          <w:rFonts w:ascii="Arial" w:hAnsi="Arial" w:cs="Arial"/>
          <w:spacing w:val="-3"/>
          <w:sz w:val="22"/>
          <w:szCs w:val="22"/>
        </w:rPr>
        <w:t>v</w:t>
      </w:r>
      <w:r>
        <w:rPr>
          <w:rFonts w:ascii="Arial" w:hAnsi="Arial" w:cs="Arial"/>
          <w:spacing w:val="-1"/>
          <w:sz w:val="22"/>
          <w:szCs w:val="22"/>
        </w:rPr>
        <w:t>e</w:t>
      </w:r>
      <w:r>
        <w:rPr>
          <w:rFonts w:ascii="Arial" w:hAnsi="Arial" w:cs="Arial"/>
          <w:sz w:val="22"/>
          <w:szCs w:val="22"/>
        </w:rPr>
        <w:t xml:space="preserve">d </w:t>
      </w:r>
      <w:r>
        <w:rPr>
          <w:rFonts w:ascii="Arial" w:hAnsi="Arial" w:cs="Arial"/>
          <w:spacing w:val="-3"/>
          <w:sz w:val="22"/>
          <w:szCs w:val="22"/>
        </w:rPr>
        <w:t>v</w:t>
      </w:r>
      <w:r>
        <w:rPr>
          <w:rFonts w:ascii="Arial" w:hAnsi="Arial" w:cs="Arial"/>
          <w:sz w:val="22"/>
          <w:szCs w:val="22"/>
        </w:rPr>
        <w:t>s.</w:t>
      </w:r>
      <w:r>
        <w:rPr>
          <w:rFonts w:ascii="Arial" w:hAnsi="Arial" w:cs="Arial"/>
          <w:spacing w:val="-1"/>
          <w:sz w:val="22"/>
          <w:szCs w:val="22"/>
        </w:rPr>
        <w:t xml:space="preserve"> 2</w:t>
      </w:r>
      <w:r>
        <w:rPr>
          <w:rFonts w:ascii="Arial" w:hAnsi="Arial" w:cs="Arial"/>
          <w:spacing w:val="-3"/>
          <w:sz w:val="22"/>
          <w:szCs w:val="22"/>
        </w:rPr>
        <w:t>5</w:t>
      </w:r>
      <w:r>
        <w:rPr>
          <w:rFonts w:ascii="Arial" w:hAnsi="Arial" w:cs="Arial"/>
          <w:sz w:val="22"/>
          <w:szCs w:val="22"/>
        </w:rPr>
        <w:t>%</w:t>
      </w:r>
      <w:r>
        <w:rPr>
          <w:rFonts w:ascii="Arial" w:hAnsi="Arial" w:cs="Arial"/>
          <w:spacing w:val="-1"/>
          <w:sz w:val="22"/>
          <w:szCs w:val="22"/>
        </w:rPr>
        <w:t xml:space="preserve"> LCR</w:t>
      </w:r>
      <w:r>
        <w:rPr>
          <w:rFonts w:ascii="Arial" w:hAnsi="Arial" w:cs="Arial"/>
          <w:sz w:val="22"/>
          <w:szCs w:val="22"/>
        </w:rPr>
        <w:t>)</w:t>
      </w:r>
      <w:r>
        <w:rPr>
          <w:rFonts w:ascii="Arial" w:hAnsi="Arial" w:cs="Arial"/>
          <w:spacing w:val="2"/>
          <w:sz w:val="22"/>
          <w:szCs w:val="22"/>
        </w:rPr>
        <w:t xml:space="preserve"> </w:t>
      </w:r>
      <w:r>
        <w:rPr>
          <w:rFonts w:ascii="Arial" w:hAnsi="Arial" w:cs="Arial"/>
          <w:spacing w:val="-1"/>
          <w:sz w:val="22"/>
          <w:szCs w:val="22"/>
        </w:rPr>
        <w:t>b</w:t>
      </w:r>
      <w:r>
        <w:rPr>
          <w:rFonts w:ascii="Arial" w:hAnsi="Arial" w:cs="Arial"/>
          <w:spacing w:val="-3"/>
          <w:sz w:val="22"/>
          <w:szCs w:val="22"/>
        </w:rPr>
        <w:t>u</w:t>
      </w:r>
      <w:r>
        <w:rPr>
          <w:rFonts w:ascii="Arial" w:hAnsi="Arial" w:cs="Arial"/>
          <w:sz w:val="22"/>
          <w:szCs w:val="22"/>
        </w:rPr>
        <w:t>t</w:t>
      </w:r>
      <w:r>
        <w:rPr>
          <w:rFonts w:ascii="Arial" w:hAnsi="Arial" w:cs="Arial"/>
          <w:spacing w:val="-3"/>
          <w:sz w:val="22"/>
          <w:szCs w:val="22"/>
        </w:rPr>
        <w:t xml:space="preserve"> </w:t>
      </w:r>
      <w:r>
        <w:rPr>
          <w:rFonts w:ascii="Arial" w:hAnsi="Arial" w:cs="Arial"/>
          <w:sz w:val="22"/>
          <w:szCs w:val="22"/>
        </w:rPr>
        <w:t>~</w:t>
      </w:r>
      <w:r>
        <w:rPr>
          <w:rFonts w:ascii="Arial" w:hAnsi="Arial" w:cs="Arial"/>
          <w:spacing w:val="-3"/>
          <w:sz w:val="22"/>
          <w:szCs w:val="22"/>
        </w:rPr>
        <w:t>6</w:t>
      </w:r>
      <w:r>
        <w:rPr>
          <w:rFonts w:ascii="Arial" w:hAnsi="Arial" w:cs="Arial"/>
          <w:spacing w:val="-1"/>
          <w:sz w:val="22"/>
          <w:szCs w:val="22"/>
        </w:rPr>
        <w:t>2</w:t>
      </w:r>
      <w:r>
        <w:rPr>
          <w:rFonts w:ascii="Arial" w:hAnsi="Arial" w:cs="Arial"/>
          <w:sz w:val="22"/>
          <w:szCs w:val="22"/>
        </w:rPr>
        <w:t>%</w:t>
      </w:r>
      <w:r>
        <w:rPr>
          <w:rFonts w:ascii="Arial" w:hAnsi="Arial" w:cs="Arial"/>
          <w:spacing w:val="-1"/>
          <w:sz w:val="22"/>
          <w:szCs w:val="22"/>
        </w:rPr>
        <w:t xml:space="preserve"> pe</w:t>
      </w:r>
      <w:r>
        <w:rPr>
          <w:rFonts w:ascii="Arial" w:hAnsi="Arial" w:cs="Arial"/>
          <w:spacing w:val="-2"/>
          <w:sz w:val="22"/>
          <w:szCs w:val="22"/>
        </w:rPr>
        <w:t>r</w:t>
      </w:r>
      <w:r>
        <w:rPr>
          <w:rFonts w:ascii="Arial" w:hAnsi="Arial" w:cs="Arial"/>
          <w:sz w:val="22"/>
          <w:szCs w:val="22"/>
        </w:rPr>
        <w:t>c</w:t>
      </w:r>
      <w:r>
        <w:rPr>
          <w:rFonts w:ascii="Arial" w:hAnsi="Arial" w:cs="Arial"/>
          <w:spacing w:val="-1"/>
          <w:sz w:val="22"/>
          <w:szCs w:val="22"/>
        </w:rPr>
        <w:t>e</w:t>
      </w:r>
      <w:r>
        <w:rPr>
          <w:rFonts w:ascii="Arial" w:hAnsi="Arial" w:cs="Arial"/>
          <w:spacing w:val="-3"/>
          <w:sz w:val="22"/>
          <w:szCs w:val="22"/>
        </w:rPr>
        <w:t>n</w:t>
      </w:r>
      <w:r>
        <w:rPr>
          <w:rFonts w:ascii="Arial" w:hAnsi="Arial" w:cs="Arial"/>
          <w:spacing w:val="1"/>
          <w:sz w:val="22"/>
          <w:szCs w:val="22"/>
        </w:rPr>
        <w:t>t</w:t>
      </w:r>
      <w:r>
        <w:rPr>
          <w:rFonts w:ascii="Arial" w:hAnsi="Arial" w:cs="Arial"/>
          <w:spacing w:val="-1"/>
          <w:sz w:val="22"/>
          <w:szCs w:val="22"/>
        </w:rPr>
        <w:t>a</w:t>
      </w:r>
      <w:r>
        <w:rPr>
          <w:rFonts w:ascii="Arial" w:hAnsi="Arial" w:cs="Arial"/>
          <w:spacing w:val="2"/>
          <w:sz w:val="22"/>
          <w:szCs w:val="22"/>
        </w:rPr>
        <w:t>g</w:t>
      </w:r>
      <w:r>
        <w:rPr>
          <w:rFonts w:ascii="Arial" w:hAnsi="Arial" w:cs="Arial"/>
          <w:sz w:val="22"/>
          <w:szCs w:val="22"/>
        </w:rPr>
        <w:t xml:space="preserve">e </w:t>
      </w:r>
      <w:r>
        <w:rPr>
          <w:rFonts w:ascii="Arial" w:hAnsi="Arial" w:cs="Arial"/>
          <w:spacing w:val="-1"/>
          <w:sz w:val="22"/>
          <w:szCs w:val="22"/>
        </w:rPr>
        <w:t>poin</w:t>
      </w:r>
      <w:r>
        <w:rPr>
          <w:rFonts w:ascii="Arial" w:hAnsi="Arial" w:cs="Arial"/>
          <w:spacing w:val="1"/>
          <w:sz w:val="22"/>
          <w:szCs w:val="22"/>
        </w:rPr>
        <w:t>t</w:t>
      </w:r>
      <w:r>
        <w:rPr>
          <w:rFonts w:ascii="Arial" w:hAnsi="Arial" w:cs="Arial"/>
          <w:sz w:val="22"/>
          <w:szCs w:val="22"/>
        </w:rPr>
        <w:t>s</w:t>
      </w:r>
      <w:r>
        <w:rPr>
          <w:rFonts w:ascii="Arial" w:hAnsi="Arial" w:cs="Arial"/>
          <w:spacing w:val="1"/>
          <w:sz w:val="22"/>
          <w:szCs w:val="22"/>
        </w:rPr>
        <w:t xml:space="preserve"> </w:t>
      </w:r>
      <w:r>
        <w:rPr>
          <w:rFonts w:ascii="Arial" w:hAnsi="Arial" w:cs="Arial"/>
          <w:spacing w:val="-1"/>
          <w:sz w:val="22"/>
          <w:szCs w:val="22"/>
        </w:rPr>
        <w:t>lo</w:t>
      </w:r>
      <w:r>
        <w:rPr>
          <w:rFonts w:ascii="Arial" w:hAnsi="Arial" w:cs="Arial"/>
          <w:spacing w:val="-4"/>
          <w:sz w:val="22"/>
          <w:szCs w:val="22"/>
        </w:rPr>
        <w:t>w</w:t>
      </w:r>
      <w:r>
        <w:rPr>
          <w:rFonts w:ascii="Arial" w:hAnsi="Arial" w:cs="Arial"/>
          <w:spacing w:val="-1"/>
          <w:sz w:val="22"/>
          <w:szCs w:val="22"/>
        </w:rPr>
        <w:t>e</w:t>
      </w:r>
      <w:r>
        <w:rPr>
          <w:rFonts w:ascii="Arial" w:hAnsi="Arial" w:cs="Arial"/>
          <w:sz w:val="22"/>
          <w:szCs w:val="22"/>
        </w:rPr>
        <w:t>r</w:t>
      </w:r>
      <w:r>
        <w:rPr>
          <w:rFonts w:ascii="Arial" w:hAnsi="Arial" w:cs="Arial"/>
          <w:spacing w:val="2"/>
          <w:sz w:val="22"/>
          <w:szCs w:val="22"/>
        </w:rPr>
        <w:t xml:space="preserve"> </w:t>
      </w:r>
      <w:r>
        <w:rPr>
          <w:rFonts w:ascii="Arial" w:hAnsi="Arial" w:cs="Arial"/>
          <w:spacing w:val="1"/>
          <w:sz w:val="22"/>
          <w:szCs w:val="22"/>
        </w:rPr>
        <w:t>t</w:t>
      </w:r>
      <w:r>
        <w:rPr>
          <w:rFonts w:ascii="Arial" w:hAnsi="Arial" w:cs="Arial"/>
          <w:spacing w:val="-1"/>
          <w:sz w:val="22"/>
          <w:szCs w:val="22"/>
        </w:rPr>
        <w:t>ha</w:t>
      </w:r>
      <w:r>
        <w:rPr>
          <w:rFonts w:ascii="Arial" w:hAnsi="Arial" w:cs="Arial"/>
          <w:sz w:val="22"/>
          <w:szCs w:val="22"/>
        </w:rPr>
        <w:t>n</w:t>
      </w:r>
      <w:r>
        <w:rPr>
          <w:rFonts w:ascii="Arial" w:hAnsi="Arial" w:cs="Arial"/>
          <w:spacing w:val="-2"/>
          <w:sz w:val="22"/>
          <w:szCs w:val="22"/>
        </w:rPr>
        <w:t xml:space="preserve"> </w:t>
      </w:r>
      <w:r>
        <w:rPr>
          <w:rFonts w:ascii="Arial" w:hAnsi="Arial" w:cs="Arial"/>
          <w:spacing w:val="-1"/>
          <w:sz w:val="22"/>
          <w:szCs w:val="22"/>
        </w:rPr>
        <w:t>LC</w:t>
      </w:r>
      <w:r>
        <w:rPr>
          <w:rFonts w:ascii="Arial" w:hAnsi="Arial" w:cs="Arial"/>
          <w:sz w:val="22"/>
          <w:szCs w:val="22"/>
        </w:rPr>
        <w:t>R</w:t>
      </w:r>
      <w:r>
        <w:rPr>
          <w:rFonts w:ascii="Arial" w:hAnsi="Arial" w:cs="Arial"/>
          <w:spacing w:val="-3"/>
          <w:sz w:val="22"/>
          <w:szCs w:val="22"/>
        </w:rPr>
        <w:t xml:space="preserve"> </w:t>
      </w:r>
      <w:r>
        <w:rPr>
          <w:rFonts w:ascii="Arial" w:hAnsi="Arial" w:cs="Arial"/>
          <w:spacing w:val="1"/>
          <w:sz w:val="22"/>
          <w:szCs w:val="22"/>
        </w:rPr>
        <w:t>f</w:t>
      </w:r>
      <w:r>
        <w:rPr>
          <w:rFonts w:ascii="Arial" w:hAnsi="Arial" w:cs="Arial"/>
          <w:spacing w:val="-3"/>
          <w:sz w:val="22"/>
          <w:szCs w:val="22"/>
        </w:rPr>
        <w:t>o</w:t>
      </w:r>
      <w:r>
        <w:rPr>
          <w:rFonts w:ascii="Arial" w:hAnsi="Arial" w:cs="Arial"/>
          <w:sz w:val="22"/>
          <w:szCs w:val="22"/>
        </w:rPr>
        <w:t>r</w:t>
      </w:r>
      <w:r>
        <w:rPr>
          <w:rFonts w:ascii="Arial" w:hAnsi="Arial" w:cs="Arial"/>
          <w:spacing w:val="-1"/>
          <w:sz w:val="22"/>
          <w:szCs w:val="22"/>
        </w:rPr>
        <w:t xml:space="preserve"> non</w:t>
      </w:r>
      <w:r>
        <w:rPr>
          <w:rFonts w:ascii="Arial" w:hAnsi="Arial" w:cs="Arial"/>
          <w:sz w:val="22"/>
          <w:szCs w:val="22"/>
        </w:rPr>
        <w:t>-</w:t>
      </w:r>
      <w:r>
        <w:rPr>
          <w:rFonts w:ascii="Arial" w:hAnsi="Arial" w:cs="Arial"/>
          <w:spacing w:val="-1"/>
          <w:sz w:val="22"/>
          <w:szCs w:val="22"/>
        </w:rPr>
        <w:t>op</w:t>
      </w:r>
      <w:r>
        <w:rPr>
          <w:rFonts w:ascii="Arial" w:hAnsi="Arial" w:cs="Arial"/>
          <w:spacing w:val="-3"/>
          <w:sz w:val="22"/>
          <w:szCs w:val="22"/>
        </w:rPr>
        <w:t>e</w:t>
      </w:r>
      <w:r>
        <w:rPr>
          <w:rFonts w:ascii="Arial" w:hAnsi="Arial" w:cs="Arial"/>
          <w:sz w:val="22"/>
          <w:szCs w:val="22"/>
        </w:rPr>
        <w:t>r</w:t>
      </w:r>
      <w:r>
        <w:rPr>
          <w:rFonts w:ascii="Arial" w:hAnsi="Arial" w:cs="Arial"/>
          <w:spacing w:val="-3"/>
          <w:sz w:val="22"/>
          <w:szCs w:val="22"/>
        </w:rPr>
        <w:t>a</w:t>
      </w:r>
      <w:r>
        <w:rPr>
          <w:rFonts w:ascii="Arial" w:hAnsi="Arial" w:cs="Arial"/>
          <w:spacing w:val="1"/>
          <w:sz w:val="22"/>
          <w:szCs w:val="22"/>
        </w:rPr>
        <w:t>t</w:t>
      </w:r>
      <w:r>
        <w:rPr>
          <w:rFonts w:ascii="Arial" w:hAnsi="Arial" w:cs="Arial"/>
          <w:spacing w:val="-1"/>
          <w:sz w:val="22"/>
          <w:szCs w:val="22"/>
        </w:rPr>
        <w:t>iona</w:t>
      </w:r>
      <w:r>
        <w:rPr>
          <w:rFonts w:ascii="Arial" w:hAnsi="Arial" w:cs="Arial"/>
          <w:sz w:val="22"/>
          <w:szCs w:val="22"/>
        </w:rPr>
        <w:t>l (</w:t>
      </w:r>
      <w:r>
        <w:rPr>
          <w:rFonts w:ascii="Arial" w:hAnsi="Arial" w:cs="Arial"/>
          <w:spacing w:val="-1"/>
          <w:sz w:val="22"/>
          <w:szCs w:val="22"/>
        </w:rPr>
        <w:t>3</w:t>
      </w:r>
      <w:r>
        <w:rPr>
          <w:rFonts w:ascii="Arial" w:hAnsi="Arial" w:cs="Arial"/>
          <w:spacing w:val="-3"/>
          <w:sz w:val="22"/>
          <w:szCs w:val="22"/>
        </w:rPr>
        <w:t>8</w:t>
      </w:r>
      <w:r>
        <w:rPr>
          <w:rFonts w:ascii="Arial" w:hAnsi="Arial" w:cs="Arial"/>
          <w:sz w:val="22"/>
          <w:szCs w:val="22"/>
        </w:rPr>
        <w:t>%</w:t>
      </w:r>
      <w:r>
        <w:rPr>
          <w:rFonts w:ascii="Arial" w:hAnsi="Arial" w:cs="Arial"/>
          <w:spacing w:val="-1"/>
          <w:sz w:val="22"/>
          <w:szCs w:val="22"/>
        </w:rPr>
        <w:t xml:space="preserve"> </w:t>
      </w:r>
      <w:r>
        <w:rPr>
          <w:rFonts w:ascii="Arial" w:hAnsi="Arial" w:cs="Arial"/>
          <w:spacing w:val="-3"/>
          <w:sz w:val="22"/>
          <w:szCs w:val="22"/>
        </w:rPr>
        <w:t>o</w:t>
      </w:r>
      <w:r>
        <w:rPr>
          <w:rFonts w:ascii="Arial" w:hAnsi="Arial" w:cs="Arial"/>
          <w:spacing w:val="-1"/>
          <w:sz w:val="22"/>
          <w:szCs w:val="22"/>
        </w:rPr>
        <w:t>b</w:t>
      </w:r>
      <w:r>
        <w:rPr>
          <w:rFonts w:ascii="Arial" w:hAnsi="Arial" w:cs="Arial"/>
          <w:sz w:val="22"/>
          <w:szCs w:val="22"/>
        </w:rPr>
        <w:t>s</w:t>
      </w:r>
      <w:r>
        <w:rPr>
          <w:rFonts w:ascii="Arial" w:hAnsi="Arial" w:cs="Arial"/>
          <w:spacing w:val="-1"/>
          <w:sz w:val="22"/>
          <w:szCs w:val="22"/>
        </w:rPr>
        <w:t>e</w:t>
      </w:r>
      <w:r>
        <w:rPr>
          <w:rFonts w:ascii="Arial" w:hAnsi="Arial" w:cs="Arial"/>
          <w:sz w:val="22"/>
          <w:szCs w:val="22"/>
        </w:rPr>
        <w:t>r</w:t>
      </w:r>
      <w:r>
        <w:rPr>
          <w:rFonts w:ascii="Arial" w:hAnsi="Arial" w:cs="Arial"/>
          <w:spacing w:val="-3"/>
          <w:sz w:val="22"/>
          <w:szCs w:val="22"/>
        </w:rPr>
        <w:t>v</w:t>
      </w:r>
      <w:r>
        <w:rPr>
          <w:rFonts w:ascii="Arial" w:hAnsi="Arial" w:cs="Arial"/>
          <w:spacing w:val="-1"/>
          <w:sz w:val="22"/>
          <w:szCs w:val="22"/>
        </w:rPr>
        <w:t>e</w:t>
      </w:r>
      <w:r>
        <w:rPr>
          <w:rFonts w:ascii="Arial" w:hAnsi="Arial" w:cs="Arial"/>
          <w:sz w:val="22"/>
          <w:szCs w:val="22"/>
        </w:rPr>
        <w:t xml:space="preserve">d </w:t>
      </w:r>
      <w:r>
        <w:rPr>
          <w:rFonts w:ascii="Arial" w:hAnsi="Arial" w:cs="Arial"/>
          <w:spacing w:val="-3"/>
          <w:sz w:val="22"/>
          <w:szCs w:val="22"/>
        </w:rPr>
        <w:t>v</w:t>
      </w:r>
      <w:r>
        <w:rPr>
          <w:rFonts w:ascii="Arial" w:hAnsi="Arial" w:cs="Arial"/>
          <w:sz w:val="22"/>
          <w:szCs w:val="22"/>
        </w:rPr>
        <w:t>s.</w:t>
      </w:r>
      <w:r>
        <w:rPr>
          <w:rFonts w:ascii="Arial" w:hAnsi="Arial" w:cs="Arial"/>
          <w:spacing w:val="-1"/>
          <w:sz w:val="22"/>
          <w:szCs w:val="22"/>
        </w:rPr>
        <w:t xml:space="preserve"> 10</w:t>
      </w:r>
      <w:r>
        <w:rPr>
          <w:rFonts w:ascii="Arial" w:hAnsi="Arial" w:cs="Arial"/>
          <w:spacing w:val="-3"/>
          <w:sz w:val="22"/>
          <w:szCs w:val="22"/>
        </w:rPr>
        <w:t>0</w:t>
      </w:r>
      <w:r>
        <w:rPr>
          <w:rFonts w:ascii="Arial" w:hAnsi="Arial" w:cs="Arial"/>
          <w:sz w:val="22"/>
          <w:szCs w:val="22"/>
        </w:rPr>
        <w:t>%</w:t>
      </w:r>
      <w:r>
        <w:rPr>
          <w:rFonts w:ascii="Arial" w:hAnsi="Arial" w:cs="Arial"/>
          <w:spacing w:val="-1"/>
          <w:sz w:val="22"/>
          <w:szCs w:val="22"/>
        </w:rPr>
        <w:t xml:space="preserve"> LCR</w:t>
      </w:r>
      <w:r>
        <w:rPr>
          <w:rFonts w:ascii="Arial" w:hAnsi="Arial" w:cs="Arial"/>
          <w:sz w:val="22"/>
          <w:szCs w:val="22"/>
        </w:rPr>
        <w:t>)</w:t>
      </w:r>
    </w:p>
    <w:p w:rsidR="00182FDA" w:rsidRDefault="00182FDA" w:rsidP="00182FDA">
      <w:pPr>
        <w:pStyle w:val="NormalWeb"/>
        <w:numPr>
          <w:ilvl w:val="0"/>
          <w:numId w:val="1"/>
        </w:numPr>
        <w:spacing w:before="77" w:beforeAutospacing="0" w:after="0" w:afterAutospacing="0" w:line="242" w:lineRule="auto"/>
        <w:ind w:right="403"/>
        <w:rPr>
          <w:rFonts w:ascii="Arial" w:hAnsi="Arial" w:cs="Arial"/>
          <w:sz w:val="22"/>
          <w:szCs w:val="22"/>
        </w:rPr>
      </w:pPr>
      <w:r>
        <w:rPr>
          <w:rFonts w:ascii="Arial" w:hAnsi="Arial" w:cs="Arial"/>
          <w:spacing w:val="-1"/>
          <w:sz w:val="22"/>
          <w:szCs w:val="22"/>
        </w:rPr>
        <w:t>Non</w:t>
      </w:r>
      <w:r>
        <w:rPr>
          <w:rFonts w:ascii="Arial" w:hAnsi="Arial" w:cs="Arial"/>
          <w:spacing w:val="-2"/>
          <w:sz w:val="22"/>
          <w:szCs w:val="22"/>
        </w:rPr>
        <w:t>-</w:t>
      </w:r>
      <w:r>
        <w:rPr>
          <w:rFonts w:ascii="Arial" w:hAnsi="Arial" w:cs="Arial"/>
          <w:spacing w:val="3"/>
          <w:sz w:val="22"/>
          <w:szCs w:val="22"/>
        </w:rPr>
        <w:t>f</w:t>
      </w:r>
      <w:r>
        <w:rPr>
          <w:rFonts w:ascii="Arial" w:hAnsi="Arial" w:cs="Arial"/>
          <w:spacing w:val="-1"/>
          <w:sz w:val="22"/>
          <w:szCs w:val="22"/>
        </w:rPr>
        <w:t>inan</w:t>
      </w:r>
      <w:r>
        <w:rPr>
          <w:rFonts w:ascii="Arial" w:hAnsi="Arial" w:cs="Arial"/>
          <w:sz w:val="22"/>
          <w:szCs w:val="22"/>
        </w:rPr>
        <w:t>c</w:t>
      </w:r>
      <w:r>
        <w:rPr>
          <w:rFonts w:ascii="Arial" w:hAnsi="Arial" w:cs="Arial"/>
          <w:spacing w:val="-1"/>
          <w:sz w:val="22"/>
          <w:szCs w:val="22"/>
        </w:rPr>
        <w:t>ia</w:t>
      </w:r>
      <w:r>
        <w:rPr>
          <w:rFonts w:ascii="Arial" w:hAnsi="Arial" w:cs="Arial"/>
          <w:sz w:val="22"/>
          <w:szCs w:val="22"/>
        </w:rPr>
        <w:t>l c</w:t>
      </w:r>
      <w:r>
        <w:rPr>
          <w:rFonts w:ascii="Arial" w:hAnsi="Arial" w:cs="Arial"/>
          <w:spacing w:val="-1"/>
          <w:sz w:val="22"/>
          <w:szCs w:val="22"/>
        </w:rPr>
        <w:t>o</w:t>
      </w:r>
      <w:r>
        <w:rPr>
          <w:rFonts w:ascii="Arial" w:hAnsi="Arial" w:cs="Arial"/>
          <w:sz w:val="22"/>
          <w:szCs w:val="22"/>
        </w:rPr>
        <w:t>r</w:t>
      </w:r>
      <w:r>
        <w:rPr>
          <w:rFonts w:ascii="Arial" w:hAnsi="Arial" w:cs="Arial"/>
          <w:spacing w:val="-1"/>
          <w:sz w:val="22"/>
          <w:szCs w:val="22"/>
        </w:rPr>
        <w:t>po</w:t>
      </w:r>
      <w:r>
        <w:rPr>
          <w:rFonts w:ascii="Arial" w:hAnsi="Arial" w:cs="Arial"/>
          <w:sz w:val="22"/>
          <w:szCs w:val="22"/>
        </w:rPr>
        <w:t>r</w:t>
      </w:r>
      <w:r>
        <w:rPr>
          <w:rFonts w:ascii="Arial" w:hAnsi="Arial" w:cs="Arial"/>
          <w:spacing w:val="-3"/>
          <w:sz w:val="22"/>
          <w:szCs w:val="22"/>
        </w:rPr>
        <w:t>a</w:t>
      </w:r>
      <w:r>
        <w:rPr>
          <w:rFonts w:ascii="Arial" w:hAnsi="Arial" w:cs="Arial"/>
          <w:spacing w:val="1"/>
          <w:sz w:val="22"/>
          <w:szCs w:val="22"/>
        </w:rPr>
        <w:t>t</w:t>
      </w:r>
      <w:r>
        <w:rPr>
          <w:rFonts w:ascii="Arial" w:hAnsi="Arial" w:cs="Arial"/>
          <w:spacing w:val="-1"/>
          <w:sz w:val="22"/>
          <w:szCs w:val="22"/>
        </w:rPr>
        <w:t>e</w:t>
      </w:r>
      <w:r>
        <w:rPr>
          <w:rFonts w:ascii="Arial" w:hAnsi="Arial" w:cs="Arial"/>
          <w:spacing w:val="-3"/>
          <w:sz w:val="22"/>
          <w:szCs w:val="22"/>
        </w:rPr>
        <w:t>s</w:t>
      </w:r>
      <w:r>
        <w:rPr>
          <w:rFonts w:ascii="Arial" w:hAnsi="Arial" w:cs="Arial"/>
          <w:sz w:val="22"/>
          <w:szCs w:val="22"/>
        </w:rPr>
        <w:t>:</w:t>
      </w:r>
      <w:r>
        <w:rPr>
          <w:rFonts w:ascii="Arial" w:hAnsi="Arial" w:cs="Arial"/>
          <w:spacing w:val="-1"/>
          <w:sz w:val="22"/>
          <w:szCs w:val="22"/>
        </w:rPr>
        <w:t xml:space="preserve"> 1</w:t>
      </w:r>
      <w:r>
        <w:rPr>
          <w:rFonts w:ascii="Arial" w:hAnsi="Arial" w:cs="Arial"/>
          <w:spacing w:val="-3"/>
          <w:sz w:val="22"/>
          <w:szCs w:val="22"/>
        </w:rPr>
        <w:t>0</w:t>
      </w:r>
      <w:r>
        <w:rPr>
          <w:rFonts w:ascii="Arial" w:hAnsi="Arial" w:cs="Arial"/>
          <w:sz w:val="22"/>
          <w:szCs w:val="22"/>
        </w:rPr>
        <w:t>-</w:t>
      </w:r>
      <w:r>
        <w:rPr>
          <w:rFonts w:ascii="Arial" w:hAnsi="Arial" w:cs="Arial"/>
          <w:spacing w:val="-1"/>
          <w:sz w:val="22"/>
          <w:szCs w:val="22"/>
        </w:rPr>
        <w:t>3</w:t>
      </w:r>
      <w:r>
        <w:rPr>
          <w:rFonts w:ascii="Arial" w:hAnsi="Arial" w:cs="Arial"/>
          <w:sz w:val="22"/>
          <w:szCs w:val="22"/>
        </w:rPr>
        <w:t>5</w:t>
      </w:r>
      <w:r>
        <w:rPr>
          <w:rFonts w:ascii="Arial" w:hAnsi="Arial" w:cs="Arial"/>
          <w:spacing w:val="-2"/>
          <w:sz w:val="22"/>
          <w:szCs w:val="22"/>
        </w:rPr>
        <w:t xml:space="preserve"> </w:t>
      </w:r>
      <w:r>
        <w:rPr>
          <w:rFonts w:ascii="Arial" w:hAnsi="Arial" w:cs="Arial"/>
          <w:spacing w:val="-1"/>
          <w:sz w:val="22"/>
          <w:szCs w:val="22"/>
        </w:rPr>
        <w:t>pe</w:t>
      </w:r>
      <w:r>
        <w:rPr>
          <w:rFonts w:ascii="Arial" w:hAnsi="Arial" w:cs="Arial"/>
          <w:spacing w:val="-2"/>
          <w:sz w:val="22"/>
          <w:szCs w:val="22"/>
        </w:rPr>
        <w:t>r</w:t>
      </w:r>
      <w:r>
        <w:rPr>
          <w:rFonts w:ascii="Arial" w:hAnsi="Arial" w:cs="Arial"/>
          <w:sz w:val="22"/>
          <w:szCs w:val="22"/>
        </w:rPr>
        <w:t>c</w:t>
      </w:r>
      <w:r>
        <w:rPr>
          <w:rFonts w:ascii="Arial" w:hAnsi="Arial" w:cs="Arial"/>
          <w:spacing w:val="-1"/>
          <w:sz w:val="22"/>
          <w:szCs w:val="22"/>
        </w:rPr>
        <w:t>en</w:t>
      </w:r>
      <w:r>
        <w:rPr>
          <w:rFonts w:ascii="Arial" w:hAnsi="Arial" w:cs="Arial"/>
          <w:spacing w:val="1"/>
          <w:sz w:val="22"/>
          <w:szCs w:val="22"/>
        </w:rPr>
        <w:t>t</w:t>
      </w:r>
      <w:r>
        <w:rPr>
          <w:rFonts w:ascii="Arial" w:hAnsi="Arial" w:cs="Arial"/>
          <w:spacing w:val="-3"/>
          <w:sz w:val="22"/>
          <w:szCs w:val="22"/>
        </w:rPr>
        <w:t>a</w:t>
      </w:r>
      <w:r>
        <w:rPr>
          <w:rFonts w:ascii="Arial" w:hAnsi="Arial" w:cs="Arial"/>
          <w:spacing w:val="2"/>
          <w:sz w:val="22"/>
          <w:szCs w:val="22"/>
        </w:rPr>
        <w:t>g</w:t>
      </w:r>
      <w:r>
        <w:rPr>
          <w:rFonts w:ascii="Arial" w:hAnsi="Arial" w:cs="Arial"/>
          <w:sz w:val="22"/>
          <w:szCs w:val="22"/>
        </w:rPr>
        <w:t>e</w:t>
      </w:r>
      <w:r>
        <w:rPr>
          <w:rFonts w:ascii="Arial" w:hAnsi="Arial" w:cs="Arial"/>
          <w:spacing w:val="-2"/>
          <w:sz w:val="22"/>
          <w:szCs w:val="22"/>
        </w:rPr>
        <w:t xml:space="preserve"> </w:t>
      </w:r>
      <w:r>
        <w:rPr>
          <w:rFonts w:ascii="Arial" w:hAnsi="Arial" w:cs="Arial"/>
          <w:spacing w:val="-1"/>
          <w:sz w:val="22"/>
          <w:szCs w:val="22"/>
        </w:rPr>
        <w:t>poin</w:t>
      </w:r>
      <w:r>
        <w:rPr>
          <w:rFonts w:ascii="Arial" w:hAnsi="Arial" w:cs="Arial"/>
          <w:spacing w:val="-2"/>
          <w:sz w:val="22"/>
          <w:szCs w:val="22"/>
        </w:rPr>
        <w:t>t</w:t>
      </w:r>
      <w:r>
        <w:rPr>
          <w:rFonts w:ascii="Arial" w:hAnsi="Arial" w:cs="Arial"/>
          <w:sz w:val="22"/>
          <w:szCs w:val="22"/>
        </w:rPr>
        <w:t>s</w:t>
      </w:r>
      <w:r>
        <w:rPr>
          <w:rFonts w:ascii="Arial" w:hAnsi="Arial" w:cs="Arial"/>
          <w:spacing w:val="-2"/>
          <w:sz w:val="22"/>
          <w:szCs w:val="22"/>
        </w:rPr>
        <w:t xml:space="preserve"> </w:t>
      </w:r>
      <w:r>
        <w:rPr>
          <w:rFonts w:ascii="Arial" w:hAnsi="Arial" w:cs="Arial"/>
          <w:spacing w:val="-1"/>
          <w:sz w:val="22"/>
          <w:szCs w:val="22"/>
        </w:rPr>
        <w:t>l</w:t>
      </w:r>
      <w:r>
        <w:rPr>
          <w:rFonts w:ascii="Arial" w:hAnsi="Arial" w:cs="Arial"/>
          <w:spacing w:val="2"/>
          <w:sz w:val="22"/>
          <w:szCs w:val="22"/>
        </w:rPr>
        <w:t>o</w:t>
      </w:r>
      <w:r>
        <w:rPr>
          <w:rFonts w:ascii="Arial" w:hAnsi="Arial" w:cs="Arial"/>
          <w:spacing w:val="-4"/>
          <w:sz w:val="22"/>
          <w:szCs w:val="22"/>
        </w:rPr>
        <w:t>w</w:t>
      </w:r>
      <w:r>
        <w:rPr>
          <w:rFonts w:ascii="Arial" w:hAnsi="Arial" w:cs="Arial"/>
          <w:spacing w:val="-1"/>
          <w:sz w:val="22"/>
          <w:szCs w:val="22"/>
        </w:rPr>
        <w:t>e</w:t>
      </w:r>
      <w:r>
        <w:rPr>
          <w:rFonts w:ascii="Arial" w:hAnsi="Arial" w:cs="Arial"/>
          <w:sz w:val="22"/>
          <w:szCs w:val="22"/>
        </w:rPr>
        <w:t>r</w:t>
      </w:r>
      <w:r>
        <w:rPr>
          <w:rFonts w:ascii="Arial" w:hAnsi="Arial" w:cs="Arial"/>
          <w:spacing w:val="-1"/>
          <w:sz w:val="22"/>
          <w:szCs w:val="22"/>
        </w:rPr>
        <w:t xml:space="preserve"> </w:t>
      </w:r>
      <w:r>
        <w:rPr>
          <w:rFonts w:ascii="Arial" w:hAnsi="Arial" w:cs="Arial"/>
          <w:spacing w:val="1"/>
          <w:sz w:val="22"/>
          <w:szCs w:val="22"/>
        </w:rPr>
        <w:t>t</w:t>
      </w:r>
      <w:r>
        <w:rPr>
          <w:rFonts w:ascii="Arial" w:hAnsi="Arial" w:cs="Arial"/>
          <w:spacing w:val="-1"/>
          <w:sz w:val="22"/>
          <w:szCs w:val="22"/>
        </w:rPr>
        <w:t>ha</w:t>
      </w:r>
      <w:r>
        <w:rPr>
          <w:rFonts w:ascii="Arial" w:hAnsi="Arial" w:cs="Arial"/>
          <w:sz w:val="22"/>
          <w:szCs w:val="22"/>
        </w:rPr>
        <w:t>n</w:t>
      </w:r>
      <w:r>
        <w:rPr>
          <w:rFonts w:ascii="Arial" w:hAnsi="Arial" w:cs="Arial"/>
          <w:spacing w:val="-2"/>
          <w:sz w:val="22"/>
          <w:szCs w:val="22"/>
        </w:rPr>
        <w:t xml:space="preserve"> </w:t>
      </w:r>
      <w:r>
        <w:rPr>
          <w:rFonts w:ascii="Arial" w:hAnsi="Arial" w:cs="Arial"/>
          <w:spacing w:val="-1"/>
          <w:sz w:val="22"/>
          <w:szCs w:val="22"/>
        </w:rPr>
        <w:t>LC</w:t>
      </w:r>
      <w:r>
        <w:rPr>
          <w:rFonts w:ascii="Arial" w:hAnsi="Arial" w:cs="Arial"/>
          <w:sz w:val="22"/>
          <w:szCs w:val="22"/>
        </w:rPr>
        <w:t>R</w:t>
      </w:r>
      <w:r>
        <w:rPr>
          <w:rFonts w:ascii="Arial" w:hAnsi="Arial" w:cs="Arial"/>
          <w:spacing w:val="-3"/>
          <w:sz w:val="22"/>
          <w:szCs w:val="22"/>
        </w:rPr>
        <w:t xml:space="preserve"> </w:t>
      </w:r>
      <w:r>
        <w:rPr>
          <w:rFonts w:ascii="Arial" w:hAnsi="Arial" w:cs="Arial"/>
          <w:sz w:val="22"/>
          <w:szCs w:val="22"/>
        </w:rPr>
        <w:t>(</w:t>
      </w:r>
      <w:r>
        <w:rPr>
          <w:rFonts w:ascii="Arial" w:hAnsi="Arial" w:cs="Arial"/>
          <w:spacing w:val="-1"/>
          <w:sz w:val="22"/>
          <w:szCs w:val="22"/>
        </w:rPr>
        <w:t>16</w:t>
      </w:r>
      <w:r>
        <w:rPr>
          <w:rFonts w:ascii="Arial" w:hAnsi="Arial" w:cs="Arial"/>
          <w:sz w:val="22"/>
          <w:szCs w:val="22"/>
        </w:rPr>
        <w:t>%</w:t>
      </w:r>
      <w:r>
        <w:rPr>
          <w:rFonts w:ascii="Arial" w:hAnsi="Arial" w:cs="Arial"/>
          <w:spacing w:val="-1"/>
          <w:sz w:val="22"/>
          <w:szCs w:val="22"/>
        </w:rPr>
        <w:t xml:space="preserve"> o</w:t>
      </w:r>
      <w:r>
        <w:rPr>
          <w:rFonts w:ascii="Arial" w:hAnsi="Arial" w:cs="Arial"/>
          <w:spacing w:val="-3"/>
          <w:sz w:val="22"/>
          <w:szCs w:val="22"/>
        </w:rPr>
        <w:t>b</w:t>
      </w:r>
      <w:r>
        <w:rPr>
          <w:rFonts w:ascii="Arial" w:hAnsi="Arial" w:cs="Arial"/>
          <w:sz w:val="22"/>
          <w:szCs w:val="22"/>
        </w:rPr>
        <w:t>s</w:t>
      </w:r>
      <w:r>
        <w:rPr>
          <w:rFonts w:ascii="Arial" w:hAnsi="Arial" w:cs="Arial"/>
          <w:spacing w:val="-1"/>
          <w:sz w:val="22"/>
          <w:szCs w:val="22"/>
        </w:rPr>
        <w:t>e</w:t>
      </w:r>
      <w:r>
        <w:rPr>
          <w:rFonts w:ascii="Arial" w:hAnsi="Arial" w:cs="Arial"/>
          <w:sz w:val="22"/>
          <w:szCs w:val="22"/>
        </w:rPr>
        <w:t>r</w:t>
      </w:r>
      <w:r>
        <w:rPr>
          <w:rFonts w:ascii="Arial" w:hAnsi="Arial" w:cs="Arial"/>
          <w:spacing w:val="-3"/>
          <w:sz w:val="22"/>
          <w:szCs w:val="22"/>
        </w:rPr>
        <w:t>v</w:t>
      </w:r>
      <w:r>
        <w:rPr>
          <w:rFonts w:ascii="Arial" w:hAnsi="Arial" w:cs="Arial"/>
          <w:spacing w:val="-1"/>
          <w:sz w:val="22"/>
          <w:szCs w:val="22"/>
        </w:rPr>
        <w:t>e</w:t>
      </w:r>
      <w:r>
        <w:rPr>
          <w:rFonts w:ascii="Arial" w:hAnsi="Arial" w:cs="Arial"/>
          <w:sz w:val="22"/>
          <w:szCs w:val="22"/>
        </w:rPr>
        <w:t xml:space="preserve">d </w:t>
      </w:r>
      <w:r>
        <w:rPr>
          <w:rFonts w:ascii="Arial" w:hAnsi="Arial" w:cs="Arial"/>
          <w:spacing w:val="-3"/>
          <w:sz w:val="22"/>
          <w:szCs w:val="22"/>
        </w:rPr>
        <w:t>v</w:t>
      </w:r>
      <w:r>
        <w:rPr>
          <w:rFonts w:ascii="Arial" w:hAnsi="Arial" w:cs="Arial"/>
          <w:sz w:val="22"/>
          <w:szCs w:val="22"/>
        </w:rPr>
        <w:t>s.</w:t>
      </w:r>
      <w:r>
        <w:rPr>
          <w:rFonts w:ascii="Arial" w:hAnsi="Arial" w:cs="Arial"/>
          <w:spacing w:val="-1"/>
          <w:sz w:val="22"/>
          <w:szCs w:val="22"/>
        </w:rPr>
        <w:t xml:space="preserve"> 2</w:t>
      </w:r>
      <w:r>
        <w:rPr>
          <w:rFonts w:ascii="Arial" w:hAnsi="Arial" w:cs="Arial"/>
          <w:spacing w:val="-3"/>
          <w:sz w:val="22"/>
          <w:szCs w:val="22"/>
        </w:rPr>
        <w:t>5</w:t>
      </w:r>
      <w:r>
        <w:rPr>
          <w:rFonts w:ascii="Arial" w:hAnsi="Arial" w:cs="Arial"/>
          <w:sz w:val="22"/>
          <w:szCs w:val="22"/>
        </w:rPr>
        <w:t>%</w:t>
      </w:r>
      <w:r>
        <w:rPr>
          <w:rFonts w:ascii="Arial" w:hAnsi="Arial" w:cs="Arial"/>
          <w:spacing w:val="-1"/>
          <w:sz w:val="22"/>
          <w:szCs w:val="22"/>
        </w:rPr>
        <w:t xml:space="preserve"> LC</w:t>
      </w:r>
      <w:r>
        <w:rPr>
          <w:rFonts w:ascii="Arial" w:hAnsi="Arial" w:cs="Arial"/>
          <w:sz w:val="22"/>
          <w:szCs w:val="22"/>
        </w:rPr>
        <w:t>R</w:t>
      </w:r>
      <w:r>
        <w:rPr>
          <w:rFonts w:ascii="Arial" w:hAnsi="Arial" w:cs="Arial"/>
          <w:spacing w:val="-3"/>
          <w:sz w:val="22"/>
          <w:szCs w:val="22"/>
        </w:rPr>
        <w:t xml:space="preserve"> </w:t>
      </w:r>
      <w:r>
        <w:rPr>
          <w:rFonts w:ascii="Arial" w:hAnsi="Arial" w:cs="Arial"/>
          <w:spacing w:val="1"/>
          <w:sz w:val="22"/>
          <w:szCs w:val="22"/>
        </w:rPr>
        <w:t>f</w:t>
      </w:r>
      <w:r>
        <w:rPr>
          <w:rFonts w:ascii="Arial" w:hAnsi="Arial" w:cs="Arial"/>
          <w:spacing w:val="-1"/>
          <w:sz w:val="22"/>
          <w:szCs w:val="22"/>
        </w:rPr>
        <w:t>o</w:t>
      </w:r>
      <w:r>
        <w:rPr>
          <w:rFonts w:ascii="Arial" w:hAnsi="Arial" w:cs="Arial"/>
          <w:sz w:val="22"/>
          <w:szCs w:val="22"/>
        </w:rPr>
        <w:t>r</w:t>
      </w:r>
      <w:r>
        <w:rPr>
          <w:rFonts w:ascii="Arial" w:hAnsi="Arial" w:cs="Arial"/>
          <w:spacing w:val="-3"/>
          <w:sz w:val="22"/>
          <w:szCs w:val="22"/>
        </w:rPr>
        <w:t xml:space="preserve"> </w:t>
      </w:r>
      <w:r>
        <w:rPr>
          <w:rFonts w:ascii="Arial" w:hAnsi="Arial" w:cs="Arial"/>
          <w:spacing w:val="-1"/>
          <w:sz w:val="22"/>
          <w:szCs w:val="22"/>
        </w:rPr>
        <w:t>ope</w:t>
      </w:r>
      <w:r>
        <w:rPr>
          <w:rFonts w:ascii="Arial" w:hAnsi="Arial" w:cs="Arial"/>
          <w:sz w:val="22"/>
          <w:szCs w:val="22"/>
        </w:rPr>
        <w:t>r</w:t>
      </w:r>
      <w:r>
        <w:rPr>
          <w:rFonts w:ascii="Arial" w:hAnsi="Arial" w:cs="Arial"/>
          <w:spacing w:val="-3"/>
          <w:sz w:val="22"/>
          <w:szCs w:val="22"/>
        </w:rPr>
        <w:t>a</w:t>
      </w:r>
      <w:r>
        <w:rPr>
          <w:rFonts w:ascii="Arial" w:hAnsi="Arial" w:cs="Arial"/>
          <w:spacing w:val="1"/>
          <w:sz w:val="22"/>
          <w:szCs w:val="22"/>
        </w:rPr>
        <w:t>t</w:t>
      </w:r>
      <w:r>
        <w:rPr>
          <w:rFonts w:ascii="Arial" w:hAnsi="Arial" w:cs="Arial"/>
          <w:spacing w:val="-1"/>
          <w:sz w:val="22"/>
          <w:szCs w:val="22"/>
        </w:rPr>
        <w:t>ional</w:t>
      </w:r>
      <w:r>
        <w:rPr>
          <w:rFonts w:ascii="Arial" w:hAnsi="Arial" w:cs="Arial"/>
          <w:sz w:val="22"/>
          <w:szCs w:val="22"/>
        </w:rPr>
        <w:t xml:space="preserve">; </w:t>
      </w:r>
      <w:r>
        <w:rPr>
          <w:rFonts w:ascii="Arial" w:hAnsi="Arial" w:cs="Arial"/>
          <w:spacing w:val="-1"/>
          <w:sz w:val="22"/>
          <w:szCs w:val="22"/>
        </w:rPr>
        <w:t>41</w:t>
      </w:r>
      <w:r>
        <w:rPr>
          <w:rFonts w:ascii="Arial" w:hAnsi="Arial" w:cs="Arial"/>
          <w:sz w:val="22"/>
          <w:szCs w:val="22"/>
        </w:rPr>
        <w:t>%</w:t>
      </w:r>
      <w:r>
        <w:rPr>
          <w:rFonts w:ascii="Arial" w:hAnsi="Arial" w:cs="Arial"/>
          <w:spacing w:val="-1"/>
          <w:sz w:val="22"/>
          <w:szCs w:val="22"/>
        </w:rPr>
        <w:t xml:space="preserve"> ob</w:t>
      </w:r>
      <w:r>
        <w:rPr>
          <w:rFonts w:ascii="Arial" w:hAnsi="Arial" w:cs="Arial"/>
          <w:sz w:val="22"/>
          <w:szCs w:val="22"/>
        </w:rPr>
        <w:t>s</w:t>
      </w:r>
      <w:r>
        <w:rPr>
          <w:rFonts w:ascii="Arial" w:hAnsi="Arial" w:cs="Arial"/>
          <w:spacing w:val="-3"/>
          <w:sz w:val="22"/>
          <w:szCs w:val="22"/>
        </w:rPr>
        <w:t>e</w:t>
      </w:r>
      <w:r>
        <w:rPr>
          <w:rFonts w:ascii="Arial" w:hAnsi="Arial" w:cs="Arial"/>
          <w:sz w:val="22"/>
          <w:szCs w:val="22"/>
        </w:rPr>
        <w:t>r</w:t>
      </w:r>
      <w:r>
        <w:rPr>
          <w:rFonts w:ascii="Arial" w:hAnsi="Arial" w:cs="Arial"/>
          <w:spacing w:val="-3"/>
          <w:sz w:val="22"/>
          <w:szCs w:val="22"/>
        </w:rPr>
        <w:t>v</w:t>
      </w:r>
      <w:r>
        <w:rPr>
          <w:rFonts w:ascii="Arial" w:hAnsi="Arial" w:cs="Arial"/>
          <w:spacing w:val="-1"/>
          <w:sz w:val="22"/>
          <w:szCs w:val="22"/>
        </w:rPr>
        <w:t>e</w:t>
      </w:r>
      <w:r>
        <w:rPr>
          <w:rFonts w:ascii="Arial" w:hAnsi="Arial" w:cs="Arial"/>
          <w:sz w:val="22"/>
          <w:szCs w:val="22"/>
        </w:rPr>
        <w:t xml:space="preserve">d </w:t>
      </w:r>
      <w:r>
        <w:rPr>
          <w:rFonts w:ascii="Arial" w:hAnsi="Arial" w:cs="Arial"/>
          <w:spacing w:val="-3"/>
          <w:sz w:val="22"/>
          <w:szCs w:val="22"/>
        </w:rPr>
        <w:t>v</w:t>
      </w:r>
      <w:r>
        <w:rPr>
          <w:rFonts w:ascii="Arial" w:hAnsi="Arial" w:cs="Arial"/>
          <w:sz w:val="22"/>
          <w:szCs w:val="22"/>
        </w:rPr>
        <w:t>s.</w:t>
      </w:r>
      <w:r w:rsidR="00F70CD3">
        <w:rPr>
          <w:rFonts w:ascii="Arial" w:hAnsi="Arial" w:cs="Arial"/>
          <w:spacing w:val="-1"/>
          <w:sz w:val="22"/>
          <w:szCs w:val="22"/>
        </w:rPr>
        <w:t xml:space="preserve"> 40</w:t>
      </w:r>
      <w:r>
        <w:rPr>
          <w:rFonts w:ascii="Arial" w:hAnsi="Arial" w:cs="Arial"/>
          <w:sz w:val="22"/>
          <w:szCs w:val="22"/>
        </w:rPr>
        <w:t>%</w:t>
      </w:r>
      <w:r>
        <w:rPr>
          <w:rFonts w:ascii="Arial" w:hAnsi="Arial" w:cs="Arial"/>
          <w:spacing w:val="-1"/>
          <w:sz w:val="22"/>
          <w:szCs w:val="22"/>
        </w:rPr>
        <w:t xml:space="preserve"> </w:t>
      </w:r>
      <w:r>
        <w:rPr>
          <w:rFonts w:ascii="Arial" w:hAnsi="Arial" w:cs="Arial"/>
          <w:spacing w:val="-3"/>
          <w:sz w:val="22"/>
          <w:szCs w:val="22"/>
        </w:rPr>
        <w:t>L</w:t>
      </w:r>
      <w:r>
        <w:rPr>
          <w:rFonts w:ascii="Arial" w:hAnsi="Arial" w:cs="Arial"/>
          <w:spacing w:val="-1"/>
          <w:sz w:val="22"/>
          <w:szCs w:val="22"/>
        </w:rPr>
        <w:t>C</w:t>
      </w:r>
      <w:r>
        <w:rPr>
          <w:rFonts w:ascii="Arial" w:hAnsi="Arial" w:cs="Arial"/>
          <w:sz w:val="22"/>
          <w:szCs w:val="22"/>
        </w:rPr>
        <w:t>R</w:t>
      </w:r>
      <w:r>
        <w:rPr>
          <w:rFonts w:ascii="Arial" w:hAnsi="Arial" w:cs="Arial"/>
          <w:spacing w:val="-3"/>
          <w:sz w:val="22"/>
          <w:szCs w:val="22"/>
        </w:rPr>
        <w:t xml:space="preserve"> </w:t>
      </w:r>
      <w:r>
        <w:rPr>
          <w:rFonts w:ascii="Arial" w:hAnsi="Arial" w:cs="Arial"/>
          <w:spacing w:val="3"/>
          <w:sz w:val="22"/>
          <w:szCs w:val="22"/>
        </w:rPr>
        <w:t>f</w:t>
      </w:r>
      <w:r>
        <w:rPr>
          <w:rFonts w:ascii="Arial" w:hAnsi="Arial" w:cs="Arial"/>
          <w:spacing w:val="-1"/>
          <w:sz w:val="22"/>
          <w:szCs w:val="22"/>
        </w:rPr>
        <w:t>o</w:t>
      </w:r>
      <w:r>
        <w:rPr>
          <w:rFonts w:ascii="Arial" w:hAnsi="Arial" w:cs="Arial"/>
          <w:sz w:val="22"/>
          <w:szCs w:val="22"/>
        </w:rPr>
        <w:t>r</w:t>
      </w:r>
      <w:r>
        <w:rPr>
          <w:rFonts w:ascii="Arial" w:hAnsi="Arial" w:cs="Arial"/>
          <w:spacing w:val="-1"/>
          <w:sz w:val="22"/>
          <w:szCs w:val="22"/>
        </w:rPr>
        <w:t xml:space="preserve"> no</w:t>
      </w:r>
      <w:r>
        <w:rPr>
          <w:rFonts w:ascii="Arial" w:hAnsi="Arial" w:cs="Arial"/>
          <w:spacing w:val="-3"/>
          <w:sz w:val="22"/>
          <w:szCs w:val="22"/>
        </w:rPr>
        <w:t>n</w:t>
      </w:r>
      <w:r>
        <w:rPr>
          <w:rFonts w:ascii="Arial" w:hAnsi="Arial" w:cs="Arial"/>
          <w:sz w:val="22"/>
          <w:szCs w:val="22"/>
        </w:rPr>
        <w:t>-</w:t>
      </w:r>
      <w:r>
        <w:rPr>
          <w:rFonts w:ascii="Arial" w:hAnsi="Arial" w:cs="Arial"/>
          <w:spacing w:val="-1"/>
          <w:sz w:val="22"/>
          <w:szCs w:val="22"/>
        </w:rPr>
        <w:t>op</w:t>
      </w:r>
      <w:r>
        <w:rPr>
          <w:rFonts w:ascii="Arial" w:hAnsi="Arial" w:cs="Arial"/>
          <w:spacing w:val="-3"/>
          <w:sz w:val="22"/>
          <w:szCs w:val="22"/>
        </w:rPr>
        <w:t>e</w:t>
      </w:r>
      <w:r>
        <w:rPr>
          <w:rFonts w:ascii="Arial" w:hAnsi="Arial" w:cs="Arial"/>
          <w:sz w:val="22"/>
          <w:szCs w:val="22"/>
        </w:rPr>
        <w:t>r</w:t>
      </w:r>
      <w:r>
        <w:rPr>
          <w:rFonts w:ascii="Arial" w:hAnsi="Arial" w:cs="Arial"/>
          <w:spacing w:val="-3"/>
          <w:sz w:val="22"/>
          <w:szCs w:val="22"/>
        </w:rPr>
        <w:t>a</w:t>
      </w:r>
      <w:r>
        <w:rPr>
          <w:rFonts w:ascii="Arial" w:hAnsi="Arial" w:cs="Arial"/>
          <w:spacing w:val="1"/>
          <w:sz w:val="22"/>
          <w:szCs w:val="22"/>
        </w:rPr>
        <w:t>t</w:t>
      </w:r>
      <w:r>
        <w:rPr>
          <w:rFonts w:ascii="Arial" w:hAnsi="Arial" w:cs="Arial"/>
          <w:spacing w:val="-1"/>
          <w:sz w:val="22"/>
          <w:szCs w:val="22"/>
        </w:rPr>
        <w:t>ional</w:t>
      </w:r>
      <w:r>
        <w:rPr>
          <w:rFonts w:ascii="Arial" w:hAnsi="Arial" w:cs="Arial"/>
          <w:sz w:val="22"/>
          <w:szCs w:val="22"/>
        </w:rPr>
        <w:t>)</w:t>
      </w:r>
    </w:p>
    <w:p w:rsidR="00182FDA" w:rsidRDefault="00182FDA" w:rsidP="00F70CD3">
      <w:pPr>
        <w:pStyle w:val="NormalWeb"/>
        <w:spacing w:before="81" w:beforeAutospacing="0" w:after="0" w:afterAutospacing="0"/>
        <w:ind w:left="354"/>
      </w:pPr>
    </w:p>
    <w:p w:rsidR="00182FDA" w:rsidRDefault="00182FDA" w:rsidP="00182FDA"/>
    <w:tbl>
      <w:tblPr>
        <w:tblW w:w="5845" w:type="dxa"/>
        <w:jc w:val="center"/>
        <w:tblLook w:val="04A0" w:firstRow="1" w:lastRow="0" w:firstColumn="1" w:lastColumn="0" w:noHBand="0" w:noVBand="1"/>
      </w:tblPr>
      <w:tblGrid>
        <w:gridCol w:w="1644"/>
        <w:gridCol w:w="2257"/>
        <w:gridCol w:w="810"/>
        <w:gridCol w:w="1440"/>
      </w:tblGrid>
      <w:tr w:rsidR="000C320D" w:rsidRPr="00182FDA" w:rsidTr="000E27CA">
        <w:trPr>
          <w:trHeight w:val="300"/>
          <w:jc w:val="center"/>
        </w:trPr>
        <w:tc>
          <w:tcPr>
            <w:tcW w:w="1338" w:type="dxa"/>
            <w:tcBorders>
              <w:top w:val="single" w:sz="4" w:space="0" w:color="auto"/>
              <w:left w:val="single" w:sz="4" w:space="0" w:color="auto"/>
              <w:bottom w:val="nil"/>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b/>
                <w:bCs/>
                <w:color w:val="000000"/>
                <w:sz w:val="28"/>
              </w:rPr>
            </w:pPr>
            <w:r w:rsidRPr="00182FDA">
              <w:rPr>
                <w:rFonts w:ascii="Calibri" w:eastAsia="Times New Roman" w:hAnsi="Calibri" w:cs="Calibri"/>
                <w:b/>
                <w:bCs/>
                <w:color w:val="000000"/>
                <w:sz w:val="28"/>
              </w:rPr>
              <w:t>Benchmarks</w:t>
            </w:r>
          </w:p>
        </w:tc>
        <w:tc>
          <w:tcPr>
            <w:tcW w:w="2257" w:type="dxa"/>
            <w:tcBorders>
              <w:top w:val="single" w:sz="4" w:space="0" w:color="auto"/>
              <w:left w:val="nil"/>
              <w:bottom w:val="nil"/>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b/>
                <w:bCs/>
                <w:color w:val="000000"/>
                <w:sz w:val="28"/>
              </w:rPr>
            </w:pPr>
            <w:r w:rsidRPr="00182FDA">
              <w:rPr>
                <w:rFonts w:ascii="Calibri" w:eastAsia="Times New Roman" w:hAnsi="Calibri" w:cs="Calibri"/>
                <w:b/>
                <w:bCs/>
                <w:color w:val="000000"/>
                <w:sz w:val="28"/>
              </w:rPr>
              <w:t>Classification</w:t>
            </w:r>
          </w:p>
        </w:tc>
        <w:tc>
          <w:tcPr>
            <w:tcW w:w="810" w:type="dxa"/>
            <w:tcBorders>
              <w:top w:val="single" w:sz="4" w:space="0" w:color="auto"/>
              <w:left w:val="nil"/>
              <w:bottom w:val="nil"/>
              <w:right w:val="nil"/>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b/>
                <w:bCs/>
                <w:color w:val="000000"/>
                <w:sz w:val="28"/>
              </w:rPr>
            </w:pPr>
            <w:r w:rsidRPr="00182FDA">
              <w:rPr>
                <w:rFonts w:ascii="Calibri" w:eastAsia="Times New Roman" w:hAnsi="Calibri" w:cs="Calibri"/>
                <w:b/>
                <w:bCs/>
                <w:color w:val="000000"/>
                <w:sz w:val="28"/>
              </w:rPr>
              <w:t>TCH</w:t>
            </w:r>
          </w:p>
        </w:tc>
        <w:tc>
          <w:tcPr>
            <w:tcW w:w="1440" w:type="dxa"/>
            <w:tcBorders>
              <w:top w:val="single" w:sz="4" w:space="0" w:color="auto"/>
              <w:left w:val="nil"/>
              <w:bottom w:val="nil"/>
              <w:right w:val="single" w:sz="4" w:space="0" w:color="auto"/>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b/>
                <w:bCs/>
                <w:color w:val="000000"/>
                <w:sz w:val="28"/>
              </w:rPr>
            </w:pPr>
            <w:r w:rsidRPr="00182FDA">
              <w:rPr>
                <w:rFonts w:ascii="Calibri" w:eastAsia="Times New Roman" w:hAnsi="Calibri" w:cs="Calibri"/>
                <w:b/>
                <w:bCs/>
                <w:color w:val="000000"/>
                <w:sz w:val="28"/>
              </w:rPr>
              <w:t>LCR</w:t>
            </w:r>
          </w:p>
        </w:tc>
      </w:tr>
      <w:tr w:rsidR="000C320D" w:rsidRPr="00182FDA" w:rsidTr="000E27CA">
        <w:trPr>
          <w:trHeight w:val="300"/>
          <w:jc w:val="center"/>
        </w:trPr>
        <w:tc>
          <w:tcPr>
            <w:tcW w:w="1338" w:type="dxa"/>
            <w:tcBorders>
              <w:top w:val="single" w:sz="4" w:space="0" w:color="auto"/>
              <w:left w:val="single" w:sz="4" w:space="0" w:color="auto"/>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Banks</w:t>
            </w:r>
          </w:p>
        </w:tc>
        <w:tc>
          <w:tcPr>
            <w:tcW w:w="2257" w:type="dxa"/>
            <w:tcBorders>
              <w:top w:val="single" w:sz="4" w:space="0" w:color="auto"/>
              <w:left w:val="nil"/>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Operational</w:t>
            </w:r>
          </w:p>
        </w:tc>
        <w:tc>
          <w:tcPr>
            <w:tcW w:w="810" w:type="dxa"/>
            <w:tcBorders>
              <w:top w:val="single" w:sz="4" w:space="0" w:color="auto"/>
              <w:left w:val="nil"/>
              <w:bottom w:val="nil"/>
              <w:right w:val="nil"/>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23%</w:t>
            </w:r>
          </w:p>
        </w:tc>
        <w:tc>
          <w:tcPr>
            <w:tcW w:w="1440" w:type="dxa"/>
            <w:tcBorders>
              <w:top w:val="single" w:sz="4" w:space="0" w:color="auto"/>
              <w:left w:val="nil"/>
              <w:bottom w:val="nil"/>
              <w:right w:val="single" w:sz="4" w:space="0" w:color="auto"/>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25%</w:t>
            </w:r>
          </w:p>
        </w:tc>
      </w:tr>
      <w:tr w:rsidR="000C320D" w:rsidRPr="00182FDA" w:rsidTr="000E27CA">
        <w:trPr>
          <w:trHeight w:val="300"/>
          <w:jc w:val="center"/>
        </w:trPr>
        <w:tc>
          <w:tcPr>
            <w:tcW w:w="1338" w:type="dxa"/>
            <w:tcBorders>
              <w:top w:val="nil"/>
              <w:left w:val="single" w:sz="4" w:space="0" w:color="auto"/>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 </w:t>
            </w:r>
          </w:p>
        </w:tc>
        <w:tc>
          <w:tcPr>
            <w:tcW w:w="2257"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Non-operational</w:t>
            </w:r>
          </w:p>
        </w:tc>
        <w:tc>
          <w:tcPr>
            <w:tcW w:w="810"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38%</w:t>
            </w:r>
          </w:p>
        </w:tc>
        <w:tc>
          <w:tcPr>
            <w:tcW w:w="1440" w:type="dxa"/>
            <w:tcBorders>
              <w:top w:val="nil"/>
              <w:left w:val="nil"/>
              <w:bottom w:val="single" w:sz="4" w:space="0" w:color="auto"/>
              <w:right w:val="single" w:sz="4" w:space="0" w:color="auto"/>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100%</w:t>
            </w:r>
          </w:p>
        </w:tc>
      </w:tr>
      <w:tr w:rsidR="000C320D" w:rsidRPr="00182FDA" w:rsidTr="000E27CA">
        <w:trPr>
          <w:trHeight w:val="300"/>
          <w:jc w:val="center"/>
        </w:trPr>
        <w:tc>
          <w:tcPr>
            <w:tcW w:w="1338" w:type="dxa"/>
            <w:tcBorders>
              <w:top w:val="nil"/>
              <w:left w:val="single" w:sz="4" w:space="0" w:color="auto"/>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NBFI</w:t>
            </w:r>
          </w:p>
        </w:tc>
        <w:tc>
          <w:tcPr>
            <w:tcW w:w="2257" w:type="dxa"/>
            <w:tcBorders>
              <w:top w:val="nil"/>
              <w:left w:val="nil"/>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Operational</w:t>
            </w:r>
          </w:p>
        </w:tc>
        <w:tc>
          <w:tcPr>
            <w:tcW w:w="810" w:type="dxa"/>
            <w:tcBorders>
              <w:top w:val="nil"/>
              <w:left w:val="nil"/>
              <w:bottom w:val="nil"/>
              <w:right w:val="nil"/>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23%</w:t>
            </w:r>
          </w:p>
        </w:tc>
        <w:tc>
          <w:tcPr>
            <w:tcW w:w="1440" w:type="dxa"/>
            <w:tcBorders>
              <w:top w:val="nil"/>
              <w:left w:val="nil"/>
              <w:bottom w:val="nil"/>
              <w:right w:val="single" w:sz="4" w:space="0" w:color="auto"/>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25%</w:t>
            </w:r>
          </w:p>
        </w:tc>
      </w:tr>
      <w:tr w:rsidR="000C320D" w:rsidRPr="00182FDA" w:rsidTr="000E27CA">
        <w:trPr>
          <w:trHeight w:val="300"/>
          <w:jc w:val="center"/>
        </w:trPr>
        <w:tc>
          <w:tcPr>
            <w:tcW w:w="1338" w:type="dxa"/>
            <w:tcBorders>
              <w:top w:val="nil"/>
              <w:left w:val="single" w:sz="4" w:space="0" w:color="auto"/>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 </w:t>
            </w:r>
          </w:p>
        </w:tc>
        <w:tc>
          <w:tcPr>
            <w:tcW w:w="2257"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Non-operational</w:t>
            </w:r>
          </w:p>
        </w:tc>
        <w:tc>
          <w:tcPr>
            <w:tcW w:w="810"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38%</w:t>
            </w:r>
          </w:p>
        </w:tc>
        <w:tc>
          <w:tcPr>
            <w:tcW w:w="1440" w:type="dxa"/>
            <w:tcBorders>
              <w:top w:val="nil"/>
              <w:left w:val="nil"/>
              <w:bottom w:val="single" w:sz="4" w:space="0" w:color="auto"/>
              <w:right w:val="single" w:sz="4" w:space="0" w:color="auto"/>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100%</w:t>
            </w:r>
          </w:p>
        </w:tc>
      </w:tr>
      <w:tr w:rsidR="000C320D" w:rsidRPr="00182FDA" w:rsidTr="000E27CA">
        <w:trPr>
          <w:trHeight w:val="300"/>
          <w:jc w:val="center"/>
        </w:trPr>
        <w:tc>
          <w:tcPr>
            <w:tcW w:w="1338" w:type="dxa"/>
            <w:tcBorders>
              <w:top w:val="nil"/>
              <w:left w:val="single" w:sz="4" w:space="0" w:color="auto"/>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Corporates</w:t>
            </w:r>
          </w:p>
        </w:tc>
        <w:tc>
          <w:tcPr>
            <w:tcW w:w="2257" w:type="dxa"/>
            <w:tcBorders>
              <w:top w:val="nil"/>
              <w:left w:val="nil"/>
              <w:bottom w:val="nil"/>
              <w:right w:val="nil"/>
            </w:tcBorders>
            <w:shd w:val="clear" w:color="000000" w:fill="E6B8B7"/>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Operational</w:t>
            </w:r>
          </w:p>
        </w:tc>
        <w:tc>
          <w:tcPr>
            <w:tcW w:w="810" w:type="dxa"/>
            <w:tcBorders>
              <w:top w:val="nil"/>
              <w:left w:val="nil"/>
              <w:bottom w:val="nil"/>
              <w:right w:val="nil"/>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16%</w:t>
            </w:r>
          </w:p>
        </w:tc>
        <w:tc>
          <w:tcPr>
            <w:tcW w:w="1440" w:type="dxa"/>
            <w:tcBorders>
              <w:top w:val="nil"/>
              <w:left w:val="nil"/>
              <w:bottom w:val="nil"/>
              <w:right w:val="single" w:sz="4" w:space="0" w:color="auto"/>
            </w:tcBorders>
            <w:shd w:val="clear" w:color="000000" w:fill="E6B8B7"/>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25%</w:t>
            </w:r>
          </w:p>
        </w:tc>
      </w:tr>
      <w:tr w:rsidR="000C320D" w:rsidRPr="00182FDA" w:rsidTr="000E27CA">
        <w:trPr>
          <w:trHeight w:val="300"/>
          <w:jc w:val="center"/>
        </w:trPr>
        <w:tc>
          <w:tcPr>
            <w:tcW w:w="1338" w:type="dxa"/>
            <w:tcBorders>
              <w:top w:val="nil"/>
              <w:left w:val="single" w:sz="4" w:space="0" w:color="auto"/>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 </w:t>
            </w:r>
          </w:p>
        </w:tc>
        <w:tc>
          <w:tcPr>
            <w:tcW w:w="2257"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rPr>
                <w:rFonts w:ascii="Calibri" w:eastAsia="Times New Roman" w:hAnsi="Calibri" w:cs="Calibri"/>
                <w:color w:val="000000"/>
                <w:sz w:val="28"/>
              </w:rPr>
            </w:pPr>
            <w:r w:rsidRPr="00182FDA">
              <w:rPr>
                <w:rFonts w:ascii="Calibri" w:eastAsia="Times New Roman" w:hAnsi="Calibri" w:cs="Calibri"/>
                <w:color w:val="000000"/>
                <w:sz w:val="28"/>
              </w:rPr>
              <w:t>Non-operational</w:t>
            </w:r>
          </w:p>
        </w:tc>
        <w:tc>
          <w:tcPr>
            <w:tcW w:w="810" w:type="dxa"/>
            <w:tcBorders>
              <w:top w:val="nil"/>
              <w:left w:val="nil"/>
              <w:bottom w:val="single" w:sz="4" w:space="0" w:color="auto"/>
              <w:right w:val="nil"/>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41%</w:t>
            </w:r>
          </w:p>
        </w:tc>
        <w:tc>
          <w:tcPr>
            <w:tcW w:w="1440" w:type="dxa"/>
            <w:tcBorders>
              <w:top w:val="nil"/>
              <w:left w:val="nil"/>
              <w:bottom w:val="single" w:sz="4" w:space="0" w:color="auto"/>
              <w:right w:val="single" w:sz="4" w:space="0" w:color="auto"/>
            </w:tcBorders>
            <w:shd w:val="clear" w:color="auto" w:fill="auto"/>
            <w:noWrap/>
            <w:vAlign w:val="bottom"/>
            <w:hideMark/>
          </w:tcPr>
          <w:p w:rsidR="000C320D" w:rsidRPr="00182FDA" w:rsidRDefault="000C320D" w:rsidP="000E27CA">
            <w:pPr>
              <w:spacing w:after="0" w:line="240" w:lineRule="auto"/>
              <w:jc w:val="center"/>
              <w:rPr>
                <w:rFonts w:ascii="Calibri" w:eastAsia="Times New Roman" w:hAnsi="Calibri" w:cs="Calibri"/>
                <w:color w:val="000000"/>
                <w:sz w:val="28"/>
              </w:rPr>
            </w:pPr>
            <w:r w:rsidRPr="00182FDA">
              <w:rPr>
                <w:rFonts w:ascii="Calibri" w:eastAsia="Times New Roman" w:hAnsi="Calibri" w:cs="Calibri"/>
                <w:color w:val="000000"/>
                <w:sz w:val="28"/>
              </w:rPr>
              <w:t>40%</w:t>
            </w:r>
          </w:p>
        </w:tc>
      </w:tr>
    </w:tbl>
    <w:p w:rsidR="000C320D" w:rsidRDefault="000C320D" w:rsidP="00182FDA"/>
    <w:p w:rsidR="00B005E4" w:rsidRPr="000C320D" w:rsidRDefault="000C320D" w:rsidP="000C320D">
      <w:pPr>
        <w:pStyle w:val="Heading1"/>
        <w:spacing w:after="240"/>
        <w:rPr>
          <w:rStyle w:val="SubtleReference"/>
        </w:rPr>
      </w:pPr>
      <w:r w:rsidRPr="000C320D">
        <w:rPr>
          <w:rStyle w:val="SubtleReference"/>
        </w:rPr>
        <w:t>KPMG SNL Analysis</w:t>
      </w:r>
    </w:p>
    <w:p w:rsidR="00B005E4" w:rsidRPr="00932AD9" w:rsidRDefault="00B005E4" w:rsidP="00B005E4">
      <w:pPr>
        <w:pStyle w:val="ListParagraph"/>
        <w:numPr>
          <w:ilvl w:val="0"/>
          <w:numId w:val="3"/>
        </w:numPr>
        <w:jc w:val="both"/>
        <w:rPr>
          <w:rFonts w:ascii="Arial" w:hAnsi="Arial" w:cs="Arial"/>
          <w:b/>
          <w:u w:val="single"/>
        </w:rPr>
      </w:pPr>
      <w:r>
        <w:rPr>
          <w:rFonts w:ascii="Arial" w:hAnsi="Arial" w:cs="Arial"/>
          <w:b/>
          <w:u w:val="single"/>
        </w:rPr>
        <w:t>TOTAL BANK DEPOSIT OUTFLOW ANALYSIS</w:t>
      </w:r>
    </w:p>
    <w:p w:rsidR="00B005E4" w:rsidRDefault="00B005E4" w:rsidP="00B005E4">
      <w:pPr>
        <w:jc w:val="both"/>
        <w:rPr>
          <w:rFonts w:ascii="Arial" w:hAnsi="Arial" w:cs="Arial"/>
        </w:rPr>
      </w:pPr>
      <w:r>
        <w:rPr>
          <w:rFonts w:ascii="Arial" w:hAnsi="Arial" w:cs="Arial"/>
        </w:rPr>
        <w:t>The purpose of this analysis is to document the behavioral characteristics of bank deposits at the highest level, total bank deposits. The analysis will utilize two groups of historical data sets summarized below:</w:t>
      </w:r>
    </w:p>
    <w:p w:rsidR="00B005E4" w:rsidRDefault="00B005E4" w:rsidP="00B005E4">
      <w:pPr>
        <w:pStyle w:val="ListParagraph"/>
        <w:numPr>
          <w:ilvl w:val="0"/>
          <w:numId w:val="4"/>
        </w:numPr>
        <w:jc w:val="both"/>
        <w:rPr>
          <w:rFonts w:ascii="Arial" w:hAnsi="Arial" w:cs="Arial"/>
        </w:rPr>
      </w:pPr>
      <w:r w:rsidRPr="00B005E4">
        <w:rPr>
          <w:rFonts w:ascii="Arial" w:hAnsi="Arial" w:cs="Arial"/>
          <w:b/>
        </w:rPr>
        <w:t>Large/Small</w:t>
      </w:r>
      <w:r w:rsidRPr="00B005E4">
        <w:rPr>
          <w:rFonts w:ascii="Arial" w:hAnsi="Arial" w:cs="Arial"/>
          <w:b/>
        </w:rPr>
        <w:t xml:space="preserve"> </w:t>
      </w:r>
      <w:r w:rsidRPr="00A74D17">
        <w:rPr>
          <w:rFonts w:ascii="Arial" w:hAnsi="Arial" w:cs="Arial"/>
          <w:b/>
        </w:rPr>
        <w:t>bank</w:t>
      </w:r>
      <w:r>
        <w:rPr>
          <w:rFonts w:ascii="Arial" w:hAnsi="Arial" w:cs="Arial"/>
        </w:rPr>
        <w:t>:</w:t>
      </w:r>
      <w:r w:rsidRPr="00377D7E">
        <w:rPr>
          <w:rFonts w:ascii="Arial" w:hAnsi="Arial" w:cs="Arial"/>
        </w:rPr>
        <w:t xml:space="preserve"> </w:t>
      </w:r>
      <w:r>
        <w:rPr>
          <w:rFonts w:ascii="Arial" w:hAnsi="Arial" w:cs="Arial"/>
        </w:rPr>
        <w:t>includes bank data from the quarters ending December 31, 2004 through December 31, 2015. This data was sourced from SNL reports with synthesized information from FR Y9C submissions.</w:t>
      </w:r>
    </w:p>
    <w:p w:rsidR="00B005E4" w:rsidRPr="00CD6D92" w:rsidRDefault="00B005E4" w:rsidP="00E40C11">
      <w:pPr>
        <w:pStyle w:val="ListParagraph"/>
        <w:numPr>
          <w:ilvl w:val="0"/>
          <w:numId w:val="4"/>
        </w:numPr>
        <w:jc w:val="both"/>
        <w:rPr>
          <w:rFonts w:ascii="Arial" w:hAnsi="Arial" w:cs="Arial"/>
        </w:rPr>
      </w:pPr>
      <w:r w:rsidRPr="00CD6D92">
        <w:rPr>
          <w:rFonts w:ascii="Arial" w:hAnsi="Arial" w:cs="Arial"/>
          <w:b/>
        </w:rPr>
        <w:t>Failed bank</w:t>
      </w:r>
      <w:r w:rsidRPr="00CD6D92">
        <w:rPr>
          <w:rFonts w:ascii="Arial" w:hAnsi="Arial" w:cs="Arial"/>
        </w:rPr>
        <w:t xml:space="preserve">: includes bank data from the quarters ending March 31, 2006 through December 31, 2010. This data was sourced from SNL that synthesizes information from several financial submissions (incl. FR Y9C, FFIEC 041, FDIC TFR, other US GAAP).  </w:t>
      </w:r>
    </w:p>
    <w:p w:rsidR="00B005E4" w:rsidRPr="00AF6019" w:rsidRDefault="00B005E4" w:rsidP="00B005E4">
      <w:pPr>
        <w:pStyle w:val="ListParagraph"/>
        <w:ind w:left="340"/>
        <w:jc w:val="both"/>
        <w:rPr>
          <w:rFonts w:ascii="Arial" w:hAnsi="Arial" w:cs="Arial"/>
        </w:rPr>
      </w:pPr>
    </w:p>
    <w:p w:rsidR="00B005E4" w:rsidRDefault="00B005E4" w:rsidP="00B005E4">
      <w:pPr>
        <w:rPr>
          <w:rFonts w:ascii="Arial" w:hAnsi="Arial" w:cs="Arial"/>
          <w:b/>
        </w:rPr>
      </w:pPr>
      <w:r>
        <w:rPr>
          <w:rFonts w:ascii="Arial" w:hAnsi="Arial" w:cs="Arial"/>
          <w:b/>
        </w:rPr>
        <w:t>SUMMARY OF FINDINGS</w:t>
      </w:r>
    </w:p>
    <w:tbl>
      <w:tblPr>
        <w:tblStyle w:val="TableGrid"/>
        <w:tblW w:w="9445" w:type="dxa"/>
        <w:tblLook w:val="04A0" w:firstRow="1" w:lastRow="0" w:firstColumn="1" w:lastColumn="0" w:noHBand="0" w:noVBand="1"/>
      </w:tblPr>
      <w:tblGrid>
        <w:gridCol w:w="3116"/>
        <w:gridCol w:w="6329"/>
      </w:tblGrid>
      <w:tr w:rsidR="00B005E4" w:rsidTr="000E27CA">
        <w:tc>
          <w:tcPr>
            <w:tcW w:w="3116" w:type="dxa"/>
            <w:shd w:val="clear" w:color="auto" w:fill="D9D9D9" w:themeFill="background1" w:themeFillShade="D9"/>
          </w:tcPr>
          <w:p w:rsidR="00B005E4" w:rsidRDefault="00B005E4" w:rsidP="000E27CA">
            <w:pPr>
              <w:spacing w:after="160" w:line="259" w:lineRule="auto"/>
              <w:rPr>
                <w:rFonts w:ascii="Arial" w:hAnsi="Arial" w:cs="Arial"/>
                <w:b/>
              </w:rPr>
            </w:pPr>
            <w:r>
              <w:rPr>
                <w:rFonts w:ascii="Arial" w:hAnsi="Arial" w:cs="Arial"/>
                <w:b/>
              </w:rPr>
              <w:t>Informational Element</w:t>
            </w:r>
          </w:p>
        </w:tc>
        <w:tc>
          <w:tcPr>
            <w:tcW w:w="6329" w:type="dxa"/>
            <w:shd w:val="clear" w:color="auto" w:fill="D9D9D9" w:themeFill="background1" w:themeFillShade="D9"/>
          </w:tcPr>
          <w:p w:rsidR="00B005E4" w:rsidRDefault="00B005E4" w:rsidP="000E27CA">
            <w:pPr>
              <w:spacing w:after="160" w:line="259" w:lineRule="auto"/>
              <w:rPr>
                <w:rFonts w:ascii="Arial" w:hAnsi="Arial" w:cs="Arial"/>
                <w:b/>
              </w:rPr>
            </w:pPr>
            <w:r>
              <w:rPr>
                <w:rFonts w:ascii="Arial" w:hAnsi="Arial" w:cs="Arial"/>
                <w:b/>
              </w:rPr>
              <w:t>Findings</w:t>
            </w:r>
          </w:p>
        </w:tc>
      </w:tr>
      <w:tr w:rsidR="00B005E4" w:rsidRPr="00004A3E" w:rsidTr="000E27CA">
        <w:tc>
          <w:tcPr>
            <w:tcW w:w="3116" w:type="dxa"/>
          </w:tcPr>
          <w:p w:rsidR="00B005E4" w:rsidRPr="00004A3E" w:rsidRDefault="00B005E4" w:rsidP="000E27CA">
            <w:pPr>
              <w:spacing w:after="160" w:line="259" w:lineRule="auto"/>
              <w:rPr>
                <w:rFonts w:ascii="Arial" w:hAnsi="Arial" w:cs="Arial"/>
              </w:rPr>
            </w:pPr>
            <w:r w:rsidRPr="00004A3E">
              <w:rPr>
                <w:rFonts w:ascii="Arial" w:hAnsi="Arial" w:cs="Arial"/>
              </w:rPr>
              <w:t>Peer Bank Data</w:t>
            </w:r>
          </w:p>
        </w:tc>
        <w:tc>
          <w:tcPr>
            <w:tcW w:w="6329" w:type="dxa"/>
          </w:tcPr>
          <w:p w:rsidR="00B005E4" w:rsidRDefault="00B005E4" w:rsidP="00B005E4">
            <w:pPr>
              <w:pStyle w:val="ListParagraph"/>
              <w:numPr>
                <w:ilvl w:val="0"/>
                <w:numId w:val="5"/>
              </w:numPr>
              <w:spacing w:after="160" w:line="259" w:lineRule="auto"/>
              <w:rPr>
                <w:rFonts w:ascii="Arial" w:hAnsi="Arial" w:cs="Arial"/>
              </w:rPr>
            </w:pPr>
            <w:r>
              <w:rPr>
                <w:rFonts w:ascii="Arial" w:hAnsi="Arial" w:cs="Arial"/>
              </w:rPr>
              <w:t>Most severe outflow rates observed by Institutional Trust &amp; Custody banks (BK and NTRS)</w:t>
            </w:r>
          </w:p>
          <w:p w:rsidR="00B005E4" w:rsidRDefault="00B005E4" w:rsidP="00B005E4">
            <w:pPr>
              <w:pStyle w:val="ListParagraph"/>
              <w:numPr>
                <w:ilvl w:val="0"/>
                <w:numId w:val="5"/>
              </w:numPr>
              <w:spacing w:after="160" w:line="259" w:lineRule="auto"/>
              <w:ind w:left="680"/>
              <w:rPr>
                <w:rFonts w:ascii="Arial" w:hAnsi="Arial" w:cs="Arial"/>
              </w:rPr>
            </w:pPr>
            <w:r>
              <w:rPr>
                <w:rFonts w:ascii="Arial" w:hAnsi="Arial" w:cs="Arial"/>
              </w:rPr>
              <w:t>BK (3M, 6M, 9M): -16%, -23%, -24%</w:t>
            </w:r>
          </w:p>
          <w:p w:rsidR="00B005E4" w:rsidRDefault="00B005E4" w:rsidP="00B005E4">
            <w:pPr>
              <w:pStyle w:val="ListParagraph"/>
              <w:numPr>
                <w:ilvl w:val="0"/>
                <w:numId w:val="5"/>
              </w:numPr>
              <w:spacing w:after="160" w:line="259" w:lineRule="auto"/>
              <w:ind w:left="680"/>
              <w:rPr>
                <w:rFonts w:ascii="Arial" w:hAnsi="Arial" w:cs="Arial"/>
              </w:rPr>
            </w:pPr>
            <w:r>
              <w:rPr>
                <w:rFonts w:ascii="Arial" w:hAnsi="Arial" w:cs="Arial"/>
              </w:rPr>
              <w:t>NTRS (3M, 6M): -15%, -15%</w:t>
            </w:r>
          </w:p>
          <w:p w:rsidR="00B005E4" w:rsidRPr="00750FCB" w:rsidRDefault="00B005E4" w:rsidP="00B005E4">
            <w:pPr>
              <w:pStyle w:val="ListParagraph"/>
              <w:numPr>
                <w:ilvl w:val="0"/>
                <w:numId w:val="5"/>
              </w:numPr>
              <w:spacing w:after="160" w:line="259" w:lineRule="auto"/>
              <w:rPr>
                <w:rFonts w:ascii="Arial" w:hAnsi="Arial" w:cs="Arial"/>
              </w:rPr>
            </w:pPr>
            <w:r>
              <w:rPr>
                <w:rFonts w:ascii="Arial" w:hAnsi="Arial" w:cs="Arial"/>
              </w:rPr>
              <w:t>CMA had second highest cumulative 6M outflow rate at      -15%</w:t>
            </w:r>
          </w:p>
        </w:tc>
      </w:tr>
      <w:tr w:rsidR="00B005E4" w:rsidRPr="00004A3E" w:rsidTr="000E27CA">
        <w:tc>
          <w:tcPr>
            <w:tcW w:w="3116" w:type="dxa"/>
          </w:tcPr>
          <w:p w:rsidR="00B005E4" w:rsidRPr="00004A3E" w:rsidRDefault="00B005E4" w:rsidP="000E27CA">
            <w:pPr>
              <w:spacing w:after="160" w:line="259" w:lineRule="auto"/>
              <w:rPr>
                <w:rFonts w:ascii="Arial" w:hAnsi="Arial" w:cs="Arial"/>
              </w:rPr>
            </w:pPr>
            <w:r w:rsidRPr="00004A3E">
              <w:rPr>
                <w:rFonts w:ascii="Arial" w:hAnsi="Arial" w:cs="Arial"/>
              </w:rPr>
              <w:t>Failed Bank Data</w:t>
            </w:r>
          </w:p>
        </w:tc>
        <w:tc>
          <w:tcPr>
            <w:tcW w:w="6329" w:type="dxa"/>
          </w:tcPr>
          <w:p w:rsidR="00B005E4" w:rsidRDefault="00B005E4" w:rsidP="00B005E4">
            <w:pPr>
              <w:pStyle w:val="ListParagraph"/>
              <w:numPr>
                <w:ilvl w:val="0"/>
                <w:numId w:val="6"/>
              </w:numPr>
              <w:spacing w:after="160" w:line="259" w:lineRule="auto"/>
              <w:rPr>
                <w:rFonts w:ascii="Arial" w:hAnsi="Arial" w:cs="Arial"/>
              </w:rPr>
            </w:pPr>
            <w:r>
              <w:rPr>
                <w:rFonts w:ascii="Arial" w:hAnsi="Arial" w:cs="Arial"/>
              </w:rPr>
              <w:t>Most severe 12M outflow rate of -43%, led to bank failure, small institution at $3B in assets, Silverton</w:t>
            </w:r>
          </w:p>
          <w:p w:rsidR="00B005E4" w:rsidRPr="00D452FE" w:rsidRDefault="00B005E4" w:rsidP="00B005E4">
            <w:pPr>
              <w:pStyle w:val="ListParagraph"/>
              <w:numPr>
                <w:ilvl w:val="0"/>
                <w:numId w:val="6"/>
              </w:numPr>
              <w:spacing w:after="160" w:line="259" w:lineRule="auto"/>
              <w:rPr>
                <w:rFonts w:ascii="Arial" w:hAnsi="Arial" w:cs="Arial"/>
              </w:rPr>
            </w:pPr>
            <w:r>
              <w:rPr>
                <w:rFonts w:ascii="Arial" w:hAnsi="Arial" w:cs="Arial"/>
              </w:rPr>
              <w:t>Most severe large bank 12M outflow rate of -16%, Wachovia</w:t>
            </w:r>
          </w:p>
        </w:tc>
      </w:tr>
    </w:tbl>
    <w:p w:rsidR="00B005E4" w:rsidRDefault="00B005E4" w:rsidP="00B005E4">
      <w:pPr>
        <w:rPr>
          <w:rFonts w:ascii="Arial" w:hAnsi="Arial" w:cs="Arial"/>
          <w:b/>
        </w:rPr>
      </w:pPr>
    </w:p>
    <w:p w:rsidR="00B005E4" w:rsidRDefault="00B005E4" w:rsidP="00B005E4">
      <w:pPr>
        <w:rPr>
          <w:rFonts w:ascii="Arial" w:hAnsi="Arial" w:cs="Arial"/>
        </w:rPr>
      </w:pPr>
      <w:r>
        <w:rPr>
          <w:noProof/>
        </w:rPr>
        <w:drawing>
          <wp:inline distT="0" distB="0" distL="0" distR="0" wp14:anchorId="6D888067" wp14:editId="28B2ECA0">
            <wp:extent cx="2905125" cy="207645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Arial" w:hAnsi="Arial" w:cs="Arial"/>
        </w:rPr>
        <w:t xml:space="preserve"> </w:t>
      </w:r>
      <w:r>
        <w:rPr>
          <w:noProof/>
        </w:rPr>
        <w:drawing>
          <wp:inline distT="0" distB="0" distL="0" distR="0" wp14:anchorId="732C7DAE" wp14:editId="0CDE67F6">
            <wp:extent cx="2905125" cy="2075688"/>
            <wp:effectExtent l="0" t="0" r="9525" b="12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05E4" w:rsidRDefault="00B005E4" w:rsidP="00182FDA"/>
    <w:p w:rsidR="00B005E4" w:rsidRDefault="00B005E4" w:rsidP="00B005E4">
      <w:pPr>
        <w:rPr>
          <w:rFonts w:ascii="Arial" w:hAnsi="Arial" w:cs="Arial"/>
        </w:rPr>
      </w:pPr>
      <w:r>
        <w:rPr>
          <w:rFonts w:ascii="Arial" w:hAnsi="Arial" w:cs="Arial"/>
        </w:rPr>
        <w:t>B</w:t>
      </w:r>
      <w:r>
        <w:rPr>
          <w:rFonts w:ascii="Arial" w:hAnsi="Arial" w:cs="Arial"/>
        </w:rPr>
        <w:t xml:space="preserve">ank data is reported quarterly and is compiled using information from FR Y9C submissions. The Y9C provides enough information for a high level analysis, but some qualitative judgment will be required to assign a specific runoff percentage. </w:t>
      </w:r>
    </w:p>
    <w:p w:rsidR="00B005E4" w:rsidRDefault="00B005E4" w:rsidP="00B005E4">
      <w:pPr>
        <w:rPr>
          <w:rFonts w:ascii="Arial" w:hAnsi="Arial" w:cs="Arial"/>
        </w:rPr>
      </w:pPr>
      <w:r>
        <w:rPr>
          <w:rFonts w:ascii="Arial" w:hAnsi="Arial" w:cs="Arial"/>
        </w:rPr>
        <w:t xml:space="preserve">This external bank dataset includes 25 banks of varied sizes. All of the banks are subject to Regulations WW and YY. </w:t>
      </w:r>
    </w:p>
    <w:p w:rsidR="00B005E4" w:rsidRDefault="00B005E4" w:rsidP="00B005E4">
      <w:pPr>
        <w:rPr>
          <w:rFonts w:ascii="Arial" w:hAnsi="Arial" w:cs="Arial"/>
        </w:rPr>
      </w:pPr>
      <w:r>
        <w:rPr>
          <w:rFonts w:ascii="Arial" w:hAnsi="Arial" w:cs="Arial"/>
        </w:rPr>
        <w:t xml:space="preserve">All banks in this group experience a market liquidity stress event, with a few banks also experiencing an idiosyncratic event defined by a minimum 3-notch credit rating downgrade. </w:t>
      </w:r>
    </w:p>
    <w:p w:rsidR="00B005E4" w:rsidRPr="006D11AB" w:rsidRDefault="00B005E4" w:rsidP="00B005E4">
      <w:pPr>
        <w:rPr>
          <w:rFonts w:ascii="Arial" w:hAnsi="Arial" w:cs="Arial"/>
          <w:b/>
        </w:rPr>
      </w:pPr>
      <w:r>
        <w:rPr>
          <w:rFonts w:ascii="Arial" w:hAnsi="Arial" w:cs="Arial"/>
          <w:b/>
        </w:rPr>
        <w:t>FAILED</w:t>
      </w:r>
      <w:r w:rsidRPr="006D11AB">
        <w:rPr>
          <w:rFonts w:ascii="Arial" w:hAnsi="Arial" w:cs="Arial"/>
          <w:b/>
        </w:rPr>
        <w:t xml:space="preserve"> BANK DATA</w:t>
      </w:r>
    </w:p>
    <w:p w:rsidR="00B005E4" w:rsidRDefault="00B005E4" w:rsidP="00B005E4">
      <w:pPr>
        <w:rPr>
          <w:rFonts w:ascii="Arial" w:hAnsi="Arial" w:cs="Arial"/>
        </w:rPr>
      </w:pPr>
      <w:r>
        <w:rPr>
          <w:rFonts w:ascii="Arial" w:hAnsi="Arial" w:cs="Arial"/>
        </w:rPr>
        <w:t xml:space="preserve">Failed bank data is reported quarterly and is compiled using information from FR Y9C submissions. The Y9C provides enough information for a high level analysis, but some qualitative judgment will be required to assign a specific runoff percentage. Due to the imminent failure of these banks, a final assessment of their liquidity position cannot be determined. </w:t>
      </w:r>
    </w:p>
    <w:p w:rsidR="00B005E4" w:rsidRDefault="00B005E4" w:rsidP="00B005E4">
      <w:pPr>
        <w:rPr>
          <w:rFonts w:ascii="Arial" w:hAnsi="Arial" w:cs="Arial"/>
        </w:rPr>
      </w:pPr>
      <w:r>
        <w:rPr>
          <w:rFonts w:ascii="Arial" w:hAnsi="Arial" w:cs="Arial"/>
        </w:rPr>
        <w:t xml:space="preserve">Quantitatively the profiles of these failed banks vary widely. However, all of these banks are known to have suffered from a severe liquidity event that included a combination of idiosyncratic and market pressures. These pressures ultimately forced the bank insolvent, or into an acquisition from another financial institution. </w:t>
      </w:r>
    </w:p>
    <w:p w:rsidR="00B005E4" w:rsidRDefault="00B005E4" w:rsidP="00B005E4">
      <w:pPr>
        <w:rPr>
          <w:rFonts w:ascii="Arial" w:hAnsi="Arial" w:cs="Arial"/>
        </w:rPr>
      </w:pPr>
      <w:r>
        <w:rPr>
          <w:rFonts w:ascii="Arial" w:hAnsi="Arial" w:cs="Arial"/>
        </w:rPr>
        <w:t xml:space="preserve">Due to the variability in timing of bank failures during the 2007-2009 crisis, the failed bank data must be analyzed differently than </w:t>
      </w:r>
      <w:r>
        <w:rPr>
          <w:rFonts w:ascii="Arial" w:hAnsi="Arial" w:cs="Arial"/>
        </w:rPr>
        <w:t>Large/Small</w:t>
      </w:r>
      <w:r>
        <w:rPr>
          <w:rFonts w:ascii="Arial" w:hAnsi="Arial" w:cs="Arial"/>
        </w:rPr>
        <w:t xml:space="preserve"> group. In order to determine whether a bank suffered a liquidity event, a simple definition was adopted:</w:t>
      </w:r>
    </w:p>
    <w:tbl>
      <w:tblPr>
        <w:tblW w:w="5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tblGrid>
      <w:tr w:rsidR="00B005E4" w:rsidRPr="006419AA" w:rsidTr="000E27CA">
        <w:trPr>
          <w:trHeight w:val="300"/>
        </w:trPr>
        <w:tc>
          <w:tcPr>
            <w:tcW w:w="5580" w:type="dxa"/>
            <w:shd w:val="clear" w:color="auto" w:fill="auto"/>
            <w:noWrap/>
            <w:vAlign w:val="bottom"/>
            <w:hideMark/>
          </w:tcPr>
          <w:p w:rsidR="00B005E4" w:rsidRPr="006419AA" w:rsidRDefault="00B005E4" w:rsidP="000E27CA">
            <w:pPr>
              <w:spacing w:after="0" w:line="240" w:lineRule="auto"/>
              <w:rPr>
                <w:rFonts w:ascii="Calibri" w:eastAsia="Times New Roman" w:hAnsi="Calibri" w:cs="Calibri"/>
                <w:b/>
                <w:color w:val="000000"/>
              </w:rPr>
            </w:pPr>
            <w:r w:rsidRPr="006419AA">
              <w:rPr>
                <w:rFonts w:ascii="Calibri" w:eastAsia="Times New Roman" w:hAnsi="Calibri" w:cs="Calibri"/>
                <w:b/>
                <w:color w:val="000000"/>
              </w:rPr>
              <w:t xml:space="preserve">Liquidity </w:t>
            </w:r>
            <w:r w:rsidRPr="002E5B62">
              <w:rPr>
                <w:rFonts w:ascii="Calibri" w:eastAsia="Times New Roman" w:hAnsi="Calibri" w:cs="Calibri"/>
                <w:b/>
                <w:color w:val="000000"/>
              </w:rPr>
              <w:t xml:space="preserve">stress </w:t>
            </w:r>
            <w:r w:rsidRPr="006419AA">
              <w:rPr>
                <w:rFonts w:ascii="Calibri" w:eastAsia="Times New Roman" w:hAnsi="Calibri" w:cs="Calibri"/>
                <w:b/>
                <w:color w:val="000000"/>
              </w:rPr>
              <w:t>event parameters (any of the following):</w:t>
            </w:r>
          </w:p>
        </w:tc>
      </w:tr>
      <w:tr w:rsidR="00B005E4" w:rsidRPr="006419AA" w:rsidTr="000E27CA">
        <w:trPr>
          <w:trHeight w:val="300"/>
        </w:trPr>
        <w:tc>
          <w:tcPr>
            <w:tcW w:w="5580" w:type="dxa"/>
            <w:shd w:val="clear" w:color="auto" w:fill="auto"/>
            <w:noWrap/>
            <w:vAlign w:val="bottom"/>
            <w:hideMark/>
          </w:tcPr>
          <w:p w:rsidR="00B005E4" w:rsidRPr="006419AA" w:rsidRDefault="00B005E4" w:rsidP="000E27CA">
            <w:pPr>
              <w:spacing w:after="0" w:line="240" w:lineRule="auto"/>
              <w:rPr>
                <w:rFonts w:ascii="Calibri" w:eastAsia="Times New Roman" w:hAnsi="Calibri" w:cs="Calibri"/>
                <w:color w:val="000000"/>
              </w:rPr>
            </w:pPr>
            <w:r>
              <w:rPr>
                <w:rFonts w:ascii="Calibri" w:eastAsia="Times New Roman" w:hAnsi="Calibri" w:cs="Calibri"/>
                <w:color w:val="000000"/>
              </w:rPr>
              <w:t>1. O</w:t>
            </w:r>
            <w:r w:rsidRPr="006419AA">
              <w:rPr>
                <w:rFonts w:ascii="Calibri" w:eastAsia="Times New Roman" w:hAnsi="Calibri" w:cs="Calibri"/>
                <w:color w:val="000000"/>
              </w:rPr>
              <w:t xml:space="preserve">ne quarterly period outflow </w:t>
            </w:r>
            <w:r>
              <w:rPr>
                <w:rFonts w:ascii="Calibri" w:eastAsia="Times New Roman" w:hAnsi="Calibri" w:cs="Calibri"/>
                <w:color w:val="000000"/>
              </w:rPr>
              <w:t xml:space="preserve">&gt; </w:t>
            </w:r>
            <w:r w:rsidRPr="006419AA">
              <w:rPr>
                <w:rFonts w:ascii="Calibri" w:eastAsia="Times New Roman" w:hAnsi="Calibri" w:cs="Calibri"/>
                <w:color w:val="000000"/>
              </w:rPr>
              <w:t>15%</w:t>
            </w:r>
          </w:p>
        </w:tc>
      </w:tr>
      <w:tr w:rsidR="00B005E4" w:rsidRPr="006419AA" w:rsidTr="000E27CA">
        <w:trPr>
          <w:trHeight w:val="300"/>
        </w:trPr>
        <w:tc>
          <w:tcPr>
            <w:tcW w:w="5580" w:type="dxa"/>
            <w:shd w:val="clear" w:color="auto" w:fill="auto"/>
            <w:noWrap/>
            <w:vAlign w:val="bottom"/>
            <w:hideMark/>
          </w:tcPr>
          <w:p w:rsidR="00B005E4" w:rsidRPr="006419AA" w:rsidRDefault="00B005E4" w:rsidP="000E27CA">
            <w:pPr>
              <w:spacing w:after="0" w:line="240" w:lineRule="auto"/>
              <w:rPr>
                <w:rFonts w:ascii="Calibri" w:eastAsia="Times New Roman" w:hAnsi="Calibri" w:cs="Calibri"/>
                <w:color w:val="000000"/>
              </w:rPr>
            </w:pPr>
            <w:r>
              <w:rPr>
                <w:rFonts w:ascii="Calibri" w:eastAsia="Times New Roman" w:hAnsi="Calibri" w:cs="Calibri"/>
                <w:color w:val="000000"/>
              </w:rPr>
              <w:t xml:space="preserve">2. Cumulative two quarter outflows &gt; </w:t>
            </w:r>
            <w:r w:rsidRPr="006419AA">
              <w:rPr>
                <w:rFonts w:ascii="Calibri" w:eastAsia="Times New Roman" w:hAnsi="Calibri" w:cs="Calibri"/>
                <w:color w:val="000000"/>
              </w:rPr>
              <w:t>20%</w:t>
            </w:r>
          </w:p>
        </w:tc>
      </w:tr>
      <w:tr w:rsidR="00B005E4" w:rsidRPr="006419AA" w:rsidTr="000E27CA">
        <w:trPr>
          <w:trHeight w:val="300"/>
        </w:trPr>
        <w:tc>
          <w:tcPr>
            <w:tcW w:w="5580" w:type="dxa"/>
            <w:shd w:val="clear" w:color="auto" w:fill="auto"/>
            <w:noWrap/>
            <w:vAlign w:val="bottom"/>
            <w:hideMark/>
          </w:tcPr>
          <w:p w:rsidR="00B005E4" w:rsidRPr="006419AA" w:rsidRDefault="00B005E4" w:rsidP="000E27CA">
            <w:pPr>
              <w:spacing w:after="0" w:line="240" w:lineRule="auto"/>
              <w:rPr>
                <w:rFonts w:ascii="Calibri" w:eastAsia="Times New Roman" w:hAnsi="Calibri" w:cs="Calibri"/>
                <w:color w:val="000000"/>
              </w:rPr>
            </w:pPr>
            <w:r w:rsidRPr="006419AA">
              <w:rPr>
                <w:rFonts w:ascii="Calibri" w:eastAsia="Times New Roman" w:hAnsi="Calibri" w:cs="Calibri"/>
                <w:color w:val="000000"/>
              </w:rPr>
              <w:t xml:space="preserve">3. </w:t>
            </w:r>
            <w:r>
              <w:rPr>
                <w:rFonts w:ascii="Calibri" w:eastAsia="Times New Roman" w:hAnsi="Calibri" w:cs="Calibri"/>
                <w:color w:val="000000"/>
              </w:rPr>
              <w:t>C</w:t>
            </w:r>
            <w:r w:rsidRPr="006419AA">
              <w:rPr>
                <w:rFonts w:ascii="Calibri" w:eastAsia="Times New Roman" w:hAnsi="Calibri" w:cs="Calibri"/>
                <w:color w:val="000000"/>
              </w:rPr>
              <w:t xml:space="preserve">umulative rolling four quarter outflows </w:t>
            </w:r>
            <w:r>
              <w:rPr>
                <w:rFonts w:ascii="Calibri" w:eastAsia="Times New Roman" w:hAnsi="Calibri" w:cs="Calibri"/>
                <w:color w:val="000000"/>
              </w:rPr>
              <w:t xml:space="preserve">&gt; </w:t>
            </w:r>
            <w:r w:rsidRPr="006419AA">
              <w:rPr>
                <w:rFonts w:ascii="Calibri" w:eastAsia="Times New Roman" w:hAnsi="Calibri" w:cs="Calibri"/>
                <w:color w:val="000000"/>
              </w:rPr>
              <w:t>30%</w:t>
            </w:r>
          </w:p>
        </w:tc>
      </w:tr>
      <w:tr w:rsidR="00B005E4" w:rsidRPr="006419AA" w:rsidTr="000E27CA">
        <w:trPr>
          <w:trHeight w:val="300"/>
        </w:trPr>
        <w:tc>
          <w:tcPr>
            <w:tcW w:w="5580" w:type="dxa"/>
            <w:shd w:val="clear" w:color="auto" w:fill="auto"/>
            <w:noWrap/>
            <w:vAlign w:val="bottom"/>
            <w:hideMark/>
          </w:tcPr>
          <w:p w:rsidR="00B005E4" w:rsidRPr="006419AA" w:rsidRDefault="00B005E4" w:rsidP="000E27CA">
            <w:pPr>
              <w:spacing w:after="0" w:line="240" w:lineRule="auto"/>
              <w:rPr>
                <w:rFonts w:ascii="Calibri" w:eastAsia="Times New Roman" w:hAnsi="Calibri" w:cs="Calibri"/>
                <w:color w:val="000000"/>
              </w:rPr>
            </w:pPr>
            <w:r>
              <w:rPr>
                <w:rFonts w:ascii="Calibri" w:eastAsia="Times New Roman" w:hAnsi="Calibri" w:cs="Calibri"/>
                <w:color w:val="000000"/>
              </w:rPr>
              <w:t>4. P</w:t>
            </w:r>
            <w:r w:rsidRPr="006419AA">
              <w:rPr>
                <w:rFonts w:ascii="Calibri" w:eastAsia="Times New Roman" w:hAnsi="Calibri" w:cs="Calibri"/>
                <w:color w:val="000000"/>
              </w:rPr>
              <w:t>ublicly documented liquidity event failure</w:t>
            </w:r>
          </w:p>
        </w:tc>
      </w:tr>
    </w:tbl>
    <w:p w:rsidR="00B005E4" w:rsidRDefault="00B005E4" w:rsidP="00B005E4">
      <w:pPr>
        <w:spacing w:after="0" w:line="240" w:lineRule="auto"/>
        <w:rPr>
          <w:rFonts w:ascii="Arial" w:hAnsi="Arial" w:cs="Arial"/>
        </w:rPr>
      </w:pPr>
    </w:p>
    <w:p w:rsidR="00B005E4" w:rsidRDefault="00B005E4" w:rsidP="00B005E4">
      <w:pPr>
        <w:spacing w:after="0" w:line="240" w:lineRule="auto"/>
        <w:rPr>
          <w:rFonts w:ascii="Arial" w:hAnsi="Arial" w:cs="Arial"/>
        </w:rPr>
      </w:pPr>
      <w:r>
        <w:rPr>
          <w:rFonts w:ascii="Arial" w:hAnsi="Arial" w:cs="Arial"/>
        </w:rPr>
        <w:t>A summary table of the failed banks and their stress event types can be seen below:</w:t>
      </w:r>
    </w:p>
    <w:p w:rsidR="00B005E4" w:rsidRDefault="00B005E4" w:rsidP="00B005E4">
      <w:pPr>
        <w:spacing w:after="0" w:line="240" w:lineRule="auto"/>
        <w:rPr>
          <w:rFonts w:ascii="Arial" w:hAnsi="Arial" w:cs="Arial"/>
        </w:rPr>
      </w:pPr>
    </w:p>
    <w:p w:rsidR="00B005E4" w:rsidRDefault="00B005E4" w:rsidP="00B005E4">
      <w:pPr>
        <w:keepNext/>
        <w:spacing w:after="0" w:line="240" w:lineRule="auto"/>
      </w:pPr>
      <w:r w:rsidRPr="00DE62C0">
        <w:rPr>
          <w:noProof/>
        </w:rPr>
        <w:drawing>
          <wp:inline distT="0" distB="0" distL="0" distR="0" wp14:anchorId="137B6383" wp14:editId="7FA54F82">
            <wp:extent cx="5943600" cy="15399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9901"/>
                    </a:xfrm>
                    <a:prstGeom prst="rect">
                      <a:avLst/>
                    </a:prstGeom>
                    <a:noFill/>
                    <a:ln>
                      <a:noFill/>
                    </a:ln>
                  </pic:spPr>
                </pic:pic>
              </a:graphicData>
            </a:graphic>
          </wp:inline>
        </w:drawing>
      </w:r>
    </w:p>
    <w:p w:rsidR="00B005E4" w:rsidRPr="00274072" w:rsidRDefault="00B005E4" w:rsidP="00B005E4">
      <w:pPr>
        <w:spacing w:after="0" w:line="240" w:lineRule="auto"/>
        <w:rPr>
          <w:rFonts w:ascii="Arial" w:hAnsi="Arial" w:cs="Arial"/>
          <w:i/>
          <w:sz w:val="20"/>
        </w:rPr>
      </w:pPr>
      <w:r w:rsidRPr="00274072">
        <w:rPr>
          <w:rFonts w:ascii="Arial" w:hAnsi="Arial" w:cs="Arial"/>
          <w:sz w:val="20"/>
        </w:rPr>
        <w:t>*</w:t>
      </w:r>
      <w:r w:rsidRPr="00274072">
        <w:rPr>
          <w:rFonts w:ascii="Arial" w:hAnsi="Arial" w:cs="Arial"/>
          <w:i/>
          <w:sz w:val="20"/>
        </w:rPr>
        <w:t>or final reporting period if failure occurred prior to 12/31/2008</w:t>
      </w:r>
    </w:p>
    <w:p w:rsidR="00B005E4" w:rsidRDefault="00B005E4" w:rsidP="00B005E4">
      <w:pPr>
        <w:pStyle w:val="Caption"/>
        <w:rPr>
          <w:rFonts w:ascii="Arial" w:hAnsi="Arial" w:cs="Arial"/>
        </w:rPr>
      </w:pPr>
      <w:r>
        <w:t xml:space="preserve">Figure TB. </w:t>
      </w:r>
      <w:r>
        <w:fldChar w:fldCharType="begin"/>
      </w:r>
      <w:r>
        <w:instrText xml:space="preserve"> SEQ Figure_TB. \* ARABIC </w:instrText>
      </w:r>
      <w:r>
        <w:fldChar w:fldCharType="separate"/>
      </w:r>
      <w:r>
        <w:rPr>
          <w:noProof/>
        </w:rPr>
        <w:t>4</w:t>
      </w:r>
      <w:r>
        <w:fldChar w:fldCharType="end"/>
      </w:r>
    </w:p>
    <w:p w:rsidR="00B005E4" w:rsidRDefault="00B005E4" w:rsidP="00B005E4">
      <w:pPr>
        <w:keepNext/>
        <w:rPr>
          <w:rFonts w:ascii="Arial" w:hAnsi="Arial" w:cs="Arial"/>
        </w:rPr>
      </w:pPr>
      <w:r w:rsidRPr="00274072">
        <w:rPr>
          <w:rFonts w:ascii="Arial" w:hAnsi="Arial" w:cs="Arial"/>
        </w:rPr>
        <w:t>Figure</w:t>
      </w:r>
      <w:r>
        <w:rPr>
          <w:rFonts w:ascii="Arial" w:hAnsi="Arial" w:cs="Arial"/>
        </w:rPr>
        <w:t xml:space="preserve"> TB.5 presents the most severe rolling period outflows for the failed banks. Nearly all of the banks within the dataset experience events lasting four quarters and ultimately lead to insolvency. </w:t>
      </w:r>
    </w:p>
    <w:p w:rsidR="00B005E4" w:rsidRDefault="00B005E4" w:rsidP="00B005E4">
      <w:pPr>
        <w:keepNext/>
      </w:pPr>
      <w:r w:rsidRPr="00274072">
        <w:rPr>
          <w:noProof/>
        </w:rPr>
        <w:drawing>
          <wp:inline distT="0" distB="0" distL="0" distR="0" wp14:anchorId="03E833E7" wp14:editId="7E1BDA30">
            <wp:extent cx="5943600" cy="192011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0117"/>
                    </a:xfrm>
                    <a:prstGeom prst="rect">
                      <a:avLst/>
                    </a:prstGeom>
                    <a:noFill/>
                    <a:ln>
                      <a:noFill/>
                    </a:ln>
                  </pic:spPr>
                </pic:pic>
              </a:graphicData>
            </a:graphic>
          </wp:inline>
        </w:drawing>
      </w:r>
    </w:p>
    <w:p w:rsidR="00B005E4" w:rsidRDefault="00B005E4" w:rsidP="00B005E4">
      <w:pPr>
        <w:pStyle w:val="Caption"/>
      </w:pPr>
      <w:r>
        <w:t xml:space="preserve">Figure TB. </w:t>
      </w:r>
      <w:r>
        <w:fldChar w:fldCharType="begin"/>
      </w:r>
      <w:r>
        <w:instrText xml:space="preserve"> SEQ Figure_TB. \* ARABIC </w:instrText>
      </w:r>
      <w:r>
        <w:fldChar w:fldCharType="separate"/>
      </w:r>
      <w:r>
        <w:rPr>
          <w:noProof/>
        </w:rPr>
        <w:t>5</w:t>
      </w:r>
      <w:r>
        <w:rPr>
          <w:noProof/>
        </w:rPr>
        <w:fldChar w:fldCharType="end"/>
      </w:r>
    </w:p>
    <w:p w:rsidR="00B005E4" w:rsidRDefault="00B005E4" w:rsidP="00B005E4">
      <w:pPr>
        <w:rPr>
          <w:rFonts w:ascii="Arial" w:hAnsi="Arial" w:cs="Arial"/>
        </w:rPr>
      </w:pPr>
      <w:r>
        <w:rPr>
          <w:rFonts w:ascii="Arial" w:hAnsi="Arial" w:cs="Arial"/>
        </w:rPr>
        <w:t xml:space="preserve">The most severe rolling four quarter liquidity events indicate cumulative outflow rates of -43% and -37%, observed from Silverton Bank and AMCORE Bank, respectively. </w:t>
      </w:r>
    </w:p>
    <w:p w:rsidR="00B005E4" w:rsidRDefault="00B005E4" w:rsidP="00B005E4">
      <w:pPr>
        <w:rPr>
          <w:rFonts w:ascii="Arial" w:hAnsi="Arial" w:cs="Arial"/>
        </w:rPr>
      </w:pPr>
    </w:p>
    <w:p w:rsidR="00B005E4" w:rsidRDefault="00B005E4" w:rsidP="00B005E4">
      <w:pPr>
        <w:keepNext/>
      </w:pPr>
      <w:r w:rsidRPr="00753ABE">
        <w:rPr>
          <w:noProof/>
        </w:rPr>
        <w:drawing>
          <wp:inline distT="0" distB="0" distL="0" distR="0" wp14:anchorId="0D8E6943" wp14:editId="2B68F2B4">
            <wp:extent cx="4772025" cy="18959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939" cy="1919363"/>
                    </a:xfrm>
                    <a:prstGeom prst="rect">
                      <a:avLst/>
                    </a:prstGeom>
                    <a:noFill/>
                    <a:ln>
                      <a:noFill/>
                    </a:ln>
                  </pic:spPr>
                </pic:pic>
              </a:graphicData>
            </a:graphic>
          </wp:inline>
        </w:drawing>
      </w:r>
    </w:p>
    <w:p w:rsidR="00B005E4" w:rsidRDefault="00B005E4" w:rsidP="00B005E4">
      <w:pPr>
        <w:pStyle w:val="Caption"/>
        <w:rPr>
          <w:rFonts w:ascii="Arial" w:hAnsi="Arial" w:cs="Arial"/>
        </w:rPr>
      </w:pPr>
      <w:r>
        <w:t xml:space="preserve">Figure TB. </w:t>
      </w:r>
      <w:r>
        <w:fldChar w:fldCharType="begin"/>
      </w:r>
      <w:r>
        <w:instrText xml:space="preserve"> SEQ Figure_TB. \* ARABIC </w:instrText>
      </w:r>
      <w:r>
        <w:fldChar w:fldCharType="separate"/>
      </w:r>
      <w:r>
        <w:rPr>
          <w:noProof/>
        </w:rPr>
        <w:t>6</w:t>
      </w:r>
      <w:r>
        <w:rPr>
          <w:noProof/>
        </w:rPr>
        <w:fldChar w:fldCharType="end"/>
      </w:r>
    </w:p>
    <w:p w:rsidR="00B005E4" w:rsidRDefault="00B005E4" w:rsidP="00B005E4">
      <w:pPr>
        <w:rPr>
          <w:rFonts w:ascii="Arial" w:hAnsi="Arial" w:cs="Arial"/>
        </w:rPr>
      </w:pPr>
      <w:r>
        <w:rPr>
          <w:rFonts w:ascii="Arial" w:hAnsi="Arial" w:cs="Arial"/>
        </w:rPr>
        <w:t>Figure TB.6 indicates the scale of the most severe outflow time frames. The largest outflow rates are generally observed at institutions with smaller balances.</w:t>
      </w:r>
    </w:p>
    <w:p w:rsidR="00B005E4" w:rsidRPr="00182FDA" w:rsidRDefault="00B005E4" w:rsidP="00182FDA"/>
    <w:sectPr w:rsidR="00B005E4" w:rsidRPr="0018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96D61"/>
    <w:multiLevelType w:val="singleLevel"/>
    <w:tmpl w:val="379247FE"/>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1B8A41ED"/>
    <w:multiLevelType w:val="hybridMultilevel"/>
    <w:tmpl w:val="F5ECEA24"/>
    <w:lvl w:ilvl="0" w:tplc="03A2A6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136DD"/>
    <w:multiLevelType w:val="singleLevel"/>
    <w:tmpl w:val="5ADAF8A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494B0441"/>
    <w:multiLevelType w:val="singleLevel"/>
    <w:tmpl w:val="956CB5B0"/>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4EF2625E"/>
    <w:multiLevelType w:val="singleLevel"/>
    <w:tmpl w:val="208612B8"/>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58F87A2F"/>
    <w:multiLevelType w:val="singleLevel"/>
    <w:tmpl w:val="B0A05B1C"/>
    <w:lvl w:ilvl="0">
      <w:start w:val="1"/>
      <w:numFmt w:val="bullet"/>
      <w:lvlText w:val=""/>
      <w:lvlJc w:val="left"/>
      <w:pPr>
        <w:tabs>
          <w:tab w:val="num" w:pos="340"/>
        </w:tabs>
        <w:ind w:left="340" w:hanging="340"/>
      </w:pPr>
      <w:rPr>
        <w:rFonts w:ascii="Symbol" w:hAnsi="Symbol" w:hint="default"/>
        <w:color w:val="auto"/>
        <w:sz w:val="22"/>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D9"/>
    <w:rsid w:val="000C320D"/>
    <w:rsid w:val="00182FDA"/>
    <w:rsid w:val="002F5C22"/>
    <w:rsid w:val="003B09B4"/>
    <w:rsid w:val="00447945"/>
    <w:rsid w:val="005C79DE"/>
    <w:rsid w:val="006455D9"/>
    <w:rsid w:val="007850AE"/>
    <w:rsid w:val="00891EE7"/>
    <w:rsid w:val="00A245C3"/>
    <w:rsid w:val="00B005E4"/>
    <w:rsid w:val="00CD6D92"/>
    <w:rsid w:val="00E3667B"/>
    <w:rsid w:val="00F7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7F770-93FF-41EC-B3A2-E470DD2F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FDA"/>
    <w:pPr>
      <w:spacing w:before="100" w:beforeAutospacing="1" w:after="100" w:afterAutospacing="1" w:line="240" w:lineRule="auto"/>
    </w:pPr>
    <w:rPr>
      <w:rFonts w:ascii="Times New Roman" w:eastAsiaTheme="minorEastAsia" w:hAnsi="Times New Roman" w:cs="Times New Roman"/>
      <w:sz w:val="24"/>
      <w:szCs w:val="24"/>
    </w:rPr>
  </w:style>
  <w:style w:type="character" w:styleId="SubtleReference">
    <w:name w:val="Subtle Reference"/>
    <w:basedOn w:val="DefaultParagraphFont"/>
    <w:uiPriority w:val="31"/>
    <w:qFormat/>
    <w:rsid w:val="00182FDA"/>
    <w:rPr>
      <w:smallCaps/>
      <w:color w:val="5A5A5A" w:themeColor="text1" w:themeTint="A5"/>
    </w:rPr>
  </w:style>
  <w:style w:type="character" w:customStyle="1" w:styleId="Heading1Char">
    <w:name w:val="Heading 1 Char"/>
    <w:basedOn w:val="DefaultParagraphFont"/>
    <w:link w:val="Heading1"/>
    <w:uiPriority w:val="9"/>
    <w:rsid w:val="00182F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05E4"/>
    <w:pPr>
      <w:spacing w:after="200" w:line="276" w:lineRule="auto"/>
      <w:ind w:left="720"/>
      <w:contextualSpacing/>
    </w:pPr>
  </w:style>
  <w:style w:type="table" w:styleId="TableGrid">
    <w:name w:val="Table Grid"/>
    <w:basedOn w:val="TableNormal"/>
    <w:uiPriority w:val="39"/>
    <w:rsid w:val="00B0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130410">
      <w:bodyDiv w:val="1"/>
      <w:marLeft w:val="0"/>
      <w:marRight w:val="0"/>
      <w:marTop w:val="0"/>
      <w:marBottom w:val="0"/>
      <w:divBdr>
        <w:top w:val="none" w:sz="0" w:space="0" w:color="auto"/>
        <w:left w:val="none" w:sz="0" w:space="0" w:color="auto"/>
        <w:bottom w:val="none" w:sz="0" w:space="0" w:color="auto"/>
        <w:right w:val="none" w:sz="0" w:space="0" w:color="auto"/>
      </w:divBdr>
    </w:div>
    <w:div w:id="13551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ksd.us.kworld.kpmg.com\KSD\Engagement\Bank%20of%20China%20New%20York\LST\Final\8.%20Product%20Histo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divall\Desktop\Stress%20Testing%20Framework\PeerData\Master%20v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divall\Desktop\Stress%20Testing%20Framework\PeerData\Master%20v2.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ysClr val="windowText" lastClr="000000"/>
                </a:solidFill>
                <a:latin typeface="+mn-lt"/>
                <a:ea typeface="+mn-ea"/>
                <a:cs typeface="+mn-cs"/>
              </a:defRPr>
            </a:pPr>
            <a:r>
              <a:rPr lang="en-US">
                <a:solidFill>
                  <a:sysClr val="windowText" lastClr="000000"/>
                </a:solidFill>
              </a:rPr>
              <a:t>Multiplier for Key</a:t>
            </a:r>
            <a:r>
              <a:rPr lang="en-US" baseline="0">
                <a:solidFill>
                  <a:sysClr val="windowText" lastClr="000000"/>
                </a:solidFill>
              </a:rPr>
              <a:t> Accounts</a:t>
            </a:r>
            <a:endParaRPr lang="en-US">
              <a:solidFill>
                <a:sysClr val="windowText" lastClr="000000"/>
              </a:solidFill>
            </a:endParaRPr>
          </a:p>
        </c:rich>
      </c:tx>
      <c:layout/>
      <c:overlay val="1"/>
      <c:spPr>
        <a:noFill/>
        <a:ln>
          <a:noFill/>
        </a:ln>
        <a:effectLst/>
      </c:spPr>
      <c:txPr>
        <a:bodyPr rot="0" spcFirstLastPara="1" vertOverflow="ellipsis" vert="horz" wrap="square" anchor="ctr" anchorCtr="1"/>
        <a:lstStyle/>
        <a:p>
          <a:pPr>
            <a:defRPr sz="1500" b="1" i="0" u="none" strike="noStrike" kern="1200" cap="all" spc="100" normalizeH="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Multiplier!$E$6</c:f>
              <c:strCache>
                <c:ptCount val="1"/>
                <c:pt idx="0">
                  <c:v>Multiplier</c:v>
                </c:pt>
              </c:strCache>
            </c:strRef>
          </c:tx>
          <c:spPr>
            <a:ln w="25400" cap="rnd" cmpd="sng">
              <a:solidFill>
                <a:srgbClr val="6D2077"/>
              </a:solidFill>
              <a:round/>
            </a:ln>
            <a:effectLst>
              <a:outerShdw dist="25400" dir="2700000" algn="tl" rotWithShape="0">
                <a:schemeClr val="accent1"/>
              </a:outerShdw>
            </a:effectLst>
          </c:spPr>
          <c:marker>
            <c:symbol val="none"/>
          </c:marker>
          <c:cat>
            <c:strRef>
              <c:f>Multiplier!$D$7:$D$13</c:f>
              <c:strCache>
                <c:ptCount val="7"/>
                <c:pt idx="0">
                  <c:v>0%</c:v>
                </c:pt>
                <c:pt idx="1">
                  <c:v>1%</c:v>
                </c:pt>
                <c:pt idx="2">
                  <c:v>2%</c:v>
                </c:pt>
                <c:pt idx="3">
                  <c:v>3%</c:v>
                </c:pt>
                <c:pt idx="4">
                  <c:v>4%</c:v>
                </c:pt>
                <c:pt idx="5">
                  <c:v>5%</c:v>
                </c:pt>
                <c:pt idx="6">
                  <c:v>&gt;5%</c:v>
                </c:pt>
              </c:strCache>
            </c:strRef>
          </c:cat>
          <c:val>
            <c:numRef>
              <c:f>Multiplier!$E$7:$E$13</c:f>
              <c:numCache>
                <c:formatCode>General</c:formatCode>
                <c:ptCount val="7"/>
                <c:pt idx="0">
                  <c:v>1</c:v>
                </c:pt>
                <c:pt idx="1">
                  <c:v>1</c:v>
                </c:pt>
                <c:pt idx="2">
                  <c:v>1.25</c:v>
                </c:pt>
                <c:pt idx="3">
                  <c:v>1.5</c:v>
                </c:pt>
                <c:pt idx="4">
                  <c:v>1.75</c:v>
                </c:pt>
                <c:pt idx="5">
                  <c:v>2</c:v>
                </c:pt>
                <c:pt idx="6">
                  <c:v>2</c:v>
                </c:pt>
              </c:numCache>
            </c:numRef>
          </c:val>
          <c:smooth val="0"/>
        </c:ser>
        <c:dLbls>
          <c:showLegendKey val="0"/>
          <c:showVal val="0"/>
          <c:showCatName val="0"/>
          <c:showSerName val="0"/>
          <c:showPercent val="0"/>
          <c:showBubbleSize val="0"/>
        </c:dLbls>
        <c:dropLines>
          <c:spPr>
            <a:ln w="9525" cap="flat" cmpd="sng" algn="ctr">
              <a:gradFill>
                <a:gsLst>
                  <a:gs pos="0">
                    <a:srgbClr val="6D2077"/>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dropLines>
        <c:smooth val="0"/>
        <c:axId val="706764576"/>
        <c:axId val="706764968"/>
      </c:lineChart>
      <c:catAx>
        <c:axId val="70676457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100" b="0">
                    <a:solidFill>
                      <a:sysClr val="windowText" lastClr="000000"/>
                    </a:solidFill>
                  </a:rPr>
                  <a:t>% of liabilities</a:t>
                </a:r>
              </a:p>
            </c:rich>
          </c:tx>
          <c:layout>
            <c:manualLayout>
              <c:xMode val="edge"/>
              <c:yMode val="edge"/>
              <c:x val="0.46435466060204389"/>
              <c:y val="0.92910911219960035"/>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spc="30" baseline="0">
                <a:solidFill>
                  <a:schemeClr val="tx1"/>
                </a:solidFill>
                <a:latin typeface="+mn-lt"/>
                <a:ea typeface="+mn-ea"/>
                <a:cs typeface="+mn-cs"/>
              </a:defRPr>
            </a:pPr>
            <a:endParaRPr lang="en-US"/>
          </a:p>
        </c:txPr>
        <c:crossAx val="706764968"/>
        <c:crosses val="autoZero"/>
        <c:auto val="1"/>
        <c:lblAlgn val="ctr"/>
        <c:lblOffset val="100"/>
        <c:noMultiLvlLbl val="0"/>
      </c:catAx>
      <c:valAx>
        <c:axId val="706764968"/>
        <c:scaling>
          <c:orientation val="minMax"/>
          <c:max val="2.5"/>
          <c:min val="0"/>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100" b="0">
                    <a:solidFill>
                      <a:sysClr val="windowText" lastClr="000000"/>
                    </a:solidFill>
                  </a:rPr>
                  <a:t>Multiplier</a:t>
                </a:r>
              </a:p>
            </c:rich>
          </c:tx>
          <c:layout>
            <c:manualLayout>
              <c:xMode val="edge"/>
              <c:yMode val="edge"/>
              <c:x val="1.5018771493399362E-2"/>
              <c:y val="0.4429287856460233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706764576"/>
        <c:crosses val="autoZero"/>
        <c:crossBetween val="between"/>
        <c:majorUnit val="1"/>
        <c:minorUnit val="1"/>
      </c:valAx>
      <c:spPr>
        <a:solidFill>
          <a:sysClr val="window" lastClr="FFFFFF"/>
        </a:solidFill>
        <a:ln>
          <a:noFill/>
        </a:ln>
        <a:effectLst/>
      </c:spPr>
    </c:plotArea>
    <c:plotVisOnly val="1"/>
    <c:dispBlanksAs val="gap"/>
    <c:showDLblsOverMax val="0"/>
  </c:chart>
  <c:spPr>
    <a:solidFill>
      <a:schemeClr val="bg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Most Severe Deposit</a:t>
            </a:r>
            <a:r>
              <a:rPr lang="en-US" sz="800" baseline="0"/>
              <a:t> Outflow Rates</a:t>
            </a:r>
          </a:p>
          <a:p>
            <a:pPr>
              <a:defRPr sz="800"/>
            </a:pPr>
            <a:r>
              <a:rPr lang="en-US" sz="800" baseline="0"/>
              <a:t>Rolling 4 Quarter</a:t>
            </a:r>
            <a:endParaRPr lang="en-US" sz="800"/>
          </a:p>
        </c:rich>
      </c:tx>
      <c:layout>
        <c:manualLayout>
          <c:xMode val="edge"/>
          <c:yMode val="edge"/>
          <c:x val="0.29533083774364266"/>
          <c:y val="1.656673649738737E-3"/>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91441848457466"/>
          <c:y val="5.2171253822629972E-2"/>
          <c:w val="0.81899814982143626"/>
          <c:h val="0.66985624503359098"/>
        </c:manualLayout>
      </c:layout>
      <c:lineChart>
        <c:grouping val="standard"/>
        <c:varyColors val="0"/>
        <c:ser>
          <c:idx val="1"/>
          <c:order val="0"/>
          <c:tx>
            <c:strRef>
              <c:f>SummaryTB!$H$55</c:f>
              <c:strCache>
                <c:ptCount val="1"/>
                <c:pt idx="0">
                  <c:v>Failed - Small</c:v>
                </c:pt>
              </c:strCache>
            </c:strRef>
          </c:tx>
          <c:spPr>
            <a:ln w="22225" cap="rnd">
              <a:solidFill>
                <a:schemeClr val="accent2"/>
              </a:solidFill>
              <a:round/>
            </a:ln>
            <a:effectLst/>
          </c:spPr>
          <c:marker>
            <c:symbol val="none"/>
          </c:marker>
          <c:cat>
            <c:strRef>
              <c:f>SummaryTB!$I$53:$L$53</c:f>
              <c:strCache>
                <c:ptCount val="4"/>
                <c:pt idx="0">
                  <c:v>3M</c:v>
                </c:pt>
                <c:pt idx="1">
                  <c:v>6M</c:v>
                </c:pt>
                <c:pt idx="2">
                  <c:v>9M</c:v>
                </c:pt>
                <c:pt idx="3">
                  <c:v>12M</c:v>
                </c:pt>
              </c:strCache>
            </c:strRef>
          </c:cat>
          <c:val>
            <c:numRef>
              <c:f>SummaryTB!$I$55:$L$55</c:f>
              <c:numCache>
                <c:formatCode>0%</c:formatCode>
                <c:ptCount val="4"/>
                <c:pt idx="0">
                  <c:v>0.2214738073171808</c:v>
                </c:pt>
                <c:pt idx="1">
                  <c:v>0.2683160770853964</c:v>
                </c:pt>
                <c:pt idx="2">
                  <c:v>0.39095177675928083</c:v>
                </c:pt>
                <c:pt idx="3">
                  <c:v>0.42801152691030975</c:v>
                </c:pt>
              </c:numCache>
            </c:numRef>
          </c:val>
          <c:smooth val="0"/>
        </c:ser>
        <c:ser>
          <c:idx val="2"/>
          <c:order val="1"/>
          <c:tx>
            <c:strRef>
              <c:f>SummaryTB!$H$56</c:f>
              <c:strCache>
                <c:ptCount val="1"/>
                <c:pt idx="0">
                  <c:v>Failed - Large</c:v>
                </c:pt>
              </c:strCache>
            </c:strRef>
          </c:tx>
          <c:spPr>
            <a:ln w="22225" cap="rnd">
              <a:solidFill>
                <a:schemeClr val="accent3"/>
              </a:solidFill>
              <a:round/>
            </a:ln>
            <a:effectLst/>
          </c:spPr>
          <c:marker>
            <c:symbol val="none"/>
          </c:marker>
          <c:cat>
            <c:strRef>
              <c:f>SummaryTB!$I$53:$L$53</c:f>
              <c:strCache>
                <c:ptCount val="4"/>
                <c:pt idx="0">
                  <c:v>3M</c:v>
                </c:pt>
                <c:pt idx="1">
                  <c:v>6M</c:v>
                </c:pt>
                <c:pt idx="2">
                  <c:v>9M</c:v>
                </c:pt>
                <c:pt idx="3">
                  <c:v>12M</c:v>
                </c:pt>
              </c:strCache>
            </c:strRef>
          </c:cat>
          <c:val>
            <c:numRef>
              <c:f>SummaryTB!$I$56:$L$56</c:f>
              <c:numCache>
                <c:formatCode>0%</c:formatCode>
                <c:ptCount val="4"/>
                <c:pt idx="0">
                  <c:v>0.12378642542716123</c:v>
                </c:pt>
                <c:pt idx="1">
                  <c:v>0.12378642542716123</c:v>
                </c:pt>
                <c:pt idx="2">
                  <c:v>0.15448032168241232</c:v>
                </c:pt>
                <c:pt idx="3">
                  <c:v>0.16256514970595781</c:v>
                </c:pt>
              </c:numCache>
            </c:numRef>
          </c:val>
          <c:smooth val="0"/>
        </c:ser>
        <c:dLbls>
          <c:showLegendKey val="0"/>
          <c:showVal val="0"/>
          <c:showCatName val="0"/>
          <c:showSerName val="0"/>
          <c:showPercent val="0"/>
          <c:showBubbleSize val="0"/>
        </c:dLbls>
        <c:smooth val="0"/>
        <c:axId val="562470048"/>
        <c:axId val="433543784"/>
      </c:lineChart>
      <c:catAx>
        <c:axId val="56247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43784"/>
        <c:crosses val="autoZero"/>
        <c:auto val="1"/>
        <c:lblAlgn val="ctr"/>
        <c:lblOffset val="100"/>
        <c:noMultiLvlLbl val="0"/>
      </c:catAx>
      <c:valAx>
        <c:axId val="433543784"/>
        <c:scaling>
          <c:orientation val="minMax"/>
          <c:max val="0.5"/>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70048"/>
        <c:crosses val="autoZero"/>
        <c:crossBetween val="between"/>
      </c:valAx>
      <c:spPr>
        <a:noFill/>
        <a:ln>
          <a:noFill/>
        </a:ln>
        <a:effectLst/>
      </c:spPr>
    </c:plotArea>
    <c:legend>
      <c:legendPos val="b"/>
      <c:layout>
        <c:manualLayout>
          <c:xMode val="edge"/>
          <c:yMode val="edge"/>
          <c:x val="3.4162385439524975E-2"/>
          <c:y val="0.83944809651087182"/>
          <c:w val="0.93604646960113591"/>
          <c:h val="0.123854655782706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Most Severe Deposit Outflow Rates</a:t>
            </a:r>
          </a:p>
          <a:p>
            <a:pPr>
              <a:defRPr sz="800"/>
            </a:pPr>
            <a:r>
              <a:rPr lang="en-US" sz="800"/>
              <a:t>Rolling</a:t>
            </a:r>
            <a:r>
              <a:rPr lang="en-US" sz="800" baseline="0"/>
              <a:t> 3 Quarter</a:t>
            </a:r>
            <a:endParaRPr lang="en-US" sz="800"/>
          </a:p>
        </c:rich>
      </c:tx>
      <c:layout>
        <c:manualLayout>
          <c:xMode val="edge"/>
          <c:yMode val="edge"/>
          <c:x val="0.23451348909255196"/>
          <c:y val="0"/>
        </c:manualLayout>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91441848457466"/>
          <c:y val="0.17761254445397504"/>
          <c:w val="0.81899814982143626"/>
          <c:h val="0.51911014948100875"/>
        </c:manualLayout>
      </c:layout>
      <c:lineChart>
        <c:grouping val="standard"/>
        <c:varyColors val="0"/>
        <c:ser>
          <c:idx val="1"/>
          <c:order val="0"/>
          <c:tx>
            <c:strRef>
              <c:f>SummaryTB!$H$61</c:f>
              <c:strCache>
                <c:ptCount val="1"/>
                <c:pt idx="0">
                  <c:v>Failed - Small</c:v>
                </c:pt>
              </c:strCache>
            </c:strRef>
          </c:tx>
          <c:spPr>
            <a:ln w="22225" cap="rnd">
              <a:solidFill>
                <a:schemeClr val="accent2"/>
              </a:solidFill>
              <a:round/>
            </a:ln>
            <a:effectLst/>
          </c:spPr>
          <c:marker>
            <c:symbol val="none"/>
          </c:marker>
          <c:cat>
            <c:strRef>
              <c:f>SummaryTB!$I$59:$K$59</c:f>
              <c:strCache>
                <c:ptCount val="3"/>
                <c:pt idx="0">
                  <c:v>3M</c:v>
                </c:pt>
                <c:pt idx="1">
                  <c:v>6M</c:v>
                </c:pt>
                <c:pt idx="2">
                  <c:v>9M</c:v>
                </c:pt>
              </c:strCache>
            </c:strRef>
          </c:cat>
          <c:val>
            <c:numRef>
              <c:f>SummaryTB!$I$61:$K$61</c:f>
              <c:numCache>
                <c:formatCode>0%</c:formatCode>
                <c:ptCount val="3"/>
                <c:pt idx="0">
                  <c:v>0.15065642231196663</c:v>
                </c:pt>
                <c:pt idx="1">
                  <c:v>0.15441307585888708</c:v>
                </c:pt>
                <c:pt idx="2">
                  <c:v>0.15497304716723648</c:v>
                </c:pt>
              </c:numCache>
            </c:numRef>
          </c:val>
          <c:smooth val="0"/>
        </c:ser>
        <c:ser>
          <c:idx val="2"/>
          <c:order val="1"/>
          <c:tx>
            <c:strRef>
              <c:f>SummaryTB!$H$62</c:f>
              <c:strCache>
                <c:ptCount val="1"/>
                <c:pt idx="0">
                  <c:v>Failed - Large</c:v>
                </c:pt>
              </c:strCache>
            </c:strRef>
          </c:tx>
          <c:spPr>
            <a:ln w="22225" cap="rnd">
              <a:solidFill>
                <a:schemeClr val="accent3"/>
              </a:solidFill>
              <a:round/>
            </a:ln>
            <a:effectLst/>
          </c:spPr>
          <c:marker>
            <c:symbol val="none"/>
          </c:marker>
          <c:cat>
            <c:strRef>
              <c:f>SummaryTB!$I$59:$K$59</c:f>
              <c:strCache>
                <c:ptCount val="3"/>
                <c:pt idx="0">
                  <c:v>3M</c:v>
                </c:pt>
                <c:pt idx="1">
                  <c:v>6M</c:v>
                </c:pt>
                <c:pt idx="2">
                  <c:v>9M</c:v>
                </c:pt>
              </c:strCache>
            </c:strRef>
          </c:cat>
          <c:val>
            <c:numRef>
              <c:f>SummaryTB!$I$62:$K$62</c:f>
              <c:numCache>
                <c:formatCode>0%</c:formatCode>
                <c:ptCount val="3"/>
                <c:pt idx="0">
                  <c:v>0.12378642542716123</c:v>
                </c:pt>
                <c:pt idx="1">
                  <c:v>0.12378642542716123</c:v>
                </c:pt>
                <c:pt idx="2">
                  <c:v>0.15448032168241232</c:v>
                </c:pt>
              </c:numCache>
            </c:numRef>
          </c:val>
          <c:smooth val="0"/>
        </c:ser>
        <c:dLbls>
          <c:showLegendKey val="0"/>
          <c:showVal val="0"/>
          <c:showCatName val="0"/>
          <c:showSerName val="0"/>
          <c:showPercent val="0"/>
          <c:showBubbleSize val="0"/>
        </c:dLbls>
        <c:smooth val="0"/>
        <c:axId val="536001664"/>
        <c:axId val="536002448"/>
      </c:lineChart>
      <c:catAx>
        <c:axId val="53600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02448"/>
        <c:crosses val="autoZero"/>
        <c:auto val="1"/>
        <c:lblAlgn val="ctr"/>
        <c:lblOffset val="100"/>
        <c:noMultiLvlLbl val="0"/>
      </c:catAx>
      <c:valAx>
        <c:axId val="536002448"/>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01664"/>
        <c:crosses val="autoZero"/>
        <c:crossBetween val="between"/>
      </c:valAx>
      <c:spPr>
        <a:noFill/>
        <a:ln>
          <a:noFill/>
        </a:ln>
        <a:effectLst/>
      </c:spPr>
    </c:plotArea>
    <c:legend>
      <c:legendPos val="b"/>
      <c:layout>
        <c:manualLayout>
          <c:xMode val="edge"/>
          <c:yMode val="edge"/>
          <c:x val="3.4162385439524975E-2"/>
          <c:y val="0.81064014885463276"/>
          <c:w val="0.94041805430058945"/>
          <c:h val="0.1518011656993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Mutti, Caleb</dc:creator>
  <cp:keywords/>
  <dc:description/>
  <cp:lastModifiedBy>Mutti, Caleb</cp:lastModifiedBy>
  <cp:revision>5</cp:revision>
  <dcterms:created xsi:type="dcterms:W3CDTF">2016-11-17T22:49:00Z</dcterms:created>
  <dcterms:modified xsi:type="dcterms:W3CDTF">2016-11-18T13:18:00Z</dcterms:modified>
</cp:coreProperties>
</file>