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435"/>
        <w:gridCol w:w="2520"/>
      </w:tblGrid>
      <w:tr w:rsidR="00F25301" w:rsidTr="00AE156F">
        <w:trPr>
          <w:trHeight w:hRule="exact" w:val="240"/>
        </w:trPr>
        <w:tc>
          <w:tcPr>
            <w:tcW w:w="2435" w:type="dxa"/>
          </w:tcPr>
          <w:p w:rsidR="00F25301" w:rsidRDefault="00F25301" w:rsidP="008B6C1B">
            <w:pPr>
              <w:spacing w:after="0" w:line="217" w:lineRule="exact"/>
              <w:ind w:left="102" w:right="-20"/>
              <w:rPr>
                <w:rFonts w:ascii="Times New Roman" w:eastAsia="Times New Roman" w:hAnsi="Times New Roman" w:cs="Times New Roman"/>
                <w:sz w:val="13"/>
                <w:szCs w:val="13"/>
              </w:rPr>
            </w:pPr>
            <w:r>
              <w:rPr>
                <w:rFonts w:ascii="Times New Roman" w:eastAsia="Times New Roman" w:hAnsi="Times New Roman" w:cs="Times New Roman"/>
                <w:b/>
                <w:bCs/>
                <w:sz w:val="20"/>
                <w:szCs w:val="20"/>
              </w:rPr>
              <w:t>D</w:t>
            </w:r>
            <w:r>
              <w:rPr>
                <w:rFonts w:ascii="Times New Roman" w:eastAsia="Times New Roman" w:hAnsi="Times New Roman" w:cs="Times New Roman"/>
                <w:b/>
                <w:bCs/>
                <w:spacing w:val="1"/>
                <w:sz w:val="20"/>
                <w:szCs w:val="20"/>
              </w:rPr>
              <w:t>a</w:t>
            </w:r>
            <w:r>
              <w:rPr>
                <w:rFonts w:ascii="Times New Roman" w:eastAsia="Times New Roman" w:hAnsi="Times New Roman" w:cs="Times New Roman"/>
                <w:b/>
                <w:bCs/>
                <w:spacing w:val="3"/>
                <w:sz w:val="20"/>
                <w:szCs w:val="20"/>
              </w:rPr>
              <w:t>t</w:t>
            </w:r>
            <w:r>
              <w:rPr>
                <w:rFonts w:ascii="Times New Roman" w:eastAsia="Times New Roman" w:hAnsi="Times New Roman" w:cs="Times New Roman"/>
                <w:b/>
                <w:bCs/>
                <w:spacing w:val="8"/>
                <w:sz w:val="20"/>
                <w:szCs w:val="20"/>
              </w:rPr>
              <w:t>e</w:t>
            </w:r>
          </w:p>
        </w:tc>
        <w:tc>
          <w:tcPr>
            <w:tcW w:w="2520" w:type="dxa"/>
          </w:tcPr>
          <w:p w:rsidR="00F25301" w:rsidRPr="00E305B2" w:rsidRDefault="009117F7" w:rsidP="009117F7">
            <w:pPr>
              <w:ind w:left="72"/>
              <w:jc w:val="center"/>
              <w:rPr>
                <w:rFonts w:ascii="Times New Roman" w:hAnsi="Times New Roman" w:cs="Times New Roman"/>
                <w:sz w:val="20"/>
                <w:szCs w:val="20"/>
              </w:rPr>
            </w:pPr>
            <w:r>
              <w:rPr>
                <w:rFonts w:ascii="Times New Roman" w:hAnsi="Times New Roman" w:cs="Times New Roman"/>
                <w:sz w:val="20"/>
                <w:szCs w:val="20"/>
              </w:rPr>
              <w:t>9</w:t>
            </w:r>
            <w:r w:rsidR="00447426">
              <w:rPr>
                <w:rFonts w:ascii="Times New Roman" w:hAnsi="Times New Roman" w:cs="Times New Roman"/>
                <w:sz w:val="20"/>
                <w:szCs w:val="20"/>
              </w:rPr>
              <w:t>/</w:t>
            </w:r>
            <w:r>
              <w:rPr>
                <w:rFonts w:ascii="Times New Roman" w:hAnsi="Times New Roman" w:cs="Times New Roman"/>
                <w:sz w:val="20"/>
                <w:szCs w:val="20"/>
              </w:rPr>
              <w:t>18/2018</w:t>
            </w:r>
          </w:p>
        </w:tc>
      </w:tr>
      <w:tr w:rsidR="00F25301" w:rsidTr="00AE156F">
        <w:trPr>
          <w:trHeight w:hRule="exact" w:val="240"/>
        </w:trPr>
        <w:tc>
          <w:tcPr>
            <w:tcW w:w="2435" w:type="dxa"/>
          </w:tcPr>
          <w:p w:rsidR="00F25301" w:rsidRDefault="007E4D67" w:rsidP="007E4D67">
            <w:pPr>
              <w:spacing w:after="0" w:line="217" w:lineRule="exact"/>
              <w:ind w:left="102" w:right="-20"/>
              <w:rPr>
                <w:rFonts w:ascii="Times New Roman" w:eastAsia="Times New Roman" w:hAnsi="Times New Roman" w:cs="Times New Roman"/>
                <w:sz w:val="20"/>
                <w:szCs w:val="20"/>
              </w:rPr>
            </w:pPr>
            <w:r>
              <w:rPr>
                <w:rFonts w:ascii="Times New Roman" w:eastAsia="Times New Roman" w:hAnsi="Times New Roman" w:cs="Times New Roman"/>
                <w:b/>
                <w:bCs/>
                <w:spacing w:val="9"/>
                <w:sz w:val="20"/>
                <w:szCs w:val="20"/>
              </w:rPr>
              <w:t xml:space="preserve">MRA </w:t>
            </w:r>
            <w:r w:rsidR="00F25301" w:rsidRPr="006F0888">
              <w:rPr>
                <w:rFonts w:ascii="Times New Roman" w:eastAsia="Times New Roman" w:hAnsi="Times New Roman" w:cs="Times New Roman"/>
                <w:b/>
                <w:bCs/>
                <w:spacing w:val="9"/>
                <w:sz w:val="20"/>
                <w:szCs w:val="20"/>
              </w:rPr>
              <w:t xml:space="preserve">Project </w:t>
            </w:r>
            <w:r>
              <w:rPr>
                <w:rFonts w:ascii="Times New Roman" w:eastAsia="Times New Roman" w:hAnsi="Times New Roman" w:cs="Times New Roman"/>
                <w:b/>
                <w:bCs/>
                <w:spacing w:val="9"/>
                <w:sz w:val="20"/>
                <w:szCs w:val="20"/>
              </w:rPr>
              <w:t>Manager</w:t>
            </w:r>
          </w:p>
        </w:tc>
        <w:tc>
          <w:tcPr>
            <w:tcW w:w="2520" w:type="dxa"/>
          </w:tcPr>
          <w:p w:rsidR="00F25301" w:rsidRPr="00E305B2" w:rsidRDefault="00684A0B" w:rsidP="007B2465">
            <w:pPr>
              <w:ind w:left="72"/>
              <w:jc w:val="center"/>
              <w:rPr>
                <w:rFonts w:ascii="Times New Roman" w:hAnsi="Times New Roman" w:cs="Times New Roman"/>
                <w:sz w:val="20"/>
                <w:szCs w:val="20"/>
              </w:rPr>
            </w:pPr>
            <w:r>
              <w:rPr>
                <w:rFonts w:ascii="Times New Roman" w:hAnsi="Times New Roman" w:cs="Times New Roman"/>
                <w:sz w:val="20"/>
                <w:szCs w:val="20"/>
              </w:rPr>
              <w:t>Charlie Peng</w:t>
            </w:r>
          </w:p>
        </w:tc>
      </w:tr>
    </w:tbl>
    <w:p w:rsidR="009D7E56" w:rsidRDefault="009D7E56">
      <w:pPr>
        <w:spacing w:before="9" w:after="0" w:line="170" w:lineRule="exact"/>
        <w:rPr>
          <w:sz w:val="17"/>
          <w:szCs w:val="17"/>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628"/>
        <w:gridCol w:w="2633"/>
      </w:tblGrid>
      <w:tr w:rsidR="009D7E56" w:rsidTr="00F25301">
        <w:trPr>
          <w:trHeight w:hRule="exact" w:val="240"/>
        </w:trPr>
        <w:tc>
          <w:tcPr>
            <w:tcW w:w="2628" w:type="dxa"/>
            <w:tcBorders>
              <w:top w:val="single" w:sz="4" w:space="0" w:color="000000"/>
              <w:left w:val="single" w:sz="4" w:space="0" w:color="000000"/>
              <w:bottom w:val="single" w:sz="4" w:space="0" w:color="000000"/>
              <w:right w:val="single" w:sz="4" w:space="0" w:color="000000"/>
            </w:tcBorders>
          </w:tcPr>
          <w:p w:rsidR="009D7E56" w:rsidRDefault="00531345" w:rsidP="00531345">
            <w:pPr>
              <w:spacing w:after="0" w:line="217" w:lineRule="exact"/>
              <w:ind w:left="100"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MRA</w:t>
            </w:r>
            <w:r w:rsidR="008B6C1B">
              <w:rPr>
                <w:rFonts w:ascii="Times New Roman" w:eastAsia="Times New Roman" w:hAnsi="Times New Roman" w:cs="Times New Roman"/>
                <w:b/>
                <w:bCs/>
                <w:sz w:val="20"/>
                <w:szCs w:val="20"/>
              </w:rPr>
              <w:t xml:space="preserve"> #</w:t>
            </w:r>
          </w:p>
        </w:tc>
        <w:tc>
          <w:tcPr>
            <w:tcW w:w="2633" w:type="dxa"/>
            <w:tcBorders>
              <w:top w:val="single" w:sz="4" w:space="0" w:color="000000"/>
              <w:left w:val="single" w:sz="4" w:space="0" w:color="000000"/>
              <w:bottom w:val="single" w:sz="4" w:space="0" w:color="000000"/>
              <w:right w:val="single" w:sz="4" w:space="0" w:color="000000"/>
            </w:tcBorders>
          </w:tcPr>
          <w:p w:rsidR="009D7E56" w:rsidRPr="00D420AF" w:rsidRDefault="00684A0B" w:rsidP="00DB0B60">
            <w:pPr>
              <w:ind w:left="54"/>
              <w:rPr>
                <w:rFonts w:ascii="Times New Roman" w:hAnsi="Times New Roman" w:cs="Times New Roman"/>
                <w:sz w:val="20"/>
                <w:szCs w:val="20"/>
              </w:rPr>
            </w:pPr>
            <w:r w:rsidRPr="00D420AF">
              <w:rPr>
                <w:rFonts w:ascii="Times New Roman" w:hAnsi="Times New Roman" w:cs="Times New Roman"/>
                <w:sz w:val="20"/>
                <w:szCs w:val="20"/>
              </w:rPr>
              <w:t>FRB</w:t>
            </w:r>
            <w:r w:rsidR="00531345" w:rsidRPr="00D420AF">
              <w:rPr>
                <w:rFonts w:ascii="Times New Roman" w:hAnsi="Times New Roman" w:cs="Times New Roman"/>
                <w:sz w:val="20"/>
                <w:szCs w:val="20"/>
              </w:rPr>
              <w:t>-</w:t>
            </w:r>
            <w:r w:rsidR="00DB0B60">
              <w:rPr>
                <w:rFonts w:ascii="Times New Roman" w:hAnsi="Times New Roman" w:cs="Times New Roman"/>
                <w:sz w:val="20"/>
                <w:szCs w:val="20"/>
              </w:rPr>
              <w:t>June2018-2</w:t>
            </w:r>
          </w:p>
        </w:tc>
      </w:tr>
    </w:tbl>
    <w:p w:rsidR="004C3F49" w:rsidRDefault="00F25301" w:rsidP="00F25301">
      <w:pPr>
        <w:spacing w:after="0" w:line="200" w:lineRule="exact"/>
        <w:ind w:right="120"/>
        <w:rPr>
          <w:sz w:val="20"/>
          <w:szCs w:val="20"/>
        </w:rPr>
      </w:pPr>
      <w:r>
        <w:rPr>
          <w:sz w:val="20"/>
          <w:szCs w:val="20"/>
        </w:rPr>
        <w:br w:type="textWrapping" w:clear="all"/>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30"/>
        <w:gridCol w:w="11796"/>
      </w:tblGrid>
      <w:tr w:rsidR="004C3F49" w:rsidTr="004A70C9">
        <w:trPr>
          <w:trHeight w:hRule="exact" w:val="236"/>
        </w:trPr>
        <w:tc>
          <w:tcPr>
            <w:tcW w:w="13326" w:type="dxa"/>
            <w:gridSpan w:val="2"/>
            <w:shd w:val="clear" w:color="auto" w:fill="D9D9D9" w:themeFill="background1" w:themeFillShade="D9"/>
          </w:tcPr>
          <w:p w:rsidR="004C3F49" w:rsidRPr="00F25301" w:rsidRDefault="004A70C9" w:rsidP="00BA3507">
            <w:pPr>
              <w:rPr>
                <w:rFonts w:ascii="Times New Roman" w:hAnsi="Times New Roman" w:cs="Times New Roman"/>
              </w:rPr>
            </w:pPr>
            <w:r>
              <w:rPr>
                <w:rFonts w:ascii="Times New Roman" w:eastAsia="Times New Roman" w:hAnsi="Times New Roman" w:cs="Times New Roman"/>
                <w:b/>
                <w:bCs/>
                <w:sz w:val="20"/>
                <w:szCs w:val="20"/>
              </w:rPr>
              <w:t xml:space="preserve"> </w:t>
            </w:r>
            <w:r w:rsidR="00DF50F6">
              <w:rPr>
                <w:rFonts w:ascii="Times New Roman" w:eastAsia="Times New Roman" w:hAnsi="Times New Roman" w:cs="Times New Roman"/>
                <w:b/>
                <w:bCs/>
                <w:sz w:val="20"/>
                <w:szCs w:val="20"/>
              </w:rPr>
              <w:t>FED MRA#2</w:t>
            </w:r>
          </w:p>
        </w:tc>
      </w:tr>
      <w:tr w:rsidR="004C3F49" w:rsidRPr="006F0888" w:rsidTr="006422E6">
        <w:trPr>
          <w:trHeight w:hRule="exact" w:val="3344"/>
        </w:trPr>
        <w:tc>
          <w:tcPr>
            <w:tcW w:w="1530" w:type="dxa"/>
            <w:vAlign w:val="center"/>
          </w:tcPr>
          <w:p w:rsidR="004C3F49" w:rsidRDefault="004C3F49" w:rsidP="004C3F49">
            <w:pPr>
              <w:spacing w:after="0" w:line="226" w:lineRule="auto"/>
              <w:ind w:left="161" w:right="428"/>
              <w:rPr>
                <w:rFonts w:ascii="Times New Roman" w:eastAsia="Times New Roman" w:hAnsi="Times New Roman" w:cs="Times New Roman"/>
                <w:sz w:val="13"/>
                <w:szCs w:val="13"/>
              </w:rPr>
            </w:pPr>
            <w:r w:rsidRPr="00E305B2">
              <w:rPr>
                <w:rFonts w:ascii="Times New Roman" w:eastAsia="Times New Roman" w:hAnsi="Times New Roman" w:cs="Times New Roman"/>
                <w:b/>
                <w:bCs/>
                <w:spacing w:val="-10"/>
                <w:sz w:val="20"/>
                <w:szCs w:val="20"/>
              </w:rPr>
              <w:t xml:space="preserve">Description of </w:t>
            </w:r>
            <w:r>
              <w:rPr>
                <w:rFonts w:ascii="Times New Roman" w:eastAsia="Times New Roman" w:hAnsi="Times New Roman" w:cs="Times New Roman"/>
                <w:b/>
                <w:bCs/>
                <w:spacing w:val="-10"/>
                <w:sz w:val="20"/>
                <w:szCs w:val="20"/>
              </w:rPr>
              <w:t xml:space="preserve"> MRA</w:t>
            </w:r>
          </w:p>
        </w:tc>
        <w:tc>
          <w:tcPr>
            <w:tcW w:w="11796" w:type="dxa"/>
          </w:tcPr>
          <w:p w:rsidR="0048231F" w:rsidRPr="006422E6" w:rsidRDefault="00DF50F6" w:rsidP="0048231F">
            <w:pPr>
              <w:rPr>
                <w:rFonts w:ascii="Times New Roman" w:eastAsia="SimSun" w:hAnsi="Times New Roman" w:cs="Times New Roman"/>
                <w:b/>
                <w:color w:val="000000"/>
                <w:sz w:val="20"/>
                <w:u w:val="single"/>
                <w:lang w:eastAsia="zh-CN"/>
              </w:rPr>
            </w:pPr>
            <w:r w:rsidRPr="006422E6">
              <w:rPr>
                <w:rFonts w:ascii="Times New Roman" w:eastAsia="SimSun" w:hAnsi="Times New Roman" w:cs="Times New Roman"/>
                <w:b/>
                <w:color w:val="000000"/>
                <w:sz w:val="20"/>
                <w:u w:val="single"/>
                <w:lang w:eastAsia="zh-CN"/>
              </w:rPr>
              <w:t>MRA #2</w:t>
            </w:r>
            <w:r w:rsidR="0048231F" w:rsidRPr="006422E6">
              <w:rPr>
                <w:rFonts w:ascii="Times New Roman" w:eastAsia="SimSun" w:hAnsi="Times New Roman" w:cs="Times New Roman"/>
                <w:b/>
                <w:color w:val="000000"/>
                <w:sz w:val="20"/>
                <w:u w:val="single"/>
                <w:lang w:eastAsia="zh-CN"/>
              </w:rPr>
              <w:t xml:space="preserve">: </w:t>
            </w:r>
            <w:r w:rsidRPr="006422E6">
              <w:rPr>
                <w:rFonts w:ascii="Times New Roman" w:eastAsia="SimSun" w:hAnsi="Times New Roman" w:cs="Times New Roman"/>
                <w:b/>
                <w:color w:val="000000"/>
                <w:sz w:val="20"/>
                <w:u w:val="single"/>
                <w:lang w:eastAsia="zh-CN"/>
              </w:rPr>
              <w:t>Improve support for and transparency of assumptions</w:t>
            </w:r>
          </w:p>
          <w:p w:rsidR="009117F7" w:rsidRPr="006422E6" w:rsidRDefault="0048231F" w:rsidP="009117F7">
            <w:pPr>
              <w:jc w:val="both"/>
              <w:rPr>
                <w:rFonts w:ascii="Times New Roman" w:hAnsi="Times New Roman" w:cs="Times New Roman"/>
                <w:i/>
                <w:iCs/>
                <w:color w:val="000000"/>
                <w:sz w:val="20"/>
              </w:rPr>
            </w:pPr>
            <w:r w:rsidRPr="006422E6">
              <w:rPr>
                <w:rFonts w:ascii="Times New Roman" w:eastAsia="SimSun" w:hAnsi="Times New Roman" w:cs="Times New Roman"/>
                <w:b/>
                <w:color w:val="000000"/>
                <w:sz w:val="20"/>
                <w:u w:val="single"/>
                <w:lang w:eastAsia="zh-CN"/>
              </w:rPr>
              <w:t>Issue</w:t>
            </w:r>
            <w:r w:rsidRPr="006422E6">
              <w:rPr>
                <w:rFonts w:ascii="Times New Roman" w:eastAsia="SimSun" w:hAnsi="Times New Roman" w:cs="Times New Roman"/>
                <w:color w:val="000000"/>
                <w:sz w:val="20"/>
                <w:lang w:eastAsia="zh-CN"/>
              </w:rPr>
              <w:t xml:space="preserve">: </w:t>
            </w:r>
            <w:r w:rsidR="009117F7" w:rsidRPr="006422E6">
              <w:rPr>
                <w:rFonts w:ascii="Times New Roman" w:hAnsi="Times New Roman" w:cs="Times New Roman"/>
                <w:i/>
                <w:iCs/>
                <w:color w:val="000000"/>
                <w:sz w:val="20"/>
              </w:rPr>
              <w:t>Enhance the support and transparency for the process utilized to establish runoff rates for commercial paper backstops and asset haircuts.</w:t>
            </w:r>
          </w:p>
          <w:p w:rsidR="009117F7" w:rsidRPr="006422E6" w:rsidRDefault="009117F7" w:rsidP="009117F7">
            <w:pPr>
              <w:jc w:val="both"/>
              <w:rPr>
                <w:rFonts w:ascii="Times New Roman" w:hAnsi="Times New Roman" w:cs="Times New Roman"/>
                <w:i/>
                <w:iCs/>
                <w:color w:val="000000"/>
                <w:sz w:val="20"/>
              </w:rPr>
            </w:pPr>
            <w:r w:rsidRPr="006422E6">
              <w:rPr>
                <w:rFonts w:ascii="Times New Roman" w:hAnsi="Times New Roman" w:cs="Times New Roman"/>
                <w:i/>
                <w:iCs/>
                <w:color w:val="000000"/>
                <w:sz w:val="20"/>
              </w:rPr>
              <w:t>While management mostly addressed this issue by enhancing the process utilized to establish runoff rates for commercial paper backstops and asset haircuts, the firm must capture in its internal liquidity stress test the following assumptions related to Commercial Paper Direct-Pay Letter of Credit (CPDP):</w:t>
            </w:r>
          </w:p>
          <w:p w:rsidR="009117F7" w:rsidRPr="006422E6" w:rsidRDefault="002250E6" w:rsidP="009117F7">
            <w:pPr>
              <w:ind w:left="720"/>
              <w:jc w:val="both"/>
              <w:rPr>
                <w:rFonts w:ascii="Times New Roman" w:hAnsi="Times New Roman" w:cs="Times New Roman"/>
                <w:i/>
                <w:iCs/>
                <w:color w:val="000000"/>
                <w:sz w:val="20"/>
              </w:rPr>
            </w:pPr>
            <w:r w:rsidRPr="006422E6">
              <w:rPr>
                <w:rFonts w:ascii="Times New Roman" w:hAnsi="Times New Roman" w:cs="Times New Roman"/>
                <w:i/>
                <w:iCs/>
                <w:color w:val="000000"/>
                <w:sz w:val="20"/>
              </w:rPr>
              <w:t xml:space="preserve">1. </w:t>
            </w:r>
            <w:r w:rsidR="009117F7" w:rsidRPr="006422E6">
              <w:rPr>
                <w:rFonts w:ascii="Times New Roman" w:hAnsi="Times New Roman" w:cs="Times New Roman"/>
                <w:i/>
                <w:iCs/>
                <w:color w:val="000000"/>
                <w:sz w:val="20"/>
              </w:rPr>
              <w:t>Treat undrawn lines as a liquidity commitment</w:t>
            </w:r>
          </w:p>
          <w:p w:rsidR="009117F7" w:rsidRPr="006422E6" w:rsidRDefault="002250E6" w:rsidP="009117F7">
            <w:pPr>
              <w:ind w:left="720"/>
              <w:jc w:val="both"/>
              <w:rPr>
                <w:rFonts w:ascii="Times New Roman" w:hAnsi="Times New Roman" w:cs="Times New Roman"/>
                <w:i/>
                <w:iCs/>
                <w:color w:val="000000"/>
                <w:sz w:val="20"/>
              </w:rPr>
            </w:pPr>
            <w:r w:rsidRPr="006422E6">
              <w:rPr>
                <w:rFonts w:ascii="Times New Roman" w:hAnsi="Times New Roman" w:cs="Times New Roman"/>
                <w:i/>
                <w:iCs/>
                <w:color w:val="000000"/>
                <w:sz w:val="20"/>
              </w:rPr>
              <w:t xml:space="preserve">2. </w:t>
            </w:r>
            <w:r w:rsidR="009117F7" w:rsidRPr="006422E6">
              <w:rPr>
                <w:rFonts w:ascii="Times New Roman" w:hAnsi="Times New Roman" w:cs="Times New Roman"/>
                <w:i/>
                <w:iCs/>
                <w:color w:val="000000"/>
                <w:sz w:val="20"/>
              </w:rPr>
              <w:t>Assume 100% is drawn on the maturity date of Commercial Paper</w:t>
            </w:r>
          </w:p>
          <w:p w:rsidR="004C3F49" w:rsidRPr="006422E6" w:rsidRDefault="009117F7" w:rsidP="006422E6">
            <w:pPr>
              <w:jc w:val="both"/>
              <w:rPr>
                <w:rFonts w:ascii="Times New Roman" w:eastAsia="SimSun" w:hAnsi="Times New Roman" w:cs="Times New Roman"/>
                <w:i/>
                <w:color w:val="000000"/>
                <w:sz w:val="20"/>
              </w:rPr>
            </w:pPr>
            <w:r w:rsidRPr="006422E6">
              <w:rPr>
                <w:rFonts w:ascii="Times New Roman" w:eastAsia="SimSun" w:hAnsi="Times New Roman" w:cs="Times New Roman"/>
                <w:b/>
                <w:i/>
                <w:color w:val="000000"/>
                <w:sz w:val="20"/>
                <w:u w:val="single"/>
                <w:lang w:eastAsia="zh-CN"/>
              </w:rPr>
              <w:t>Remediation Timeframe</w:t>
            </w:r>
            <w:r w:rsidR="0048231F" w:rsidRPr="006422E6">
              <w:rPr>
                <w:rFonts w:ascii="Times New Roman" w:eastAsia="SimSun" w:hAnsi="Times New Roman" w:cs="Times New Roman"/>
                <w:b/>
                <w:color w:val="000000"/>
                <w:sz w:val="20"/>
                <w:lang w:eastAsia="zh-CN"/>
              </w:rPr>
              <w:t>:</w:t>
            </w:r>
            <w:r w:rsidR="0048231F" w:rsidRPr="006422E6">
              <w:rPr>
                <w:rFonts w:ascii="Times New Roman" w:eastAsia="SimSun" w:hAnsi="Times New Roman" w:cs="Times New Roman"/>
                <w:color w:val="000000"/>
                <w:sz w:val="20"/>
                <w:lang w:eastAsia="zh-CN"/>
              </w:rPr>
              <w:t xml:space="preserve"> </w:t>
            </w:r>
            <w:r w:rsidRPr="006422E6">
              <w:rPr>
                <w:rFonts w:ascii="Times New Roman" w:hAnsi="Times New Roman" w:cs="Times New Roman"/>
                <w:i/>
                <w:iCs/>
                <w:color w:val="000000"/>
                <w:sz w:val="20"/>
              </w:rPr>
              <w:t>Within 90 days</w:t>
            </w:r>
          </w:p>
        </w:tc>
      </w:tr>
      <w:tr w:rsidR="006422E6" w:rsidRPr="006F0888" w:rsidTr="006422E6">
        <w:trPr>
          <w:trHeight w:hRule="exact" w:val="5045"/>
        </w:trPr>
        <w:tc>
          <w:tcPr>
            <w:tcW w:w="1530" w:type="dxa"/>
            <w:vAlign w:val="center"/>
          </w:tcPr>
          <w:p w:rsidR="006422E6" w:rsidRPr="00E305B2" w:rsidRDefault="006422E6" w:rsidP="004C3F49">
            <w:pPr>
              <w:spacing w:after="0" w:line="226" w:lineRule="auto"/>
              <w:ind w:left="161" w:right="428"/>
              <w:rPr>
                <w:rFonts w:ascii="Times New Roman" w:eastAsia="Times New Roman" w:hAnsi="Times New Roman" w:cs="Times New Roman"/>
                <w:b/>
                <w:bCs/>
                <w:spacing w:val="-10"/>
                <w:sz w:val="20"/>
                <w:szCs w:val="20"/>
              </w:rPr>
            </w:pPr>
            <w:r w:rsidRPr="00E305B2">
              <w:rPr>
                <w:rFonts w:ascii="Times New Roman" w:eastAsia="Times New Roman" w:hAnsi="Times New Roman" w:cs="Times New Roman"/>
                <w:b/>
                <w:bCs/>
                <w:spacing w:val="-10"/>
                <w:sz w:val="20"/>
                <w:szCs w:val="20"/>
              </w:rPr>
              <w:t>Description of Action Item(s) and</w:t>
            </w:r>
            <w:r>
              <w:rPr>
                <w:rFonts w:ascii="Times New Roman" w:eastAsia="Times New Roman" w:hAnsi="Times New Roman" w:cs="Times New Roman"/>
                <w:b/>
                <w:bCs/>
                <w:spacing w:val="-10"/>
                <w:sz w:val="20"/>
                <w:szCs w:val="20"/>
              </w:rPr>
              <w:t xml:space="preserve"> </w:t>
            </w:r>
            <w:r w:rsidRPr="00E305B2">
              <w:rPr>
                <w:rFonts w:ascii="Times New Roman" w:eastAsia="Times New Roman" w:hAnsi="Times New Roman" w:cs="Times New Roman"/>
                <w:b/>
                <w:bCs/>
                <w:spacing w:val="-10"/>
                <w:sz w:val="20"/>
                <w:szCs w:val="20"/>
              </w:rPr>
              <w:t>Detailed Step(s</w:t>
            </w:r>
            <w:r>
              <w:rPr>
                <w:rFonts w:ascii="Times New Roman" w:eastAsia="Times New Roman" w:hAnsi="Times New Roman" w:cs="Times New Roman"/>
                <w:b/>
                <w:bCs/>
                <w:spacing w:val="1"/>
                <w:sz w:val="20"/>
                <w:szCs w:val="20"/>
              </w:rPr>
              <w:t>)</w:t>
            </w:r>
          </w:p>
        </w:tc>
        <w:tc>
          <w:tcPr>
            <w:tcW w:w="11796" w:type="dxa"/>
          </w:tcPr>
          <w:p w:rsidR="006422E6" w:rsidRDefault="006422E6" w:rsidP="006422E6">
            <w:pPr>
              <w:rPr>
                <w:rFonts w:ascii="Times New Roman" w:eastAsia="SimSun" w:hAnsi="Times New Roman" w:cs="Times New Roman"/>
                <w:sz w:val="20"/>
                <w:lang w:eastAsia="zh-CN"/>
              </w:rPr>
            </w:pPr>
            <w:r w:rsidRPr="002F4A16">
              <w:rPr>
                <w:rFonts w:ascii="Times New Roman" w:eastAsia="SimSun" w:hAnsi="Times New Roman" w:cs="Times New Roman"/>
                <w:b/>
                <w:sz w:val="20"/>
                <w:lang w:eastAsia="zh-CN"/>
              </w:rPr>
              <w:t>BOC USA Response</w:t>
            </w:r>
            <w:r w:rsidRPr="002F4A16">
              <w:rPr>
                <w:rFonts w:ascii="Times New Roman" w:eastAsia="SimSun" w:hAnsi="Times New Roman" w:cs="Times New Roman"/>
                <w:sz w:val="20"/>
                <w:lang w:eastAsia="zh-CN"/>
              </w:rPr>
              <w:t xml:space="preserve">: </w:t>
            </w:r>
            <w:r w:rsidRPr="002250E6">
              <w:rPr>
                <w:rFonts w:ascii="Times New Roman" w:eastAsia="SimSun" w:hAnsi="Times New Roman" w:cs="Times New Roman"/>
                <w:sz w:val="20"/>
                <w:lang w:eastAsia="zh-CN"/>
              </w:rPr>
              <w:t>While relevant data and product have been analyzed during the remediation resolution development, the Management concurs with the Fed’s feedback and will further enhance CPDP run-off assumptions with trans</w:t>
            </w:r>
            <w:r>
              <w:rPr>
                <w:rFonts w:ascii="Times New Roman" w:eastAsia="SimSun" w:hAnsi="Times New Roman" w:cs="Times New Roman"/>
                <w:sz w:val="20"/>
                <w:lang w:eastAsia="zh-CN"/>
              </w:rPr>
              <w:t>parency and additional support.</w:t>
            </w:r>
          </w:p>
          <w:p w:rsidR="006422E6" w:rsidRPr="002250E6" w:rsidRDefault="006422E6" w:rsidP="006422E6">
            <w:pPr>
              <w:ind w:left="48"/>
              <w:rPr>
                <w:rFonts w:ascii="Times New Roman" w:eastAsia="SimSun" w:hAnsi="Times New Roman" w:cs="Times New Roman"/>
                <w:sz w:val="20"/>
                <w:lang w:eastAsia="zh-CN"/>
              </w:rPr>
            </w:pPr>
            <w:r w:rsidRPr="002250E6">
              <w:rPr>
                <w:rFonts w:ascii="Times New Roman" w:eastAsia="SimSun" w:hAnsi="Times New Roman" w:cs="Times New Roman"/>
                <w:sz w:val="20"/>
                <w:lang w:eastAsia="zh-CN"/>
              </w:rPr>
              <w:t>After discussion and clarification with FRB examiners, the components of CPDP commitment will be treated as follows:</w:t>
            </w:r>
          </w:p>
          <w:p w:rsidR="006422E6" w:rsidRPr="002250E6" w:rsidRDefault="006422E6" w:rsidP="006422E6">
            <w:pPr>
              <w:ind w:left="720"/>
              <w:rPr>
                <w:rFonts w:ascii="Times New Roman" w:eastAsia="SimSun" w:hAnsi="Times New Roman" w:cs="Times New Roman"/>
                <w:sz w:val="20"/>
                <w:lang w:eastAsia="zh-CN"/>
              </w:rPr>
            </w:pPr>
            <w:r>
              <w:rPr>
                <w:rFonts w:ascii="Times New Roman" w:eastAsia="SimSun" w:hAnsi="Times New Roman" w:cs="Times New Roman"/>
                <w:sz w:val="20"/>
                <w:lang w:eastAsia="zh-CN"/>
              </w:rPr>
              <w:t xml:space="preserve">1. </w:t>
            </w:r>
            <w:r w:rsidRPr="002250E6">
              <w:rPr>
                <w:rFonts w:ascii="Times New Roman" w:eastAsia="SimSun" w:hAnsi="Times New Roman" w:cs="Times New Roman"/>
                <w:sz w:val="20"/>
                <w:lang w:eastAsia="zh-CN"/>
              </w:rPr>
              <w:t>The used portion of the CPDP commitment (total amount of outstanding CP) will be treated as liquidity commitment;</w:t>
            </w:r>
          </w:p>
          <w:p w:rsidR="006422E6" w:rsidRPr="002F4A16" w:rsidRDefault="006422E6" w:rsidP="006422E6">
            <w:pPr>
              <w:ind w:left="720"/>
              <w:rPr>
                <w:rFonts w:ascii="Times New Roman" w:eastAsia="SimSun" w:hAnsi="Times New Roman" w:cs="Times New Roman"/>
                <w:sz w:val="20"/>
                <w:lang w:eastAsia="zh-CN"/>
              </w:rPr>
            </w:pPr>
            <w:r>
              <w:rPr>
                <w:rFonts w:ascii="Times New Roman" w:eastAsia="SimSun" w:hAnsi="Times New Roman" w:cs="Times New Roman"/>
                <w:sz w:val="20"/>
                <w:lang w:eastAsia="zh-CN"/>
              </w:rPr>
              <w:t xml:space="preserve">2. </w:t>
            </w:r>
            <w:r w:rsidRPr="002250E6">
              <w:rPr>
                <w:rFonts w:ascii="Times New Roman" w:eastAsia="SimSun" w:hAnsi="Times New Roman" w:cs="Times New Roman"/>
                <w:sz w:val="20"/>
                <w:lang w:eastAsia="zh-CN"/>
              </w:rPr>
              <w:t>The loan drawn on the maturity of Commercial Paper has been fully captured as outflow and included in the Balance Sheet; the unused portion (the total commitment size minus the sum of the amounts of outstanding CP and drawn loan) has minimal potential liquidity impact.</w:t>
            </w:r>
          </w:p>
          <w:p w:rsidR="006422E6" w:rsidRPr="002250E6" w:rsidRDefault="006422E6" w:rsidP="006422E6">
            <w:pPr>
              <w:ind w:left="48"/>
              <w:rPr>
                <w:rFonts w:ascii="Times New Roman" w:eastAsia="SimSun" w:hAnsi="Times New Roman" w:cs="Times New Roman"/>
                <w:sz w:val="20"/>
                <w:lang w:eastAsia="zh-CN"/>
              </w:rPr>
            </w:pPr>
            <w:r w:rsidRPr="00665DCC">
              <w:rPr>
                <w:rFonts w:ascii="Times New Roman" w:eastAsia="SimSun" w:hAnsi="Times New Roman" w:cs="Times New Roman"/>
                <w:b/>
                <w:sz w:val="20"/>
                <w:lang w:eastAsia="zh-CN"/>
              </w:rPr>
              <w:t>BOC USA Action Plan and Timeline</w:t>
            </w:r>
            <w:r w:rsidRPr="002F4A16">
              <w:rPr>
                <w:rFonts w:ascii="Times New Roman" w:eastAsia="SimSun" w:hAnsi="Times New Roman" w:cs="Times New Roman"/>
                <w:sz w:val="20"/>
                <w:lang w:eastAsia="zh-CN"/>
              </w:rPr>
              <w:t xml:space="preserve">: </w:t>
            </w:r>
            <w:r w:rsidRPr="002250E6">
              <w:rPr>
                <w:rFonts w:ascii="Times New Roman" w:eastAsia="SimSun" w:hAnsi="Times New Roman" w:cs="Times New Roman"/>
                <w:sz w:val="20"/>
                <w:lang w:eastAsia="zh-CN"/>
              </w:rPr>
              <w:t>The Management will consider and analyze the Bank’s internal information including historical data, product feature, client profile and feature, and available external data sources related with CPDP commitment. The Management will also leverage LCR Rules as guidance for benchmark. The run-off rates along with respective analysis and applicable process enhancement will be well-documented with sufficient details to enhance</w:t>
            </w:r>
            <w:r>
              <w:rPr>
                <w:rFonts w:ascii="Times New Roman" w:eastAsia="SimSun" w:hAnsi="Times New Roman" w:cs="Times New Roman"/>
                <w:sz w:val="20"/>
                <w:lang w:eastAsia="zh-CN"/>
              </w:rPr>
              <w:t xml:space="preserve"> the CPDP run-off assumptions. </w:t>
            </w:r>
          </w:p>
          <w:p w:rsidR="006422E6" w:rsidRPr="002250E6" w:rsidRDefault="006422E6" w:rsidP="006422E6">
            <w:pPr>
              <w:ind w:left="48"/>
              <w:rPr>
                <w:rFonts w:ascii="Times New Roman" w:eastAsia="SimSun" w:hAnsi="Times New Roman" w:cs="Times New Roman"/>
                <w:sz w:val="20"/>
                <w:lang w:eastAsia="zh-CN"/>
              </w:rPr>
            </w:pPr>
            <w:r w:rsidRPr="002250E6">
              <w:rPr>
                <w:rFonts w:ascii="Times New Roman" w:eastAsia="SimSun" w:hAnsi="Times New Roman" w:cs="Times New Roman"/>
                <w:sz w:val="20"/>
                <w:lang w:eastAsia="zh-CN"/>
              </w:rPr>
              <w:t>IRM functions will review and challenge the methodology and assumptions to ensure that the CPDP run-off assumptions are well-supported, well-documented, and based on sound rationale. The Management will then obtain the appropriate levels of approva</w:t>
            </w:r>
            <w:r>
              <w:rPr>
                <w:rFonts w:ascii="Times New Roman" w:eastAsia="SimSun" w:hAnsi="Times New Roman" w:cs="Times New Roman"/>
                <w:sz w:val="20"/>
                <w:lang w:eastAsia="zh-CN"/>
              </w:rPr>
              <w:t xml:space="preserve">l prior to the implementation. </w:t>
            </w:r>
          </w:p>
          <w:p w:rsidR="006422E6" w:rsidRPr="002F4A16" w:rsidRDefault="006422E6" w:rsidP="006422E6">
            <w:pPr>
              <w:ind w:left="48"/>
              <w:rPr>
                <w:rFonts w:ascii="Times New Roman" w:eastAsia="SimSun" w:hAnsi="Times New Roman" w:cs="Times New Roman"/>
                <w:sz w:val="20"/>
                <w:lang w:eastAsia="zh-CN"/>
              </w:rPr>
            </w:pPr>
            <w:r w:rsidRPr="002250E6">
              <w:rPr>
                <w:rFonts w:ascii="Times New Roman" w:eastAsia="SimSun" w:hAnsi="Times New Roman" w:cs="Times New Roman"/>
                <w:sz w:val="20"/>
                <w:lang w:eastAsia="zh-CN"/>
              </w:rPr>
              <w:t>The Management will implement the changes of run-off rates by September 18, 2018.</w:t>
            </w:r>
          </w:p>
          <w:p w:rsidR="006422E6" w:rsidRDefault="006422E6" w:rsidP="00BA3507">
            <w:pPr>
              <w:spacing w:after="0" w:line="240" w:lineRule="auto"/>
              <w:ind w:left="43"/>
              <w:rPr>
                <w:rFonts w:ascii="Times New Roman" w:hAnsi="Times New Roman" w:cs="Times New Roman"/>
                <w:sz w:val="20"/>
                <w:szCs w:val="20"/>
              </w:rPr>
            </w:pPr>
          </w:p>
        </w:tc>
      </w:tr>
    </w:tbl>
    <w:p w:rsidR="00F25301" w:rsidRDefault="00F25301">
      <w:pPr>
        <w:spacing w:after="0"/>
        <w:sectPr w:rsidR="00F25301">
          <w:headerReference w:type="default" r:id="rId9"/>
          <w:footerReference w:type="default" r:id="rId10"/>
          <w:type w:val="continuous"/>
          <w:pgSz w:w="15840" w:h="12240" w:orient="landscape"/>
          <w:pgMar w:top="1400" w:right="1240" w:bottom="1100" w:left="1160" w:header="266" w:footer="916" w:gutter="0"/>
          <w:pgNumType w:start="1"/>
          <w:cols w:space="720"/>
        </w:sectPr>
      </w:pPr>
    </w:p>
    <w:tbl>
      <w:tblPr>
        <w:tblStyle w:val="TableGrid"/>
        <w:tblW w:w="0" w:type="auto"/>
        <w:tblInd w:w="108" w:type="dxa"/>
        <w:tblLook w:val="04A0" w:firstRow="1" w:lastRow="0" w:firstColumn="1" w:lastColumn="0" w:noHBand="0" w:noVBand="1"/>
      </w:tblPr>
      <w:tblGrid>
        <w:gridCol w:w="13230"/>
      </w:tblGrid>
      <w:tr w:rsidR="00E305B2" w:rsidTr="004A70C9">
        <w:tc>
          <w:tcPr>
            <w:tcW w:w="13230" w:type="dxa"/>
            <w:shd w:val="clear" w:color="auto" w:fill="D9D9D9" w:themeFill="background1" w:themeFillShade="D9"/>
          </w:tcPr>
          <w:p w:rsidR="00E305B2" w:rsidRDefault="00E305B2" w:rsidP="006F0888">
            <w:pPr>
              <w:tabs>
                <w:tab w:val="left" w:pos="13180"/>
              </w:tabs>
              <w:spacing w:before="33"/>
              <w:ind w:right="-20"/>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rPr>
              <w:lastRenderedPageBreak/>
              <w:t>Part 1 – Evidence of Project Execution</w:t>
            </w:r>
            <w:r w:rsidR="004C3F49">
              <w:rPr>
                <w:rFonts w:ascii="Times New Roman" w:eastAsia="Times New Roman" w:hAnsi="Times New Roman" w:cs="Times New Roman"/>
                <w:b/>
                <w:bCs/>
                <w:sz w:val="20"/>
                <w:szCs w:val="20"/>
              </w:rPr>
              <w:t xml:space="preserve"> from the First Line of Defense</w:t>
            </w:r>
          </w:p>
        </w:tc>
      </w:tr>
    </w:tbl>
    <w:p w:rsidR="009D7E56" w:rsidRDefault="009D7E56">
      <w:pPr>
        <w:spacing w:before="7" w:after="0" w:line="200" w:lineRule="exact"/>
        <w:rPr>
          <w:sz w:val="20"/>
          <w:szCs w:val="20"/>
        </w:rPr>
      </w:pPr>
    </w:p>
    <w:p w:rsidR="009D7E56" w:rsidRDefault="007B2465" w:rsidP="00E305B2">
      <w:pPr>
        <w:spacing w:after="0" w:line="240" w:lineRule="auto"/>
        <w:ind w:left="260" w:right="-20"/>
        <w:jc w:val="both"/>
        <w:rPr>
          <w:rFonts w:ascii="Times New Roman" w:eastAsia="Times New Roman" w:hAnsi="Times New Roman" w:cs="Times New Roman"/>
          <w:sz w:val="20"/>
          <w:szCs w:val="20"/>
        </w:rPr>
      </w:pPr>
      <w:r w:rsidRPr="00F25301">
        <w:rPr>
          <w:rFonts w:ascii="Times New Roman" w:eastAsia="Times New Roman" w:hAnsi="Times New Roman" w:cs="Times New Roman"/>
          <w:spacing w:val="2"/>
          <w:w w:val="96"/>
          <w:sz w:val="20"/>
          <w:szCs w:val="20"/>
        </w:rPr>
        <w:t>D</w:t>
      </w:r>
      <w:r w:rsidRPr="00E305B2">
        <w:rPr>
          <w:rFonts w:ascii="Times New Roman" w:eastAsia="Times New Roman" w:hAnsi="Times New Roman" w:cs="Times New Roman"/>
          <w:sz w:val="20"/>
          <w:szCs w:val="20"/>
        </w:rPr>
        <w:t>escription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artifacts</w:t>
      </w:r>
      <w:r w:rsidR="00400973" w:rsidRPr="00E305B2">
        <w:rPr>
          <w:rFonts w:ascii="Times New Roman" w:eastAsia="Times New Roman" w:hAnsi="Times New Roman" w:cs="Times New Roman"/>
          <w:sz w:val="20"/>
          <w:szCs w:val="20"/>
        </w:rPr>
        <w:t xml:space="preserve"> </w:t>
      </w:r>
      <w:r w:rsidRPr="00E305B2">
        <w:rPr>
          <w:rFonts w:ascii="Times New Roman" w:eastAsia="Times New Roman" w:hAnsi="Times New Roman" w:cs="Times New Roman"/>
          <w:sz w:val="20"/>
          <w:szCs w:val="20"/>
        </w:rPr>
        <w:t>proving execution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h</w:t>
      </w:r>
      <w:r w:rsidRPr="00F25301">
        <w:rPr>
          <w:rFonts w:ascii="Times New Roman" w:eastAsia="Times New Roman" w:hAnsi="Times New Roman" w:cs="Times New Roman"/>
          <w:sz w:val="20"/>
          <w:szCs w:val="20"/>
        </w:rPr>
        <w:t>e</w:t>
      </w:r>
      <w:r w:rsidRPr="00E305B2">
        <w:rPr>
          <w:rFonts w:ascii="Times New Roman" w:eastAsia="Times New Roman" w:hAnsi="Times New Roman" w:cs="Times New Roman"/>
          <w:sz w:val="20"/>
          <w:szCs w:val="20"/>
        </w:rPr>
        <w:t xml:space="preserve"> remediation </w:t>
      </w:r>
      <w:r w:rsidRPr="00F25301">
        <w:rPr>
          <w:rFonts w:ascii="Times New Roman" w:eastAsia="Times New Roman" w:hAnsi="Times New Roman" w:cs="Times New Roman"/>
          <w:sz w:val="20"/>
          <w:szCs w:val="20"/>
        </w:rPr>
        <w:t>acti</w:t>
      </w:r>
      <w:r w:rsidRPr="00E305B2">
        <w:rPr>
          <w:rFonts w:ascii="Times New Roman" w:eastAsia="Times New Roman" w:hAnsi="Times New Roman" w:cs="Times New Roman"/>
          <w:sz w:val="20"/>
          <w:szCs w:val="20"/>
        </w:rPr>
        <w:t>on</w:t>
      </w:r>
      <w:r w:rsidRPr="00F25301">
        <w:rPr>
          <w:rFonts w:ascii="Times New Roman" w:eastAsia="Times New Roman" w:hAnsi="Times New Roman" w:cs="Times New Roman"/>
          <w:sz w:val="20"/>
          <w:szCs w:val="20"/>
        </w:rPr>
        <w: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l</w:t>
      </w:r>
      <w:r w:rsidRPr="00E305B2">
        <w:rPr>
          <w:rFonts w:ascii="Times New Roman" w:eastAsia="Times New Roman" w:hAnsi="Times New Roman" w:cs="Times New Roman"/>
          <w:sz w:val="20"/>
          <w:szCs w:val="20"/>
        </w:rPr>
        <w:t>is</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a</w:t>
      </w:r>
      <w:r w:rsidRPr="00E305B2">
        <w:rPr>
          <w:rFonts w:ascii="Times New Roman" w:eastAsia="Times New Roman" w:hAnsi="Times New Roman" w:cs="Times New Roman"/>
          <w:sz w:val="20"/>
          <w:szCs w:val="20"/>
        </w:rPr>
        <w:t>n</w:t>
      </w:r>
      <w:r w:rsidRPr="00F25301">
        <w:rPr>
          <w:rFonts w:ascii="Times New Roman" w:eastAsia="Times New Roman" w:hAnsi="Times New Roman" w:cs="Times New Roman"/>
          <w:sz w:val="20"/>
          <w:szCs w:val="20"/>
        </w:rPr>
        <w:t>d</w:t>
      </w:r>
      <w:r w:rsidRPr="00E305B2">
        <w:rPr>
          <w:rFonts w:ascii="Times New Roman" w:eastAsia="Times New Roman" w:hAnsi="Times New Roman" w:cs="Times New Roman"/>
          <w:sz w:val="20"/>
          <w:szCs w:val="20"/>
        </w:rPr>
        <w:t xml:space="preserve"> describe </w:t>
      </w:r>
      <w:r w:rsidRPr="00F25301">
        <w:rPr>
          <w:rFonts w:ascii="Times New Roman" w:eastAsia="Times New Roman" w:hAnsi="Times New Roman" w:cs="Times New Roman"/>
          <w:sz w:val="20"/>
          <w:szCs w:val="20"/>
        </w:rPr>
        <w:t>ea</w:t>
      </w:r>
      <w:r w:rsidRPr="00E305B2">
        <w:rPr>
          <w:rFonts w:ascii="Times New Roman" w:eastAsia="Times New Roman" w:hAnsi="Times New Roman" w:cs="Times New Roman"/>
          <w:sz w:val="20"/>
          <w:szCs w:val="20"/>
        </w:rPr>
        <w:t>c</w:t>
      </w:r>
      <w:r w:rsidRPr="00F25301">
        <w:rPr>
          <w:rFonts w:ascii="Times New Roman" w:eastAsia="Times New Roman" w:hAnsi="Times New Roman" w:cs="Times New Roman"/>
          <w:sz w:val="20"/>
          <w:szCs w:val="20"/>
        </w:rPr>
        <w:t>h</w:t>
      </w:r>
      <w:r w:rsidRPr="00E305B2">
        <w:rPr>
          <w:rFonts w:ascii="Times New Roman" w:eastAsia="Times New Roman" w:hAnsi="Times New Roman" w:cs="Times New Roman"/>
          <w:sz w:val="20"/>
          <w:szCs w:val="20"/>
        </w:rPr>
        <w:t xml:space="preserve"> individual documen</w:t>
      </w:r>
      <w:r w:rsidRPr="00F25301">
        <w:rPr>
          <w:rFonts w:ascii="Times New Roman" w:eastAsia="Times New Roman" w:hAnsi="Times New Roman" w:cs="Times New Roman"/>
          <w:sz w:val="20"/>
          <w:szCs w:val="20"/>
        </w:rPr>
        <w:t>t.</w:t>
      </w:r>
    </w:p>
    <w:p w:rsidR="00E305B2" w:rsidRPr="00E305B2" w:rsidRDefault="00E305B2" w:rsidP="00E305B2">
      <w:pPr>
        <w:spacing w:after="0" w:line="240" w:lineRule="auto"/>
        <w:ind w:left="260" w:right="-20"/>
        <w:jc w:val="both"/>
        <w:rPr>
          <w:rFonts w:ascii="Times New Roman" w:eastAsia="Times New Roman" w:hAnsi="Times New Roman" w:cs="Times New Roman"/>
          <w:sz w:val="20"/>
          <w:szCs w:val="20"/>
        </w:rPr>
      </w:pPr>
    </w:p>
    <w:tbl>
      <w:tblPr>
        <w:tblW w:w="0" w:type="auto"/>
        <w:tblLayout w:type="fixed"/>
        <w:tblCellMar>
          <w:left w:w="0" w:type="dxa"/>
          <w:right w:w="0" w:type="dxa"/>
        </w:tblCellMar>
        <w:tblLook w:val="01E0" w:firstRow="1" w:lastRow="1" w:firstColumn="1" w:lastColumn="1" w:noHBand="0" w:noVBand="0"/>
      </w:tblPr>
      <w:tblGrid>
        <w:gridCol w:w="1445"/>
        <w:gridCol w:w="9090"/>
        <w:gridCol w:w="2700"/>
      </w:tblGrid>
      <w:tr w:rsidR="00A612A1" w:rsidRPr="00F25301" w:rsidTr="006422E6">
        <w:trPr>
          <w:cantSplit/>
          <w:trHeight w:hRule="exact" w:val="240"/>
          <w:tblHeader/>
        </w:trPr>
        <w:tc>
          <w:tcPr>
            <w:tcW w:w="14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A612A1" w:rsidRDefault="00A612A1"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Department</w:t>
            </w:r>
          </w:p>
        </w:tc>
        <w:tc>
          <w:tcPr>
            <w:tcW w:w="90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A612A1" w:rsidRPr="00E305B2" w:rsidRDefault="00A612A1"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7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A612A1" w:rsidRPr="00E305B2" w:rsidRDefault="00A612A1" w:rsidP="00E305B2">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A612A1" w:rsidTr="006422E6">
        <w:trPr>
          <w:trHeight w:hRule="exact" w:val="6656"/>
        </w:trPr>
        <w:tc>
          <w:tcPr>
            <w:tcW w:w="1445" w:type="dxa"/>
            <w:tcBorders>
              <w:top w:val="single" w:sz="4" w:space="0" w:color="000000"/>
              <w:left w:val="single" w:sz="4" w:space="0" w:color="000000"/>
              <w:bottom w:val="single" w:sz="4" w:space="0" w:color="auto"/>
              <w:right w:val="single" w:sz="4" w:space="0" w:color="000000"/>
            </w:tcBorders>
            <w:vAlign w:val="center"/>
          </w:tcPr>
          <w:p w:rsidR="00A612A1" w:rsidRDefault="00A612A1" w:rsidP="00656397">
            <w:pPr>
              <w:jc w:val="center"/>
              <w:rPr>
                <w:rFonts w:ascii="Times New Roman" w:hAnsi="Times New Roman" w:cs="Times New Roman"/>
                <w:sz w:val="20"/>
                <w:szCs w:val="20"/>
              </w:rPr>
            </w:pPr>
            <w:r>
              <w:rPr>
                <w:rFonts w:ascii="Times New Roman" w:hAnsi="Times New Roman" w:cs="Times New Roman"/>
                <w:sz w:val="20"/>
                <w:szCs w:val="20"/>
              </w:rPr>
              <w:t>FMD</w:t>
            </w:r>
          </w:p>
        </w:tc>
        <w:tc>
          <w:tcPr>
            <w:tcW w:w="9090" w:type="dxa"/>
            <w:tcBorders>
              <w:top w:val="single" w:sz="4" w:space="0" w:color="000000"/>
              <w:left w:val="single" w:sz="4" w:space="0" w:color="000000"/>
              <w:bottom w:val="single" w:sz="4" w:space="0" w:color="auto"/>
              <w:right w:val="single" w:sz="4" w:space="0" w:color="000000"/>
            </w:tcBorders>
            <w:vAlign w:val="center"/>
          </w:tcPr>
          <w:p w:rsidR="00DF65F1" w:rsidRPr="00DF65F1" w:rsidRDefault="00DF65F1" w:rsidP="00DF65F1">
            <w:pPr>
              <w:jc w:val="both"/>
              <w:rPr>
                <w:rFonts w:ascii="Times New Roman" w:hAnsi="Times New Roman" w:cs="Times New Roman"/>
                <w:sz w:val="20"/>
                <w:szCs w:val="20"/>
              </w:rPr>
            </w:pPr>
            <w:r w:rsidRPr="00DF65F1">
              <w:rPr>
                <w:rFonts w:ascii="Times New Roman" w:hAnsi="Times New Roman" w:cs="Times New Roman"/>
                <w:sz w:val="20"/>
                <w:szCs w:val="20"/>
              </w:rPr>
              <w:t>The Bank’s Front Line Unit (“FLU”) Financial Management Department (“FMD”) has enhanced an internal methodology to estimate the runoff rates of commercial paper direct pay letter of credit (CPDP). The new runoff rates have been reflected in the stress testing for August month</w:t>
            </w:r>
            <w:r>
              <w:rPr>
                <w:rFonts w:ascii="Times New Roman" w:hAnsi="Times New Roman" w:cs="Times New Roman"/>
                <w:sz w:val="20"/>
                <w:szCs w:val="20"/>
              </w:rPr>
              <w:t>-</w:t>
            </w:r>
            <w:r w:rsidRPr="00DF65F1">
              <w:rPr>
                <w:rFonts w:ascii="Times New Roman" w:hAnsi="Times New Roman" w:cs="Times New Roman"/>
                <w:sz w:val="20"/>
                <w:szCs w:val="20"/>
              </w:rPr>
              <w:t>end of 20</w:t>
            </w:r>
            <w:r w:rsidR="00A16FD8">
              <w:rPr>
                <w:rFonts w:ascii="Times New Roman" w:hAnsi="Times New Roman" w:cs="Times New Roman"/>
                <w:sz w:val="20"/>
                <w:szCs w:val="20"/>
              </w:rPr>
              <w:t>18 with approval of the Bank’s R</w:t>
            </w:r>
            <w:r w:rsidRPr="00DF65F1">
              <w:rPr>
                <w:rFonts w:ascii="Times New Roman" w:hAnsi="Times New Roman" w:cs="Times New Roman"/>
                <w:sz w:val="20"/>
                <w:szCs w:val="20"/>
              </w:rPr>
              <w:t>is</w:t>
            </w:r>
            <w:r w:rsidR="00A16FD8">
              <w:rPr>
                <w:rFonts w:ascii="Times New Roman" w:hAnsi="Times New Roman" w:cs="Times New Roman"/>
                <w:sz w:val="20"/>
                <w:szCs w:val="20"/>
              </w:rPr>
              <w:t>k M</w:t>
            </w:r>
            <w:r>
              <w:rPr>
                <w:rFonts w:ascii="Times New Roman" w:hAnsi="Times New Roman" w:cs="Times New Roman"/>
                <w:sz w:val="20"/>
                <w:szCs w:val="20"/>
              </w:rPr>
              <w:t>anagement</w:t>
            </w:r>
            <w:r w:rsidR="00A16FD8">
              <w:rPr>
                <w:rFonts w:ascii="Times New Roman" w:hAnsi="Times New Roman" w:cs="Times New Roman"/>
                <w:sz w:val="20"/>
                <w:szCs w:val="20"/>
              </w:rPr>
              <w:t xml:space="preserve"> and Internal Control C</w:t>
            </w:r>
            <w:r>
              <w:rPr>
                <w:rFonts w:ascii="Times New Roman" w:hAnsi="Times New Roman" w:cs="Times New Roman"/>
                <w:sz w:val="20"/>
                <w:szCs w:val="20"/>
              </w:rPr>
              <w:t>ommittee (RMICC).</w:t>
            </w:r>
          </w:p>
          <w:p w:rsidR="00DF65F1" w:rsidRPr="00DF65F1" w:rsidRDefault="00DF65F1" w:rsidP="00DF65F1">
            <w:pPr>
              <w:jc w:val="both"/>
              <w:rPr>
                <w:rFonts w:ascii="Times New Roman" w:hAnsi="Times New Roman" w:cs="Times New Roman"/>
                <w:sz w:val="20"/>
                <w:szCs w:val="20"/>
              </w:rPr>
            </w:pPr>
            <w:r w:rsidRPr="00DF65F1">
              <w:rPr>
                <w:rFonts w:ascii="Times New Roman" w:hAnsi="Times New Roman" w:cs="Times New Roman"/>
                <w:sz w:val="20"/>
                <w:szCs w:val="20"/>
              </w:rPr>
              <w:t>In response to the Fed’s feedback, the Bank developed a plan to address the concerns on the runoff rates estimation including benchmark against the LCR requirements. The Bank conducted further research on industry data and practice and academy papers. Also, the Bank involved corporate banking department, the owner of CPDP product, to gain a thorough understanding on the nature of business and products and the impact on cash flow under stress scenarios. The aforementioned work has all been reflec</w:t>
            </w:r>
            <w:r>
              <w:rPr>
                <w:rFonts w:ascii="Times New Roman" w:hAnsi="Times New Roman" w:cs="Times New Roman"/>
                <w:sz w:val="20"/>
                <w:szCs w:val="20"/>
              </w:rPr>
              <w:t>ted in the proposed resolution.</w:t>
            </w:r>
          </w:p>
          <w:p w:rsidR="00DF65F1" w:rsidRPr="00DF65F1" w:rsidRDefault="00DF65F1" w:rsidP="00DF65F1">
            <w:pPr>
              <w:jc w:val="both"/>
              <w:rPr>
                <w:rFonts w:ascii="Times New Roman" w:hAnsi="Times New Roman" w:cs="Times New Roman"/>
                <w:sz w:val="20"/>
                <w:szCs w:val="20"/>
              </w:rPr>
            </w:pPr>
            <w:r w:rsidRPr="00DF65F1">
              <w:rPr>
                <w:rFonts w:ascii="Times New Roman" w:hAnsi="Times New Roman" w:cs="Times New Roman"/>
                <w:sz w:val="20"/>
                <w:szCs w:val="20"/>
              </w:rPr>
              <w:t>The approaches are designed to fit the specific products at the Bank. In order to estimate runoff rates under stress scenarios, the Bank has analyzed multiple data sources including internal empirical data and external market data. A revised internal empirical data based approach is applied to estimate CPDP run-off rates under the three stressed scenarios corresponding at different percentil</w:t>
            </w:r>
            <w:r>
              <w:rPr>
                <w:rFonts w:ascii="Times New Roman" w:hAnsi="Times New Roman" w:cs="Times New Roman"/>
                <w:sz w:val="20"/>
                <w:szCs w:val="20"/>
              </w:rPr>
              <w:t xml:space="preserve">es. </w:t>
            </w:r>
          </w:p>
          <w:p w:rsidR="00DF65F1" w:rsidRPr="00E305B2" w:rsidRDefault="00DF65F1" w:rsidP="00DF65F1">
            <w:pPr>
              <w:rPr>
                <w:rFonts w:ascii="Times New Roman" w:hAnsi="Times New Roman" w:cs="Times New Roman"/>
                <w:sz w:val="20"/>
                <w:szCs w:val="20"/>
              </w:rPr>
            </w:pPr>
            <w:r w:rsidRPr="00DF65F1">
              <w:rPr>
                <w:rFonts w:ascii="Times New Roman" w:hAnsi="Times New Roman" w:cs="Times New Roman"/>
                <w:sz w:val="20"/>
                <w:szCs w:val="20"/>
              </w:rPr>
              <w:t>Attached is the FLU’s remediation resolution document. FLU has adopted second line’s recommendations where appropriate.</w:t>
            </w:r>
          </w:p>
        </w:tc>
        <w:tc>
          <w:tcPr>
            <w:tcW w:w="2700" w:type="dxa"/>
            <w:tcBorders>
              <w:top w:val="single" w:sz="4" w:space="0" w:color="000000"/>
              <w:left w:val="single" w:sz="4" w:space="0" w:color="000000"/>
              <w:bottom w:val="single" w:sz="4" w:space="0" w:color="auto"/>
              <w:right w:val="single" w:sz="4" w:space="0" w:color="000000"/>
            </w:tcBorders>
            <w:vAlign w:val="center"/>
          </w:tcPr>
          <w:p w:rsidR="00A612A1" w:rsidRPr="00E305B2" w:rsidRDefault="00B13EEB" w:rsidP="006D336A">
            <w:pPr>
              <w:ind w:left="75"/>
              <w:jc w:val="center"/>
              <w:rPr>
                <w:rFonts w:ascii="Times New Roman" w:hAnsi="Times New Roman" w:cs="Times New Roman"/>
                <w:sz w:val="20"/>
                <w:szCs w:val="20"/>
              </w:rPr>
            </w:pPr>
            <w:r>
              <w:rPr>
                <w:rFonts w:ascii="Times New Roman" w:hAnsi="Times New Roman" w:cs="Times New Roman"/>
                <w:sz w:val="20"/>
                <w:szCs w:val="20"/>
              </w:rP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4pt;height:49.45pt" o:ole="">
                  <v:imagedata r:id="rId11" o:title=""/>
                </v:shape>
                <o:OLEObject Type="Embed" ProgID="AcroExch.Document.11" ShapeID="_x0000_i1029" DrawAspect="Icon" ObjectID="_1598789943" r:id="rId12"/>
              </w:object>
            </w:r>
            <w:r w:rsidR="00A612A1">
              <w:rPr>
                <w:rFonts w:ascii="Times New Roman" w:hAnsi="Times New Roman" w:cs="Times New Roman"/>
                <w:sz w:val="20"/>
                <w:szCs w:val="20"/>
              </w:rPr>
              <w:t xml:space="preserve">  </w:t>
            </w:r>
          </w:p>
        </w:tc>
      </w:tr>
    </w:tbl>
    <w:p w:rsidR="009D7E56" w:rsidRDefault="009D7E56">
      <w:pPr>
        <w:spacing w:before="8" w:after="0" w:line="190" w:lineRule="exact"/>
        <w:rPr>
          <w:sz w:val="19"/>
          <w:szCs w:val="19"/>
        </w:rPr>
      </w:pPr>
    </w:p>
    <w:p w:rsidR="006422E6" w:rsidRDefault="006422E6">
      <w:pPr>
        <w:spacing w:before="8" w:after="0" w:line="190" w:lineRule="exact"/>
        <w:rPr>
          <w:sz w:val="19"/>
          <w:szCs w:val="19"/>
        </w:rPr>
      </w:pPr>
    </w:p>
    <w:p w:rsidR="006422E6" w:rsidRDefault="006422E6">
      <w:pPr>
        <w:spacing w:before="8" w:after="0" w:line="190" w:lineRule="exact"/>
        <w:rPr>
          <w:sz w:val="19"/>
          <w:szCs w:val="19"/>
        </w:rPr>
      </w:pPr>
    </w:p>
    <w:p w:rsidR="006422E6" w:rsidRDefault="006422E6">
      <w:pPr>
        <w:spacing w:before="8" w:after="0" w:line="190" w:lineRule="exact"/>
        <w:rPr>
          <w:sz w:val="19"/>
          <w:szCs w:val="19"/>
        </w:rPr>
      </w:pPr>
    </w:p>
    <w:p w:rsidR="006422E6" w:rsidRDefault="006422E6">
      <w:pPr>
        <w:spacing w:before="8" w:after="0" w:line="190" w:lineRule="exact"/>
        <w:rPr>
          <w:sz w:val="19"/>
          <w:szCs w:val="19"/>
        </w:rPr>
      </w:pPr>
    </w:p>
    <w:p w:rsidR="006422E6" w:rsidRDefault="006422E6">
      <w:pPr>
        <w:spacing w:before="8" w:after="0" w:line="190" w:lineRule="exact"/>
        <w:rPr>
          <w:sz w:val="19"/>
          <w:szCs w:val="19"/>
        </w:rPr>
      </w:pPr>
    </w:p>
    <w:p w:rsidR="006422E6" w:rsidRDefault="006422E6">
      <w:pPr>
        <w:spacing w:before="8" w:after="0" w:line="190" w:lineRule="exact"/>
        <w:rPr>
          <w:sz w:val="19"/>
          <w:szCs w:val="19"/>
        </w:rPr>
      </w:pPr>
    </w:p>
    <w:tbl>
      <w:tblPr>
        <w:tblStyle w:val="TableGrid"/>
        <w:tblW w:w="0" w:type="auto"/>
        <w:tblInd w:w="108" w:type="dxa"/>
        <w:tblLook w:val="04A0" w:firstRow="1" w:lastRow="0" w:firstColumn="1" w:lastColumn="0" w:noHBand="0" w:noVBand="1"/>
      </w:tblPr>
      <w:tblGrid>
        <w:gridCol w:w="13230"/>
      </w:tblGrid>
      <w:tr w:rsidR="005216B0" w:rsidTr="004A70C9">
        <w:tc>
          <w:tcPr>
            <w:tcW w:w="13230" w:type="dxa"/>
            <w:shd w:val="clear" w:color="auto" w:fill="D9D9D9" w:themeFill="background1" w:themeFillShade="D9"/>
          </w:tcPr>
          <w:p w:rsidR="005216B0" w:rsidRPr="005216B0" w:rsidRDefault="008B6C1B" w:rsidP="004C3F49">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lastRenderedPageBreak/>
              <w:t>Part 2</w:t>
            </w:r>
            <w:r w:rsidR="005216B0" w:rsidRPr="005216B0">
              <w:rPr>
                <w:rFonts w:ascii="Times New Roman" w:eastAsia="Times New Roman" w:hAnsi="Times New Roman" w:cs="Times New Roman"/>
                <w:b/>
                <w:bCs/>
                <w:sz w:val="20"/>
                <w:szCs w:val="20"/>
              </w:rPr>
              <w:t xml:space="preserve"> – </w:t>
            </w:r>
            <w:r w:rsidR="004C3F49">
              <w:rPr>
                <w:rFonts w:ascii="Times New Roman" w:eastAsia="Times New Roman" w:hAnsi="Times New Roman" w:cs="Times New Roman"/>
                <w:b/>
                <w:bCs/>
                <w:sz w:val="20"/>
                <w:szCs w:val="20"/>
              </w:rPr>
              <w:t xml:space="preserve">Second Line of Defense </w:t>
            </w:r>
            <w:r w:rsidR="005216B0" w:rsidRPr="005216B0">
              <w:rPr>
                <w:rFonts w:ascii="Times New Roman" w:eastAsia="Times New Roman" w:hAnsi="Times New Roman" w:cs="Times New Roman"/>
                <w:b/>
                <w:bCs/>
                <w:sz w:val="20"/>
                <w:szCs w:val="20"/>
              </w:rPr>
              <w:t>Review Results</w:t>
            </w:r>
            <w:r w:rsidR="005216B0" w:rsidRPr="005216B0">
              <w:rPr>
                <w:rFonts w:ascii="Times New Roman" w:eastAsia="Times New Roman" w:hAnsi="Times New Roman" w:cs="Times New Roman"/>
                <w:b/>
                <w:bCs/>
                <w:sz w:val="20"/>
                <w:szCs w:val="20"/>
              </w:rPr>
              <w:tab/>
            </w:r>
          </w:p>
        </w:tc>
      </w:tr>
    </w:tbl>
    <w:p w:rsidR="004C3F49" w:rsidRDefault="004C3F49" w:rsidP="00627231">
      <w:pPr>
        <w:spacing w:after="0" w:line="240" w:lineRule="auto"/>
        <w:ind w:right="1002"/>
        <w:rPr>
          <w:rFonts w:ascii="Times New Roman" w:eastAsia="Times New Roman" w:hAnsi="Times New Roman" w:cs="Times New Roman"/>
          <w:b/>
          <w:bCs/>
          <w:spacing w:val="1"/>
          <w:sz w:val="20"/>
          <w:szCs w:val="20"/>
        </w:rPr>
      </w:pPr>
    </w:p>
    <w:tbl>
      <w:tblPr>
        <w:tblW w:w="13230" w:type="dxa"/>
        <w:tblInd w:w="5" w:type="dxa"/>
        <w:tblLayout w:type="fixed"/>
        <w:tblCellMar>
          <w:left w:w="0" w:type="dxa"/>
          <w:right w:w="0" w:type="dxa"/>
        </w:tblCellMar>
        <w:tblLook w:val="01E0" w:firstRow="1" w:lastRow="1" w:firstColumn="1" w:lastColumn="1" w:noHBand="0" w:noVBand="0"/>
      </w:tblPr>
      <w:tblGrid>
        <w:gridCol w:w="1260"/>
        <w:gridCol w:w="9270"/>
        <w:gridCol w:w="2700"/>
      </w:tblGrid>
      <w:tr w:rsidR="004C3F49" w:rsidRPr="00F25301" w:rsidTr="006422E6">
        <w:trPr>
          <w:cantSplit/>
          <w:trHeight w:hRule="exact" w:val="240"/>
          <w:tblHeader/>
        </w:trPr>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CF7209" w:rsidP="00BA3507">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Department</w:t>
            </w:r>
          </w:p>
        </w:tc>
        <w:tc>
          <w:tcPr>
            <w:tcW w:w="92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7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4C3F49" w:rsidTr="006422E6">
        <w:trPr>
          <w:trHeight w:hRule="exact" w:val="4082"/>
        </w:trPr>
        <w:tc>
          <w:tcPr>
            <w:tcW w:w="1260" w:type="dxa"/>
            <w:tcBorders>
              <w:top w:val="single" w:sz="4" w:space="0" w:color="000000"/>
              <w:left w:val="single" w:sz="4" w:space="0" w:color="000000"/>
              <w:bottom w:val="single" w:sz="4" w:space="0" w:color="000000"/>
              <w:right w:val="single" w:sz="4" w:space="0" w:color="000000"/>
            </w:tcBorders>
            <w:vAlign w:val="center"/>
          </w:tcPr>
          <w:p w:rsidR="004C3F49" w:rsidRPr="00E305B2" w:rsidRDefault="00CF7209" w:rsidP="00BA3507">
            <w:pPr>
              <w:ind w:left="-4"/>
              <w:jc w:val="center"/>
              <w:rPr>
                <w:rFonts w:ascii="Times New Roman" w:hAnsi="Times New Roman" w:cs="Times New Roman"/>
                <w:sz w:val="20"/>
                <w:szCs w:val="20"/>
              </w:rPr>
            </w:pPr>
            <w:r>
              <w:rPr>
                <w:rFonts w:ascii="Times New Roman" w:hAnsi="Times New Roman" w:cs="Times New Roman"/>
                <w:sz w:val="20"/>
                <w:szCs w:val="20"/>
              </w:rPr>
              <w:t>MRD</w:t>
            </w:r>
          </w:p>
        </w:tc>
        <w:tc>
          <w:tcPr>
            <w:tcW w:w="9270" w:type="dxa"/>
            <w:tcBorders>
              <w:top w:val="single" w:sz="4" w:space="0" w:color="000000"/>
              <w:left w:val="single" w:sz="4" w:space="0" w:color="000000"/>
              <w:bottom w:val="single" w:sz="4" w:space="0" w:color="000000"/>
              <w:right w:val="single" w:sz="4" w:space="0" w:color="000000"/>
            </w:tcBorders>
            <w:vAlign w:val="center"/>
          </w:tcPr>
          <w:p w:rsidR="00C570D0" w:rsidRDefault="00C570D0" w:rsidP="009C49CA">
            <w:pPr>
              <w:rPr>
                <w:rFonts w:ascii="Times New Roman" w:hAnsi="Times New Roman" w:cs="Times New Roman"/>
                <w:sz w:val="20"/>
                <w:szCs w:val="20"/>
                <w:u w:val="single"/>
              </w:rPr>
            </w:pPr>
            <w:r>
              <w:rPr>
                <w:rFonts w:ascii="Times New Roman" w:hAnsi="Times New Roman" w:cs="Times New Roman"/>
                <w:sz w:val="20"/>
                <w:szCs w:val="20"/>
              </w:rPr>
              <w:t xml:space="preserve">As an Independent Risk </w:t>
            </w:r>
            <w:r w:rsidR="00C45758">
              <w:rPr>
                <w:rFonts w:ascii="Times New Roman" w:hAnsi="Times New Roman" w:cs="Times New Roman"/>
                <w:sz w:val="20"/>
                <w:szCs w:val="20"/>
              </w:rPr>
              <w:t>Management (</w:t>
            </w:r>
            <w:r>
              <w:rPr>
                <w:rFonts w:ascii="Times New Roman" w:hAnsi="Times New Roman" w:cs="Times New Roman"/>
                <w:sz w:val="20"/>
                <w:szCs w:val="20"/>
              </w:rPr>
              <w:t xml:space="preserve">“IRM”) </w:t>
            </w:r>
            <w:r w:rsidR="0036414C">
              <w:rPr>
                <w:rFonts w:ascii="Times New Roman" w:hAnsi="Times New Roman" w:cs="Times New Roman"/>
                <w:sz w:val="20"/>
                <w:szCs w:val="20"/>
              </w:rPr>
              <w:t>under Second Line of Defense</w:t>
            </w:r>
            <w:r>
              <w:rPr>
                <w:rFonts w:ascii="Times New Roman" w:hAnsi="Times New Roman" w:cs="Times New Roman"/>
                <w:sz w:val="20"/>
                <w:szCs w:val="20"/>
              </w:rPr>
              <w:t>, the Bank’s Market Risk Management Department (“MRD”) has conducted the independent review and effective challenge on FLU</w:t>
            </w:r>
            <w:r w:rsidR="0036414C">
              <w:rPr>
                <w:rFonts w:ascii="Times New Roman" w:hAnsi="Times New Roman" w:cs="Times New Roman"/>
                <w:sz w:val="20"/>
                <w:szCs w:val="20"/>
              </w:rPr>
              <w:t>’s</w:t>
            </w:r>
            <w:r>
              <w:rPr>
                <w:rFonts w:ascii="Times New Roman" w:hAnsi="Times New Roman" w:cs="Times New Roman"/>
                <w:sz w:val="20"/>
                <w:szCs w:val="20"/>
              </w:rPr>
              <w:t xml:space="preserve"> proposal </w:t>
            </w:r>
            <w:r w:rsidR="00C45758">
              <w:rPr>
                <w:rFonts w:ascii="Times New Roman" w:hAnsi="Times New Roman" w:cs="Times New Roman"/>
                <w:sz w:val="20"/>
                <w:szCs w:val="20"/>
              </w:rPr>
              <w:t>of Commercial</w:t>
            </w:r>
            <w:r>
              <w:rPr>
                <w:rFonts w:ascii="Times New Roman" w:hAnsi="Times New Roman" w:cs="Times New Roman"/>
                <w:sz w:val="20"/>
                <w:szCs w:val="20"/>
              </w:rPr>
              <w:t xml:space="preserve"> Paper </w:t>
            </w:r>
            <w:r w:rsidR="0036414C">
              <w:rPr>
                <w:rFonts w:ascii="Times New Roman" w:hAnsi="Times New Roman" w:cs="Times New Roman"/>
                <w:sz w:val="20"/>
                <w:szCs w:val="20"/>
              </w:rPr>
              <w:t>Direct Pay (CPDP)</w:t>
            </w:r>
            <w:r w:rsidR="00DD2A47">
              <w:rPr>
                <w:rFonts w:ascii="Times New Roman" w:hAnsi="Times New Roman" w:cs="Times New Roman"/>
                <w:sz w:val="20"/>
                <w:szCs w:val="20"/>
              </w:rPr>
              <w:t xml:space="preserve"> </w:t>
            </w:r>
            <w:r w:rsidR="0036414C">
              <w:rPr>
                <w:rFonts w:ascii="Times New Roman" w:hAnsi="Times New Roman" w:cs="Times New Roman"/>
                <w:sz w:val="20"/>
                <w:szCs w:val="20"/>
              </w:rPr>
              <w:t>Runoff R</w:t>
            </w:r>
            <w:r>
              <w:rPr>
                <w:rFonts w:ascii="Times New Roman" w:hAnsi="Times New Roman" w:cs="Times New Roman"/>
                <w:sz w:val="20"/>
                <w:szCs w:val="20"/>
              </w:rPr>
              <w:t>ate. MRD’s review scope covered the data source and quality, assumption</w:t>
            </w:r>
            <w:r w:rsidR="0036414C">
              <w:rPr>
                <w:rFonts w:ascii="Times New Roman" w:hAnsi="Times New Roman" w:cs="Times New Roman"/>
                <w:sz w:val="20"/>
                <w:szCs w:val="20"/>
              </w:rPr>
              <w:t xml:space="preserve"> and analysis</w:t>
            </w:r>
            <w:r>
              <w:rPr>
                <w:rFonts w:ascii="Times New Roman" w:hAnsi="Times New Roman" w:cs="Times New Roman"/>
                <w:sz w:val="20"/>
                <w:szCs w:val="20"/>
              </w:rPr>
              <w:t>, results and documentation.</w:t>
            </w:r>
          </w:p>
          <w:p w:rsidR="004C3F49" w:rsidRDefault="0036414C" w:rsidP="002F0EC2">
            <w:pPr>
              <w:rPr>
                <w:rFonts w:ascii="Times New Roman" w:hAnsi="Times New Roman" w:cs="Times New Roman"/>
                <w:sz w:val="20"/>
                <w:szCs w:val="20"/>
              </w:rPr>
            </w:pPr>
            <w:r>
              <w:rPr>
                <w:rFonts w:ascii="Times New Roman" w:hAnsi="Times New Roman" w:cs="Times New Roman"/>
                <w:sz w:val="20"/>
                <w:szCs w:val="20"/>
              </w:rPr>
              <w:t xml:space="preserve">The CPDP runoff methodology and assumptions are developed primarily based on historical observations, management judgement, industrial practice, and regulatory guidance. After the review and challenge, MRD concludes the CPDP methodology, assumptions and runoff rates are acceptable. </w:t>
            </w:r>
            <w:r w:rsidR="00B13EEB">
              <w:rPr>
                <w:rFonts w:ascii="Times New Roman" w:hAnsi="Times New Roman" w:cs="Times New Roman"/>
                <w:sz w:val="20"/>
                <w:szCs w:val="20"/>
              </w:rPr>
              <w:t xml:space="preserve">FLU has reflected MRD’s recommendations into their final proposal and documentation. </w:t>
            </w:r>
          </w:p>
          <w:p w:rsidR="00A16FD8" w:rsidRPr="00E305B2" w:rsidRDefault="00A16FD8" w:rsidP="002F0EC2">
            <w:pPr>
              <w:rPr>
                <w:rFonts w:ascii="Times New Roman" w:hAnsi="Times New Roman" w:cs="Times New Roman"/>
                <w:sz w:val="20"/>
                <w:szCs w:val="20"/>
              </w:rPr>
            </w:pPr>
          </w:p>
        </w:tc>
        <w:tc>
          <w:tcPr>
            <w:tcW w:w="2700" w:type="dxa"/>
            <w:tcBorders>
              <w:top w:val="single" w:sz="4" w:space="0" w:color="000000"/>
              <w:left w:val="single" w:sz="4" w:space="0" w:color="000000"/>
              <w:bottom w:val="single" w:sz="4" w:space="0" w:color="000000"/>
              <w:right w:val="single" w:sz="4" w:space="0" w:color="000000"/>
            </w:tcBorders>
            <w:vAlign w:val="center"/>
          </w:tcPr>
          <w:p w:rsidR="005E3481" w:rsidRDefault="00111845" w:rsidP="00111845">
            <w:pPr>
              <w:pStyle w:val="ListParagraph"/>
              <w:ind w:left="360"/>
              <w:rPr>
                <w:rFonts w:ascii="Times New Roman" w:hAnsi="Times New Roman" w:cs="Times New Roman"/>
                <w:sz w:val="20"/>
                <w:szCs w:val="20"/>
              </w:rPr>
            </w:pPr>
            <w:r>
              <w:rPr>
                <w:rFonts w:ascii="Times New Roman" w:hAnsi="Times New Roman" w:cs="Times New Roman"/>
                <w:sz w:val="20"/>
                <w:szCs w:val="20"/>
              </w:rPr>
              <w:t xml:space="preserve">            </w:t>
            </w:r>
          </w:p>
          <w:p w:rsidR="00111845" w:rsidRDefault="00971607" w:rsidP="00111845">
            <w:pPr>
              <w:pStyle w:val="ListParagraph"/>
              <w:ind w:left="360"/>
              <w:rPr>
                <w:rFonts w:ascii="Times New Roman" w:hAnsi="Times New Roman" w:cs="Times New Roman"/>
                <w:sz w:val="20"/>
                <w:szCs w:val="20"/>
              </w:rPr>
            </w:pPr>
            <w:r>
              <w:rPr>
                <w:rFonts w:ascii="Times New Roman" w:hAnsi="Times New Roman" w:cs="Times New Roman"/>
                <w:sz w:val="20"/>
                <w:szCs w:val="20"/>
              </w:rPr>
              <w:t xml:space="preserve">     </w:t>
            </w:r>
            <w:r w:rsidR="00B13EEB">
              <w:rPr>
                <w:rFonts w:ascii="Times New Roman" w:hAnsi="Times New Roman" w:cs="Times New Roman"/>
                <w:sz w:val="20"/>
                <w:szCs w:val="20"/>
              </w:rPr>
              <w:object w:dxaOrig="1531" w:dyaOrig="990">
                <v:shape id="_x0000_i1031" type="#_x0000_t75" style="width:76.4pt;height:49.45pt" o:ole="">
                  <v:imagedata r:id="rId13" o:title=""/>
                </v:shape>
                <o:OLEObject Type="Embed" ProgID="AcroExch.Document.11" ShapeID="_x0000_i1031" DrawAspect="Icon" ObjectID="_1598789944" r:id="rId14"/>
              </w:object>
            </w:r>
          </w:p>
          <w:p w:rsidR="00111845" w:rsidRPr="00E305B2" w:rsidRDefault="00111845" w:rsidP="002F0EC2">
            <w:pPr>
              <w:pStyle w:val="ListParagraph"/>
              <w:ind w:left="360"/>
              <w:rPr>
                <w:rFonts w:ascii="Times New Roman" w:hAnsi="Times New Roman" w:cs="Times New Roman"/>
                <w:sz w:val="20"/>
                <w:szCs w:val="20"/>
              </w:rPr>
            </w:pPr>
            <w:r>
              <w:rPr>
                <w:rFonts w:ascii="Times New Roman" w:hAnsi="Times New Roman" w:cs="Times New Roman"/>
                <w:sz w:val="20"/>
                <w:szCs w:val="20"/>
              </w:rPr>
              <w:t xml:space="preserve">            </w:t>
            </w:r>
          </w:p>
        </w:tc>
      </w:tr>
    </w:tbl>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tbl>
      <w:tblPr>
        <w:tblStyle w:val="TableGrid"/>
        <w:tblW w:w="0" w:type="auto"/>
        <w:tblInd w:w="108" w:type="dxa"/>
        <w:tblLook w:val="04A0" w:firstRow="1" w:lastRow="0" w:firstColumn="1" w:lastColumn="0" w:noHBand="0" w:noVBand="1"/>
      </w:tblPr>
      <w:tblGrid>
        <w:gridCol w:w="13230"/>
      </w:tblGrid>
      <w:tr w:rsidR="00DB0B60" w:rsidTr="005B5B30">
        <w:tc>
          <w:tcPr>
            <w:tcW w:w="13230" w:type="dxa"/>
            <w:shd w:val="clear" w:color="auto" w:fill="D9D9D9" w:themeFill="background1" w:themeFillShade="D9"/>
          </w:tcPr>
          <w:p w:rsidR="00DB0B60" w:rsidRDefault="00DB0B60" w:rsidP="005B5B30">
            <w:pPr>
              <w:tabs>
                <w:tab w:val="left" w:pos="13180"/>
              </w:tabs>
              <w:spacing w:before="33"/>
              <w:ind w:right="-20"/>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rPr>
              <w:t xml:space="preserve">Part 3 </w:t>
            </w:r>
            <w:r w:rsidRPr="005216B0">
              <w:rPr>
                <w:rFonts w:ascii="Times New Roman" w:eastAsia="Times New Roman" w:hAnsi="Times New Roman" w:cs="Times New Roman"/>
                <w:b/>
                <w:bCs/>
                <w:sz w:val="20"/>
                <w:szCs w:val="20"/>
              </w:rPr>
              <w:t>–</w:t>
            </w:r>
            <w:r>
              <w:rPr>
                <w:rFonts w:ascii="Times New Roman" w:eastAsia="Times New Roman" w:hAnsi="Times New Roman" w:cs="Times New Roman"/>
                <w:b/>
                <w:bCs/>
                <w:sz w:val="20"/>
                <w:szCs w:val="20"/>
              </w:rPr>
              <w:t xml:space="preserve"> </w:t>
            </w:r>
            <w:r w:rsidRPr="00E305B2">
              <w:rPr>
                <w:rFonts w:ascii="Times New Roman" w:eastAsia="Times New Roman" w:hAnsi="Times New Roman" w:cs="Times New Roman"/>
                <w:b/>
                <w:bCs/>
                <w:sz w:val="20"/>
                <w:szCs w:val="20"/>
              </w:rPr>
              <w:t xml:space="preserve">Evidence of </w:t>
            </w:r>
            <w:r>
              <w:rPr>
                <w:rFonts w:ascii="Times New Roman" w:eastAsia="Times New Roman" w:hAnsi="Times New Roman" w:cs="Times New Roman"/>
                <w:b/>
                <w:bCs/>
                <w:sz w:val="20"/>
                <w:szCs w:val="20"/>
              </w:rPr>
              <w:t>Risk Governance (Risk Committee Approval)</w:t>
            </w:r>
          </w:p>
        </w:tc>
      </w:tr>
    </w:tbl>
    <w:p w:rsidR="00DB0B60" w:rsidRDefault="00DB0B60" w:rsidP="00DB0B60">
      <w:pPr>
        <w:spacing w:before="7" w:after="0" w:line="200" w:lineRule="exact"/>
        <w:rPr>
          <w:sz w:val="20"/>
          <w:szCs w:val="20"/>
        </w:rPr>
      </w:pPr>
    </w:p>
    <w:p w:rsidR="00DB0B60" w:rsidRDefault="00DB0B60" w:rsidP="006422E6">
      <w:pPr>
        <w:spacing w:after="0" w:line="240" w:lineRule="auto"/>
        <w:ind w:right="-20"/>
        <w:jc w:val="both"/>
        <w:rPr>
          <w:rFonts w:ascii="Times New Roman" w:eastAsia="Times New Roman" w:hAnsi="Times New Roman" w:cs="Times New Roman"/>
          <w:sz w:val="20"/>
          <w:szCs w:val="20"/>
        </w:rPr>
      </w:pPr>
      <w:r w:rsidRPr="00F25301">
        <w:rPr>
          <w:rFonts w:ascii="Times New Roman" w:eastAsia="Times New Roman" w:hAnsi="Times New Roman" w:cs="Times New Roman"/>
          <w:spacing w:val="2"/>
          <w:w w:val="96"/>
          <w:sz w:val="20"/>
          <w:szCs w:val="20"/>
        </w:rPr>
        <w:t>D</w:t>
      </w:r>
      <w:r w:rsidRPr="00E305B2">
        <w:rPr>
          <w:rFonts w:ascii="Times New Roman" w:eastAsia="Times New Roman" w:hAnsi="Times New Roman" w:cs="Times New Roman"/>
          <w:sz w:val="20"/>
          <w:szCs w:val="20"/>
        </w:rPr>
        <w:t>escription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artifacts proving execution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h</w:t>
      </w:r>
      <w:r w:rsidRPr="00F25301">
        <w:rPr>
          <w:rFonts w:ascii="Times New Roman" w:eastAsia="Times New Roman" w:hAnsi="Times New Roman" w:cs="Times New Roman"/>
          <w:sz w:val="20"/>
          <w:szCs w:val="20"/>
        </w:rPr>
        <w:t>e</w:t>
      </w:r>
      <w:r w:rsidRPr="00E305B2">
        <w:rPr>
          <w:rFonts w:ascii="Times New Roman" w:eastAsia="Times New Roman" w:hAnsi="Times New Roman" w:cs="Times New Roman"/>
          <w:sz w:val="20"/>
          <w:szCs w:val="20"/>
        </w:rPr>
        <w:t xml:space="preserve"> remediation </w:t>
      </w:r>
      <w:r w:rsidRPr="00F25301">
        <w:rPr>
          <w:rFonts w:ascii="Times New Roman" w:eastAsia="Times New Roman" w:hAnsi="Times New Roman" w:cs="Times New Roman"/>
          <w:sz w:val="20"/>
          <w:szCs w:val="20"/>
        </w:rPr>
        <w:t>acti</w:t>
      </w:r>
      <w:r w:rsidRPr="00E305B2">
        <w:rPr>
          <w:rFonts w:ascii="Times New Roman" w:eastAsia="Times New Roman" w:hAnsi="Times New Roman" w:cs="Times New Roman"/>
          <w:sz w:val="20"/>
          <w:szCs w:val="20"/>
        </w:rPr>
        <w:t>on</w:t>
      </w:r>
      <w:r w:rsidRPr="00F25301">
        <w:rPr>
          <w:rFonts w:ascii="Times New Roman" w:eastAsia="Times New Roman" w:hAnsi="Times New Roman" w:cs="Times New Roman"/>
          <w:sz w:val="20"/>
          <w:szCs w:val="20"/>
        </w:rPr>
        <w: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l</w:t>
      </w:r>
      <w:r w:rsidRPr="00E305B2">
        <w:rPr>
          <w:rFonts w:ascii="Times New Roman" w:eastAsia="Times New Roman" w:hAnsi="Times New Roman" w:cs="Times New Roman"/>
          <w:sz w:val="20"/>
          <w:szCs w:val="20"/>
        </w:rPr>
        <w:t>is</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a</w:t>
      </w:r>
      <w:r w:rsidRPr="00E305B2">
        <w:rPr>
          <w:rFonts w:ascii="Times New Roman" w:eastAsia="Times New Roman" w:hAnsi="Times New Roman" w:cs="Times New Roman"/>
          <w:sz w:val="20"/>
          <w:szCs w:val="20"/>
        </w:rPr>
        <w:t>n</w:t>
      </w:r>
      <w:r w:rsidRPr="00F25301">
        <w:rPr>
          <w:rFonts w:ascii="Times New Roman" w:eastAsia="Times New Roman" w:hAnsi="Times New Roman" w:cs="Times New Roman"/>
          <w:sz w:val="20"/>
          <w:szCs w:val="20"/>
        </w:rPr>
        <w:t>d</w:t>
      </w:r>
      <w:r w:rsidRPr="00E305B2">
        <w:rPr>
          <w:rFonts w:ascii="Times New Roman" w:eastAsia="Times New Roman" w:hAnsi="Times New Roman" w:cs="Times New Roman"/>
          <w:sz w:val="20"/>
          <w:szCs w:val="20"/>
        </w:rPr>
        <w:t xml:space="preserve"> describe </w:t>
      </w:r>
      <w:r w:rsidRPr="00F25301">
        <w:rPr>
          <w:rFonts w:ascii="Times New Roman" w:eastAsia="Times New Roman" w:hAnsi="Times New Roman" w:cs="Times New Roman"/>
          <w:sz w:val="20"/>
          <w:szCs w:val="20"/>
        </w:rPr>
        <w:t>ea</w:t>
      </w:r>
      <w:r w:rsidRPr="00E305B2">
        <w:rPr>
          <w:rFonts w:ascii="Times New Roman" w:eastAsia="Times New Roman" w:hAnsi="Times New Roman" w:cs="Times New Roman"/>
          <w:sz w:val="20"/>
          <w:szCs w:val="20"/>
        </w:rPr>
        <w:t>c</w:t>
      </w:r>
      <w:r w:rsidRPr="00F25301">
        <w:rPr>
          <w:rFonts w:ascii="Times New Roman" w:eastAsia="Times New Roman" w:hAnsi="Times New Roman" w:cs="Times New Roman"/>
          <w:sz w:val="20"/>
          <w:szCs w:val="20"/>
        </w:rPr>
        <w:t>h</w:t>
      </w:r>
      <w:r w:rsidRPr="00E305B2">
        <w:rPr>
          <w:rFonts w:ascii="Times New Roman" w:eastAsia="Times New Roman" w:hAnsi="Times New Roman" w:cs="Times New Roman"/>
          <w:sz w:val="20"/>
          <w:szCs w:val="20"/>
        </w:rPr>
        <w:t xml:space="preserve"> individual documen</w:t>
      </w:r>
      <w:r w:rsidRPr="00F25301">
        <w:rPr>
          <w:rFonts w:ascii="Times New Roman" w:eastAsia="Times New Roman" w:hAnsi="Times New Roman" w:cs="Times New Roman"/>
          <w:sz w:val="20"/>
          <w:szCs w:val="20"/>
        </w:rPr>
        <w:t>t.</w:t>
      </w:r>
    </w:p>
    <w:p w:rsidR="00DB0B60" w:rsidRPr="00E305B2" w:rsidRDefault="00DB0B60" w:rsidP="00DB0B60">
      <w:pPr>
        <w:spacing w:after="0" w:line="240" w:lineRule="auto"/>
        <w:ind w:left="260" w:right="-20"/>
        <w:jc w:val="both"/>
        <w:rPr>
          <w:rFonts w:ascii="Times New Roman" w:eastAsia="Times New Roman" w:hAnsi="Times New Roman" w:cs="Times New Roman"/>
          <w:sz w:val="20"/>
          <w:szCs w:val="20"/>
        </w:rPr>
      </w:pPr>
    </w:p>
    <w:tbl>
      <w:tblPr>
        <w:tblW w:w="13269" w:type="dxa"/>
        <w:tblInd w:w="5" w:type="dxa"/>
        <w:tblLayout w:type="fixed"/>
        <w:tblCellMar>
          <w:left w:w="0" w:type="dxa"/>
          <w:right w:w="0" w:type="dxa"/>
        </w:tblCellMar>
        <w:tblLook w:val="01E0" w:firstRow="1" w:lastRow="1" w:firstColumn="1" w:lastColumn="1" w:noHBand="0" w:noVBand="0"/>
      </w:tblPr>
      <w:tblGrid>
        <w:gridCol w:w="1260"/>
        <w:gridCol w:w="9270"/>
        <w:gridCol w:w="2739"/>
      </w:tblGrid>
      <w:tr w:rsidR="00DB0B60" w:rsidRPr="00F25301" w:rsidTr="00971607">
        <w:trPr>
          <w:cantSplit/>
          <w:trHeight w:hRule="exact" w:val="458"/>
          <w:tblHeader/>
        </w:trPr>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DB0B60" w:rsidRPr="00E305B2" w:rsidRDefault="00DB0B60" w:rsidP="005B5B30">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92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DB0B60" w:rsidRPr="00E305B2" w:rsidRDefault="00DB0B60" w:rsidP="005B5B30">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73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DB0B60" w:rsidRPr="00E305B2" w:rsidRDefault="00DB0B60" w:rsidP="005B5B30">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DB0B60" w:rsidTr="00971607">
        <w:trPr>
          <w:trHeight w:hRule="exact" w:val="2678"/>
        </w:trPr>
        <w:tc>
          <w:tcPr>
            <w:tcW w:w="1260" w:type="dxa"/>
            <w:tcBorders>
              <w:top w:val="single" w:sz="4" w:space="0" w:color="000000"/>
              <w:left w:val="single" w:sz="4" w:space="0" w:color="000000"/>
              <w:bottom w:val="single" w:sz="4" w:space="0" w:color="000000"/>
              <w:right w:val="single" w:sz="4" w:space="0" w:color="000000"/>
            </w:tcBorders>
            <w:vAlign w:val="center"/>
          </w:tcPr>
          <w:p w:rsidR="00DB0B60" w:rsidRPr="00E305B2" w:rsidRDefault="00DB0B60" w:rsidP="005B5B30">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9270" w:type="dxa"/>
            <w:tcBorders>
              <w:top w:val="single" w:sz="4" w:space="0" w:color="000000"/>
              <w:left w:val="single" w:sz="4" w:space="0" w:color="000000"/>
              <w:bottom w:val="single" w:sz="4" w:space="0" w:color="000000"/>
              <w:right w:val="single" w:sz="4" w:space="0" w:color="000000"/>
            </w:tcBorders>
            <w:vAlign w:val="center"/>
          </w:tcPr>
          <w:p w:rsidR="00DB0B60" w:rsidRPr="00E305B2" w:rsidRDefault="00B13EEB" w:rsidP="00375447">
            <w:pPr>
              <w:jc w:val="both"/>
              <w:rPr>
                <w:rFonts w:ascii="Times New Roman" w:hAnsi="Times New Roman" w:cs="Times New Roman"/>
                <w:sz w:val="20"/>
                <w:szCs w:val="20"/>
              </w:rPr>
            </w:pPr>
            <w:r>
              <w:rPr>
                <w:rFonts w:ascii="Times New Roman" w:hAnsi="Times New Roman" w:cs="Times New Roman"/>
                <w:sz w:val="20"/>
                <w:szCs w:val="20"/>
              </w:rPr>
              <w:t xml:space="preserve">BOCNY </w:t>
            </w:r>
            <w:r w:rsidR="00DB0B60">
              <w:rPr>
                <w:rFonts w:ascii="Times New Roman" w:hAnsi="Times New Roman" w:cs="Times New Roman"/>
                <w:sz w:val="20"/>
                <w:szCs w:val="20"/>
              </w:rPr>
              <w:t xml:space="preserve">Risk Management and Internal Control Committee (RMICC) reviewed and approved Fed MRA#2 remediation </w:t>
            </w:r>
            <w:r w:rsidR="00DB0B60" w:rsidRPr="00DB0B60">
              <w:rPr>
                <w:rFonts w:ascii="Times New Roman" w:hAnsi="Times New Roman" w:cs="Times New Roman"/>
                <w:sz w:val="20"/>
                <w:szCs w:val="20"/>
              </w:rPr>
              <w:t>resolution on August 30</w:t>
            </w:r>
            <w:r w:rsidR="00DB0B60" w:rsidRPr="00DB0B60">
              <w:rPr>
                <w:rFonts w:ascii="Times New Roman" w:hAnsi="Times New Roman" w:cs="Times New Roman"/>
                <w:sz w:val="20"/>
                <w:szCs w:val="20"/>
                <w:vertAlign w:val="superscript"/>
              </w:rPr>
              <w:t>th</w:t>
            </w:r>
            <w:r w:rsidR="00DB0B60" w:rsidRPr="00DB0B60">
              <w:rPr>
                <w:rFonts w:ascii="Times New Roman" w:hAnsi="Times New Roman" w:cs="Times New Roman"/>
                <w:sz w:val="20"/>
                <w:szCs w:val="20"/>
              </w:rPr>
              <w:t>.</w:t>
            </w:r>
            <w:r w:rsidR="00375447">
              <w:rPr>
                <w:rFonts w:ascii="Times New Roman" w:hAnsi="Times New Roman" w:cs="Times New Roman"/>
                <w:sz w:val="20"/>
                <w:szCs w:val="20"/>
              </w:rPr>
              <w:t xml:space="preserve"> Prior to RMICC meeting, the FLU proposal and IRM review were presented to Market and Liquidity Risk Committee for detailed review and discussion.</w:t>
            </w:r>
            <w:r>
              <w:rPr>
                <w:rFonts w:ascii="Times New Roman" w:hAnsi="Times New Roman" w:cs="Times New Roman"/>
                <w:sz w:val="20"/>
                <w:szCs w:val="20"/>
              </w:rPr>
              <w:t xml:space="preserve"> The </w:t>
            </w:r>
            <w:r w:rsidR="00375447">
              <w:rPr>
                <w:rFonts w:ascii="Times New Roman" w:hAnsi="Times New Roman" w:cs="Times New Roman"/>
                <w:sz w:val="20"/>
                <w:szCs w:val="20"/>
              </w:rPr>
              <w:t xml:space="preserve">RMICC approval </w:t>
            </w:r>
            <w:r>
              <w:rPr>
                <w:rFonts w:ascii="Times New Roman" w:hAnsi="Times New Roman" w:cs="Times New Roman"/>
                <w:sz w:val="20"/>
                <w:szCs w:val="20"/>
              </w:rPr>
              <w:t xml:space="preserve">meeting minutes is attached for reference. </w:t>
            </w:r>
            <w:bookmarkStart w:id="0" w:name="_GoBack"/>
            <w:bookmarkEnd w:id="0"/>
          </w:p>
        </w:tc>
        <w:tc>
          <w:tcPr>
            <w:tcW w:w="2739" w:type="dxa"/>
            <w:tcBorders>
              <w:top w:val="single" w:sz="4" w:space="0" w:color="000000"/>
              <w:left w:val="single" w:sz="4" w:space="0" w:color="000000"/>
              <w:bottom w:val="single" w:sz="4" w:space="0" w:color="000000"/>
              <w:right w:val="single" w:sz="4" w:space="0" w:color="000000"/>
            </w:tcBorders>
            <w:vAlign w:val="center"/>
          </w:tcPr>
          <w:p w:rsidR="00DB0B60" w:rsidRPr="00E305B2" w:rsidRDefault="00375447" w:rsidP="00DB0B60">
            <w:pPr>
              <w:ind w:left="75"/>
              <w:jc w:val="center"/>
              <w:rPr>
                <w:rFonts w:ascii="Times New Roman" w:hAnsi="Times New Roman" w:cs="Times New Roman"/>
                <w:sz w:val="20"/>
                <w:szCs w:val="20"/>
              </w:rPr>
            </w:pPr>
            <w:r>
              <w:rPr>
                <w:rFonts w:ascii="Times New Roman" w:hAnsi="Times New Roman" w:cs="Times New Roman"/>
                <w:sz w:val="20"/>
                <w:szCs w:val="20"/>
              </w:rPr>
              <w:object w:dxaOrig="1531" w:dyaOrig="990">
                <v:shape id="_x0000_i1035" type="#_x0000_t75" style="width:76.4pt;height:49.45pt" o:ole="">
                  <v:imagedata r:id="rId15" o:title=""/>
                </v:shape>
                <o:OLEObject Type="Embed" ProgID="AcroExch.Document.11" ShapeID="_x0000_i1035" DrawAspect="Icon" ObjectID="_1598789945" r:id="rId16"/>
              </w:object>
            </w:r>
            <w:r w:rsidR="00DB0B60">
              <w:rPr>
                <w:rFonts w:ascii="Times New Roman" w:hAnsi="Times New Roman" w:cs="Times New Roman"/>
                <w:sz w:val="20"/>
                <w:szCs w:val="20"/>
              </w:rPr>
              <w:t xml:space="preserve">  </w:t>
            </w:r>
          </w:p>
        </w:tc>
      </w:tr>
    </w:tbl>
    <w:p w:rsidR="00DB0B60" w:rsidRDefault="00DB0B60" w:rsidP="00AE156F"/>
    <w:sectPr w:rsidR="00DB0B60">
      <w:pgSz w:w="15840" w:h="12240" w:orient="landscape"/>
      <w:pgMar w:top="1400" w:right="1340" w:bottom="1180" w:left="1220" w:header="26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2D6" w:rsidRDefault="002E72D6">
      <w:pPr>
        <w:spacing w:after="0" w:line="240" w:lineRule="auto"/>
      </w:pPr>
      <w:r>
        <w:separator/>
      </w:r>
    </w:p>
  </w:endnote>
  <w:endnote w:type="continuationSeparator" w:id="0">
    <w:p w:rsidR="002E72D6" w:rsidRDefault="002E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670138"/>
      <w:docPartObj>
        <w:docPartGallery w:val="Page Numbers (Bottom of Page)"/>
        <w:docPartUnique/>
      </w:docPartObj>
    </w:sdtPr>
    <w:sdtEndPr/>
    <w:sdtContent>
      <w:sdt>
        <w:sdtPr>
          <w:id w:val="-1669238322"/>
          <w:docPartObj>
            <w:docPartGallery w:val="Page Numbers (Top of Page)"/>
            <w:docPartUnique/>
          </w:docPartObj>
        </w:sdtPr>
        <w:sdtEndPr/>
        <w:sdtContent>
          <w:p w:rsidR="00B37D92" w:rsidRDefault="00B37D92">
            <w:pPr>
              <w:pStyle w:val="Footer"/>
              <w:jc w:val="center"/>
            </w:pPr>
            <w:r w:rsidRPr="00342482">
              <w:rPr>
                <w:rFonts w:ascii="Times New Roman" w:hAnsi="Times New Roman" w:cs="Times New Roman"/>
              </w:rPr>
              <w:t xml:space="preserve">Page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PAGE </w:instrText>
            </w:r>
            <w:r w:rsidRPr="00342482">
              <w:rPr>
                <w:rFonts w:ascii="Times New Roman" w:hAnsi="Times New Roman" w:cs="Times New Roman"/>
                <w:b/>
                <w:bCs/>
                <w:sz w:val="24"/>
                <w:szCs w:val="24"/>
              </w:rPr>
              <w:fldChar w:fldCharType="separate"/>
            </w:r>
            <w:r w:rsidR="00375447">
              <w:rPr>
                <w:rFonts w:ascii="Times New Roman" w:hAnsi="Times New Roman" w:cs="Times New Roman"/>
                <w:b/>
                <w:bCs/>
                <w:noProof/>
              </w:rPr>
              <w:t>3</w:t>
            </w:r>
            <w:r w:rsidRPr="00342482">
              <w:rPr>
                <w:rFonts w:ascii="Times New Roman" w:hAnsi="Times New Roman" w:cs="Times New Roman"/>
                <w:b/>
                <w:bCs/>
                <w:sz w:val="24"/>
                <w:szCs w:val="24"/>
              </w:rPr>
              <w:fldChar w:fldCharType="end"/>
            </w:r>
            <w:r w:rsidRPr="00342482">
              <w:rPr>
                <w:rFonts w:ascii="Times New Roman" w:hAnsi="Times New Roman" w:cs="Times New Roman"/>
              </w:rPr>
              <w:t xml:space="preserve"> of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NUMPAGES  </w:instrText>
            </w:r>
            <w:r w:rsidRPr="00342482">
              <w:rPr>
                <w:rFonts w:ascii="Times New Roman" w:hAnsi="Times New Roman" w:cs="Times New Roman"/>
                <w:b/>
                <w:bCs/>
                <w:sz w:val="24"/>
                <w:szCs w:val="24"/>
              </w:rPr>
              <w:fldChar w:fldCharType="separate"/>
            </w:r>
            <w:r w:rsidR="00375447">
              <w:rPr>
                <w:rFonts w:ascii="Times New Roman" w:hAnsi="Times New Roman" w:cs="Times New Roman"/>
                <w:b/>
                <w:bCs/>
                <w:noProof/>
              </w:rPr>
              <w:t>3</w:t>
            </w:r>
            <w:r w:rsidRPr="00342482">
              <w:rPr>
                <w:rFonts w:ascii="Times New Roman" w:hAnsi="Times New Roman" w:cs="Times New Roman"/>
                <w:b/>
                <w:bCs/>
                <w:sz w:val="24"/>
                <w:szCs w:val="24"/>
              </w:rPr>
              <w:fldChar w:fldCharType="end"/>
            </w:r>
          </w:p>
        </w:sdtContent>
      </w:sdt>
    </w:sdtContent>
  </w:sdt>
  <w:p w:rsidR="00E305B2" w:rsidRDefault="00E305B2" w:rsidP="00E305B2">
    <w:pPr>
      <w:tabs>
        <w:tab w:val="left" w:pos="6128"/>
      </w:tabs>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2D6" w:rsidRDefault="002E72D6">
      <w:pPr>
        <w:spacing w:after="0" w:line="240" w:lineRule="auto"/>
      </w:pPr>
      <w:r>
        <w:separator/>
      </w:r>
    </w:p>
  </w:footnote>
  <w:footnote w:type="continuationSeparator" w:id="0">
    <w:p w:rsidR="002E72D6" w:rsidRDefault="002E72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E56" w:rsidRDefault="0021380E">
    <w:pPr>
      <w:spacing w:after="0" w:line="200" w:lineRule="exact"/>
      <w:rPr>
        <w:sz w:val="20"/>
        <w:szCs w:val="20"/>
      </w:rPr>
    </w:pPr>
    <w:r>
      <w:rPr>
        <w:noProof/>
        <w:lang w:eastAsia="zh-CN"/>
      </w:rPr>
      <mc:AlternateContent>
        <mc:Choice Requires="wps">
          <w:drawing>
            <wp:anchor distT="0" distB="0" distL="114300" distR="114300" simplePos="0" relativeHeight="251657728" behindDoc="1" locked="0" layoutInCell="1" allowOverlap="1" wp14:anchorId="032959B7" wp14:editId="6463842A">
              <wp:simplePos x="0" y="0"/>
              <wp:positionH relativeFrom="page">
                <wp:posOffset>4086225</wp:posOffset>
              </wp:positionH>
              <wp:positionV relativeFrom="page">
                <wp:posOffset>153670</wp:posOffset>
              </wp:positionV>
              <wp:extent cx="1944370" cy="711835"/>
              <wp:effectExtent l="0" t="0" r="17780"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E56" w:rsidRDefault="007B2465" w:rsidP="008B6C1B">
                          <w:pPr>
                            <w:spacing w:after="0" w:line="245" w:lineRule="exact"/>
                            <w:ind w:left="166" w:right="-20"/>
                            <w:jc w:val="center"/>
                            <w:rPr>
                              <w:rFonts w:ascii="Times New Roman" w:eastAsia="Times New Roman" w:hAnsi="Times New Roman" w:cs="Times New Roman"/>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w:t>
                          </w:r>
                          <w:r>
                            <w:rPr>
                              <w:rFonts w:ascii="Times New Roman" w:eastAsia="Times New Roman" w:hAnsi="Times New Roman" w:cs="Times New Roman"/>
                              <w:b/>
                              <w:bCs/>
                              <w:spacing w:val="-2"/>
                            </w:rPr>
                            <w:t xml:space="preserve"> </w:t>
                          </w:r>
                          <w:r w:rsidR="00D420AF">
                            <w:rPr>
                              <w:rFonts w:ascii="Times New Roman" w:eastAsia="Times New Roman" w:hAnsi="Times New Roman" w:cs="Times New Roman"/>
                              <w:b/>
                              <w:bCs/>
                            </w:rPr>
                            <w:t>USA</w:t>
                          </w:r>
                        </w:p>
                        <w:p w:rsidR="0021380E" w:rsidRDefault="0021380E" w:rsidP="008B6C1B">
                          <w:pPr>
                            <w:spacing w:before="20" w:after="0" w:line="240" w:lineRule="auto"/>
                            <w:ind w:left="169" w:right="-20"/>
                            <w:jc w:val="center"/>
                            <w:rPr>
                              <w:rFonts w:ascii="Times New Roman" w:eastAsia="Times New Roman" w:hAnsi="Times New Roman" w:cs="Times New Roman"/>
                              <w:b/>
                              <w:bCs/>
                              <w:spacing w:val="-2"/>
                            </w:rPr>
                          </w:pPr>
                        </w:p>
                        <w:p w:rsidR="0021380E" w:rsidRDefault="0021380E" w:rsidP="0021380E">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p w:rsidR="0021380E" w:rsidRDefault="0021380E" w:rsidP="008B6C1B">
                          <w:pPr>
                            <w:spacing w:before="20" w:after="0" w:line="240" w:lineRule="auto"/>
                            <w:ind w:left="169" w:right="-20"/>
                            <w:jc w:val="center"/>
                            <w:rPr>
                              <w:rFonts w:ascii="Times New Roman" w:eastAsia="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1.75pt;margin-top:12.1pt;width:153.1pt;height:5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nwrAIAAKk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" filled="f" stroked="f">
              <v:textbox inset="0,0,0,0">
                <w:txbxContent>
                  <w:p w:rsidR="009D7E56" w:rsidRDefault="007B2465" w:rsidP="008B6C1B">
                    <w:pPr>
                      <w:spacing w:after="0" w:line="245" w:lineRule="exact"/>
                      <w:ind w:left="166" w:right="-20"/>
                      <w:jc w:val="center"/>
                      <w:rPr>
                        <w:rFonts w:ascii="Times New Roman" w:eastAsia="Times New Roman" w:hAnsi="Times New Roman" w:cs="Times New Roman"/>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w:t>
                    </w:r>
                    <w:r>
                      <w:rPr>
                        <w:rFonts w:ascii="Times New Roman" w:eastAsia="Times New Roman" w:hAnsi="Times New Roman" w:cs="Times New Roman"/>
                        <w:b/>
                        <w:bCs/>
                        <w:spacing w:val="-2"/>
                      </w:rPr>
                      <w:t xml:space="preserve"> </w:t>
                    </w:r>
                    <w:r w:rsidR="00D420AF">
                      <w:rPr>
                        <w:rFonts w:ascii="Times New Roman" w:eastAsia="Times New Roman" w:hAnsi="Times New Roman" w:cs="Times New Roman"/>
                        <w:b/>
                        <w:bCs/>
                      </w:rPr>
                      <w:t>USA</w:t>
                    </w:r>
                  </w:p>
                  <w:p w:rsidR="0021380E" w:rsidRDefault="0021380E" w:rsidP="008B6C1B">
                    <w:pPr>
                      <w:spacing w:before="20" w:after="0" w:line="240" w:lineRule="auto"/>
                      <w:ind w:left="169" w:right="-20"/>
                      <w:jc w:val="center"/>
                      <w:rPr>
                        <w:rFonts w:ascii="Times New Roman" w:eastAsia="Times New Roman" w:hAnsi="Times New Roman" w:cs="Times New Roman"/>
                        <w:b/>
                        <w:bCs/>
                        <w:spacing w:val="-2"/>
                      </w:rPr>
                    </w:pPr>
                  </w:p>
                  <w:p w:rsidR="0021380E" w:rsidRDefault="0021380E" w:rsidP="0021380E">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p w:rsidR="0021380E" w:rsidRDefault="0021380E" w:rsidP="008B6C1B">
                    <w:pPr>
                      <w:spacing w:before="20" w:after="0" w:line="240" w:lineRule="auto"/>
                      <w:ind w:left="169" w:right="-20"/>
                      <w:jc w:val="center"/>
                      <w:rPr>
                        <w:rFonts w:ascii="Times New Roman" w:eastAsia="Times New Roman" w:hAnsi="Times New Roman" w:cs="Times New Roman"/>
                      </w:rPr>
                    </w:pPr>
                  </w:p>
                </w:txbxContent>
              </v:textbox>
              <w10:wrap anchorx="page" anchory="page"/>
            </v:shape>
          </w:pict>
        </mc:Fallback>
      </mc:AlternateContent>
    </w:r>
    <w:r w:rsidR="0028683A">
      <w:rPr>
        <w:noProof/>
        <w:lang w:eastAsia="zh-CN"/>
      </w:rPr>
      <w:drawing>
        <wp:anchor distT="0" distB="0" distL="114300" distR="114300" simplePos="0" relativeHeight="251658752" behindDoc="1" locked="0" layoutInCell="1" allowOverlap="1" wp14:anchorId="58D2326C" wp14:editId="12E5510C">
          <wp:simplePos x="0" y="0"/>
          <wp:positionH relativeFrom="margin">
            <wp:posOffset>6129818</wp:posOffset>
          </wp:positionH>
          <wp:positionV relativeFrom="paragraph">
            <wp:posOffset>26670</wp:posOffset>
          </wp:positionV>
          <wp:extent cx="1755972" cy="603255"/>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png"/>
                  <pic:cNvPicPr/>
                </pic:nvPicPr>
                <pic:blipFill>
                  <a:blip r:embed="rId1">
                    <a:extLst>
                      <a:ext uri="{28A0092B-C50C-407E-A947-70E740481C1C}">
                        <a14:useLocalDpi xmlns:a14="http://schemas.microsoft.com/office/drawing/2010/main" val="0"/>
                      </a:ext>
                    </a:extLst>
                  </a:blip>
                  <a:stretch>
                    <a:fillRect/>
                  </a:stretch>
                </pic:blipFill>
                <pic:spPr>
                  <a:xfrm>
                    <a:off x="0" y="0"/>
                    <a:ext cx="1755972" cy="6032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71DE"/>
    <w:multiLevelType w:val="hybridMultilevel"/>
    <w:tmpl w:val="8C10DB46"/>
    <w:lvl w:ilvl="0" w:tplc="05587E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F715F"/>
    <w:multiLevelType w:val="hybridMultilevel"/>
    <w:tmpl w:val="45EC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26CE9"/>
    <w:multiLevelType w:val="hybridMultilevel"/>
    <w:tmpl w:val="44DE7D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C47AB9"/>
    <w:multiLevelType w:val="hybridMultilevel"/>
    <w:tmpl w:val="DD54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00B4B"/>
    <w:multiLevelType w:val="hybridMultilevel"/>
    <w:tmpl w:val="C1FEE308"/>
    <w:lvl w:ilvl="0" w:tplc="E012C052">
      <w:start w:val="1"/>
      <w:numFmt w:val="bullet"/>
      <w:lvlText w:val="‐"/>
      <w:lvlJc w:val="left"/>
      <w:pPr>
        <w:ind w:left="795" w:hanging="360"/>
      </w:pPr>
      <w:rPr>
        <w:rFonts w:ascii="Calibri" w:hAnsi="Calibr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63324847"/>
    <w:multiLevelType w:val="hybridMultilevel"/>
    <w:tmpl w:val="DEB6A6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revisionView w:markup="0"/>
  <w:defaultTabStop w:val="720"/>
  <w:drawingGridHorizontalSpacing w:val="110"/>
  <w:displayHorizontalDrawingGridEvery w:val="2"/>
  <w:characterSpacingControl w:val="doNotCompress"/>
  <w:hdrShapeDefaults>
    <o:shapedefaults v:ext="edit" spidmax="90113"/>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AWin_Audit_ID" w:val="1B29ACE3244E47ACA104C86C1865ADC9"/>
    <w:docVar w:name="AAWin_Doc_ID" w:val="9E47F990B4D34878984E388AB13F0B1A"/>
    <w:docVar w:name="Attachment_Key" w:val="310E2089CF0D4082966DBD1C984D059A"/>
    <w:docVar w:name="ValidSession" w:val="True"/>
  </w:docVars>
  <w:rsids>
    <w:rsidRoot w:val="009D7E56"/>
    <w:rsid w:val="00001A56"/>
    <w:rsid w:val="00001C7D"/>
    <w:rsid w:val="00005AD5"/>
    <w:rsid w:val="00016695"/>
    <w:rsid w:val="000362CA"/>
    <w:rsid w:val="000367D9"/>
    <w:rsid w:val="0006036E"/>
    <w:rsid w:val="00060751"/>
    <w:rsid w:val="00073201"/>
    <w:rsid w:val="00084AF6"/>
    <w:rsid w:val="00084BE4"/>
    <w:rsid w:val="000B4F4D"/>
    <w:rsid w:val="000D23AF"/>
    <w:rsid w:val="000D72A7"/>
    <w:rsid w:val="000E2A1D"/>
    <w:rsid w:val="000F0EF2"/>
    <w:rsid w:val="000F74D0"/>
    <w:rsid w:val="00111845"/>
    <w:rsid w:val="00133FE5"/>
    <w:rsid w:val="0018159A"/>
    <w:rsid w:val="001926BA"/>
    <w:rsid w:val="001D34E5"/>
    <w:rsid w:val="001E0318"/>
    <w:rsid w:val="00212154"/>
    <w:rsid w:val="0021380E"/>
    <w:rsid w:val="00220928"/>
    <w:rsid w:val="002250E6"/>
    <w:rsid w:val="0027239C"/>
    <w:rsid w:val="0028683A"/>
    <w:rsid w:val="002877AA"/>
    <w:rsid w:val="002A22C8"/>
    <w:rsid w:val="002D670A"/>
    <w:rsid w:val="002E1447"/>
    <w:rsid w:val="002E72D6"/>
    <w:rsid w:val="002F0EC2"/>
    <w:rsid w:val="002F4A16"/>
    <w:rsid w:val="0032157B"/>
    <w:rsid w:val="00342482"/>
    <w:rsid w:val="0035111F"/>
    <w:rsid w:val="00362646"/>
    <w:rsid w:val="0036414C"/>
    <w:rsid w:val="00370E9D"/>
    <w:rsid w:val="00371587"/>
    <w:rsid w:val="00375447"/>
    <w:rsid w:val="003A0F63"/>
    <w:rsid w:val="003C71E6"/>
    <w:rsid w:val="003D16C3"/>
    <w:rsid w:val="003D2292"/>
    <w:rsid w:val="003E229B"/>
    <w:rsid w:val="003F6127"/>
    <w:rsid w:val="00400973"/>
    <w:rsid w:val="00415EE6"/>
    <w:rsid w:val="00432AB3"/>
    <w:rsid w:val="00441360"/>
    <w:rsid w:val="00447426"/>
    <w:rsid w:val="00454450"/>
    <w:rsid w:val="00460AED"/>
    <w:rsid w:val="0048231F"/>
    <w:rsid w:val="004939C3"/>
    <w:rsid w:val="004A70C9"/>
    <w:rsid w:val="004B041B"/>
    <w:rsid w:val="004B156B"/>
    <w:rsid w:val="004C3B31"/>
    <w:rsid w:val="004C3F49"/>
    <w:rsid w:val="0050772C"/>
    <w:rsid w:val="00513974"/>
    <w:rsid w:val="005159E8"/>
    <w:rsid w:val="00515FC7"/>
    <w:rsid w:val="005216B0"/>
    <w:rsid w:val="005227A7"/>
    <w:rsid w:val="00523A78"/>
    <w:rsid w:val="00531345"/>
    <w:rsid w:val="0053682D"/>
    <w:rsid w:val="00575FC3"/>
    <w:rsid w:val="005900E4"/>
    <w:rsid w:val="005B6291"/>
    <w:rsid w:val="005C0E63"/>
    <w:rsid w:val="005D783E"/>
    <w:rsid w:val="005E3481"/>
    <w:rsid w:val="005F483F"/>
    <w:rsid w:val="00612186"/>
    <w:rsid w:val="00627231"/>
    <w:rsid w:val="0064065E"/>
    <w:rsid w:val="006422E6"/>
    <w:rsid w:val="006468F6"/>
    <w:rsid w:val="00647256"/>
    <w:rsid w:val="006537E9"/>
    <w:rsid w:val="00656397"/>
    <w:rsid w:val="00665DCC"/>
    <w:rsid w:val="00667D51"/>
    <w:rsid w:val="00684A0B"/>
    <w:rsid w:val="006A67D9"/>
    <w:rsid w:val="006B13BC"/>
    <w:rsid w:val="006B7240"/>
    <w:rsid w:val="006D336A"/>
    <w:rsid w:val="006F0888"/>
    <w:rsid w:val="00724322"/>
    <w:rsid w:val="007265A3"/>
    <w:rsid w:val="00737590"/>
    <w:rsid w:val="00745090"/>
    <w:rsid w:val="0075558A"/>
    <w:rsid w:val="007607E9"/>
    <w:rsid w:val="007744F4"/>
    <w:rsid w:val="00791E32"/>
    <w:rsid w:val="007A1393"/>
    <w:rsid w:val="007B2465"/>
    <w:rsid w:val="007B2CB4"/>
    <w:rsid w:val="007C7126"/>
    <w:rsid w:val="007D4A58"/>
    <w:rsid w:val="007E4D67"/>
    <w:rsid w:val="008038D2"/>
    <w:rsid w:val="0084106C"/>
    <w:rsid w:val="0084164F"/>
    <w:rsid w:val="0084240C"/>
    <w:rsid w:val="00842B9C"/>
    <w:rsid w:val="00843371"/>
    <w:rsid w:val="0086178A"/>
    <w:rsid w:val="00863071"/>
    <w:rsid w:val="00897084"/>
    <w:rsid w:val="008A0469"/>
    <w:rsid w:val="008B6C1B"/>
    <w:rsid w:val="008D0C3E"/>
    <w:rsid w:val="008E7897"/>
    <w:rsid w:val="008F7970"/>
    <w:rsid w:val="008F7BCB"/>
    <w:rsid w:val="00904E6F"/>
    <w:rsid w:val="009117F7"/>
    <w:rsid w:val="00924350"/>
    <w:rsid w:val="00946251"/>
    <w:rsid w:val="00971607"/>
    <w:rsid w:val="00980821"/>
    <w:rsid w:val="009812AA"/>
    <w:rsid w:val="00991E79"/>
    <w:rsid w:val="009C49CA"/>
    <w:rsid w:val="009C521A"/>
    <w:rsid w:val="009D5C46"/>
    <w:rsid w:val="009D7E56"/>
    <w:rsid w:val="00A16FD8"/>
    <w:rsid w:val="00A30BC8"/>
    <w:rsid w:val="00A612A1"/>
    <w:rsid w:val="00A71F98"/>
    <w:rsid w:val="00AE156F"/>
    <w:rsid w:val="00AF6596"/>
    <w:rsid w:val="00B0547C"/>
    <w:rsid w:val="00B075BB"/>
    <w:rsid w:val="00B07B17"/>
    <w:rsid w:val="00B13EEB"/>
    <w:rsid w:val="00B26F69"/>
    <w:rsid w:val="00B37642"/>
    <w:rsid w:val="00B37D92"/>
    <w:rsid w:val="00B4035B"/>
    <w:rsid w:val="00B53A1F"/>
    <w:rsid w:val="00B57E11"/>
    <w:rsid w:val="00B76D77"/>
    <w:rsid w:val="00B77905"/>
    <w:rsid w:val="00B81866"/>
    <w:rsid w:val="00BA7E69"/>
    <w:rsid w:val="00BB0FFF"/>
    <w:rsid w:val="00BC353C"/>
    <w:rsid w:val="00BD093A"/>
    <w:rsid w:val="00BD3B56"/>
    <w:rsid w:val="00BD5641"/>
    <w:rsid w:val="00C23AD3"/>
    <w:rsid w:val="00C23FD3"/>
    <w:rsid w:val="00C307AF"/>
    <w:rsid w:val="00C309B4"/>
    <w:rsid w:val="00C45758"/>
    <w:rsid w:val="00C570D0"/>
    <w:rsid w:val="00C71F38"/>
    <w:rsid w:val="00C74CAC"/>
    <w:rsid w:val="00CB3B07"/>
    <w:rsid w:val="00CB3F1F"/>
    <w:rsid w:val="00CD7DD2"/>
    <w:rsid w:val="00CF7209"/>
    <w:rsid w:val="00D00908"/>
    <w:rsid w:val="00D10350"/>
    <w:rsid w:val="00D32B1C"/>
    <w:rsid w:val="00D420AF"/>
    <w:rsid w:val="00D4400C"/>
    <w:rsid w:val="00D53647"/>
    <w:rsid w:val="00D56986"/>
    <w:rsid w:val="00D600DC"/>
    <w:rsid w:val="00D71C2F"/>
    <w:rsid w:val="00D77BE7"/>
    <w:rsid w:val="00D87785"/>
    <w:rsid w:val="00DA137E"/>
    <w:rsid w:val="00DA2BF1"/>
    <w:rsid w:val="00DA749E"/>
    <w:rsid w:val="00DB0B60"/>
    <w:rsid w:val="00DD2A47"/>
    <w:rsid w:val="00DE2885"/>
    <w:rsid w:val="00DF50F6"/>
    <w:rsid w:val="00DF65F1"/>
    <w:rsid w:val="00E305B2"/>
    <w:rsid w:val="00E33F17"/>
    <w:rsid w:val="00E3478A"/>
    <w:rsid w:val="00E43369"/>
    <w:rsid w:val="00E64168"/>
    <w:rsid w:val="00E9109A"/>
    <w:rsid w:val="00EA4D67"/>
    <w:rsid w:val="00ED304B"/>
    <w:rsid w:val="00ED74FA"/>
    <w:rsid w:val="00EE0B68"/>
    <w:rsid w:val="00F007A7"/>
    <w:rsid w:val="00F079B6"/>
    <w:rsid w:val="00F221BD"/>
    <w:rsid w:val="00F25301"/>
    <w:rsid w:val="00F321F5"/>
    <w:rsid w:val="00F34C8D"/>
    <w:rsid w:val="00F35034"/>
    <w:rsid w:val="00F47B91"/>
    <w:rsid w:val="00F60081"/>
    <w:rsid w:val="00F818FD"/>
    <w:rsid w:val="00F84651"/>
    <w:rsid w:val="00F85B6E"/>
    <w:rsid w:val="00F92AD4"/>
    <w:rsid w:val="00F93C3E"/>
    <w:rsid w:val="00FD150E"/>
    <w:rsid w:val="00FD186C"/>
    <w:rsid w:val="00FE1FD4"/>
    <w:rsid w:val="00FE6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paragraph" w:styleId="NormalWeb">
    <w:name w:val="Normal (Web)"/>
    <w:basedOn w:val="Normal"/>
    <w:uiPriority w:val="99"/>
    <w:semiHidden/>
    <w:unhideWhenUsed/>
    <w:rsid w:val="00DF50F6"/>
    <w:pPr>
      <w:widowControl/>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924350"/>
    <w:rPr>
      <w:sz w:val="16"/>
      <w:szCs w:val="16"/>
    </w:rPr>
  </w:style>
  <w:style w:type="paragraph" w:styleId="CommentText">
    <w:name w:val="annotation text"/>
    <w:basedOn w:val="Normal"/>
    <w:link w:val="CommentTextChar"/>
    <w:uiPriority w:val="99"/>
    <w:semiHidden/>
    <w:unhideWhenUsed/>
    <w:rsid w:val="00924350"/>
    <w:pPr>
      <w:spacing w:line="240" w:lineRule="auto"/>
    </w:pPr>
    <w:rPr>
      <w:sz w:val="20"/>
      <w:szCs w:val="20"/>
    </w:rPr>
  </w:style>
  <w:style w:type="character" w:customStyle="1" w:styleId="CommentTextChar">
    <w:name w:val="Comment Text Char"/>
    <w:basedOn w:val="DefaultParagraphFont"/>
    <w:link w:val="CommentText"/>
    <w:uiPriority w:val="99"/>
    <w:semiHidden/>
    <w:rsid w:val="00924350"/>
    <w:rPr>
      <w:sz w:val="20"/>
      <w:szCs w:val="20"/>
    </w:rPr>
  </w:style>
  <w:style w:type="paragraph" w:styleId="CommentSubject">
    <w:name w:val="annotation subject"/>
    <w:basedOn w:val="CommentText"/>
    <w:next w:val="CommentText"/>
    <w:link w:val="CommentSubjectChar"/>
    <w:uiPriority w:val="99"/>
    <w:semiHidden/>
    <w:unhideWhenUsed/>
    <w:rsid w:val="00924350"/>
    <w:rPr>
      <w:b/>
      <w:bCs/>
    </w:rPr>
  </w:style>
  <w:style w:type="character" w:customStyle="1" w:styleId="CommentSubjectChar">
    <w:name w:val="Comment Subject Char"/>
    <w:basedOn w:val="CommentTextChar"/>
    <w:link w:val="CommentSubject"/>
    <w:uiPriority w:val="99"/>
    <w:semiHidden/>
    <w:rsid w:val="0092435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paragraph" w:styleId="NormalWeb">
    <w:name w:val="Normal (Web)"/>
    <w:basedOn w:val="Normal"/>
    <w:uiPriority w:val="99"/>
    <w:semiHidden/>
    <w:unhideWhenUsed/>
    <w:rsid w:val="00DF50F6"/>
    <w:pPr>
      <w:widowControl/>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924350"/>
    <w:rPr>
      <w:sz w:val="16"/>
      <w:szCs w:val="16"/>
    </w:rPr>
  </w:style>
  <w:style w:type="paragraph" w:styleId="CommentText">
    <w:name w:val="annotation text"/>
    <w:basedOn w:val="Normal"/>
    <w:link w:val="CommentTextChar"/>
    <w:uiPriority w:val="99"/>
    <w:semiHidden/>
    <w:unhideWhenUsed/>
    <w:rsid w:val="00924350"/>
    <w:pPr>
      <w:spacing w:line="240" w:lineRule="auto"/>
    </w:pPr>
    <w:rPr>
      <w:sz w:val="20"/>
      <w:szCs w:val="20"/>
    </w:rPr>
  </w:style>
  <w:style w:type="character" w:customStyle="1" w:styleId="CommentTextChar">
    <w:name w:val="Comment Text Char"/>
    <w:basedOn w:val="DefaultParagraphFont"/>
    <w:link w:val="CommentText"/>
    <w:uiPriority w:val="99"/>
    <w:semiHidden/>
    <w:rsid w:val="00924350"/>
    <w:rPr>
      <w:sz w:val="20"/>
      <w:szCs w:val="20"/>
    </w:rPr>
  </w:style>
  <w:style w:type="paragraph" w:styleId="CommentSubject">
    <w:name w:val="annotation subject"/>
    <w:basedOn w:val="CommentText"/>
    <w:next w:val="CommentText"/>
    <w:link w:val="CommentSubjectChar"/>
    <w:uiPriority w:val="99"/>
    <w:semiHidden/>
    <w:unhideWhenUsed/>
    <w:rsid w:val="00924350"/>
    <w:rPr>
      <w:b/>
      <w:bCs/>
    </w:rPr>
  </w:style>
  <w:style w:type="character" w:customStyle="1" w:styleId="CommentSubjectChar">
    <w:name w:val="Comment Subject Char"/>
    <w:basedOn w:val="CommentTextChar"/>
    <w:link w:val="CommentSubject"/>
    <w:uiPriority w:val="99"/>
    <w:semiHidden/>
    <w:rsid w:val="009243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9659">
      <w:bodyDiv w:val="1"/>
      <w:marLeft w:val="0"/>
      <w:marRight w:val="0"/>
      <w:marTop w:val="0"/>
      <w:marBottom w:val="0"/>
      <w:divBdr>
        <w:top w:val="none" w:sz="0" w:space="0" w:color="auto"/>
        <w:left w:val="none" w:sz="0" w:space="0" w:color="auto"/>
        <w:bottom w:val="none" w:sz="0" w:space="0" w:color="auto"/>
        <w:right w:val="none" w:sz="0" w:space="0" w:color="auto"/>
      </w:divBdr>
    </w:div>
    <w:div w:id="88474385">
      <w:bodyDiv w:val="1"/>
      <w:marLeft w:val="0"/>
      <w:marRight w:val="0"/>
      <w:marTop w:val="0"/>
      <w:marBottom w:val="0"/>
      <w:divBdr>
        <w:top w:val="none" w:sz="0" w:space="0" w:color="auto"/>
        <w:left w:val="none" w:sz="0" w:space="0" w:color="auto"/>
        <w:bottom w:val="none" w:sz="0" w:space="0" w:color="auto"/>
        <w:right w:val="none" w:sz="0" w:space="0" w:color="auto"/>
      </w:divBdr>
    </w:div>
    <w:div w:id="300504929">
      <w:bodyDiv w:val="1"/>
      <w:marLeft w:val="0"/>
      <w:marRight w:val="0"/>
      <w:marTop w:val="0"/>
      <w:marBottom w:val="0"/>
      <w:divBdr>
        <w:top w:val="none" w:sz="0" w:space="0" w:color="auto"/>
        <w:left w:val="none" w:sz="0" w:space="0" w:color="auto"/>
        <w:bottom w:val="none" w:sz="0" w:space="0" w:color="auto"/>
        <w:right w:val="none" w:sz="0" w:space="0" w:color="auto"/>
      </w:divBdr>
    </w:div>
    <w:div w:id="882835827">
      <w:bodyDiv w:val="1"/>
      <w:marLeft w:val="0"/>
      <w:marRight w:val="0"/>
      <w:marTop w:val="0"/>
      <w:marBottom w:val="0"/>
      <w:divBdr>
        <w:top w:val="none" w:sz="0" w:space="0" w:color="auto"/>
        <w:left w:val="none" w:sz="0" w:space="0" w:color="auto"/>
        <w:bottom w:val="none" w:sz="0" w:space="0" w:color="auto"/>
        <w:right w:val="none" w:sz="0" w:space="0" w:color="auto"/>
      </w:divBdr>
    </w:div>
    <w:div w:id="937174590">
      <w:bodyDiv w:val="1"/>
      <w:marLeft w:val="0"/>
      <w:marRight w:val="0"/>
      <w:marTop w:val="0"/>
      <w:marBottom w:val="0"/>
      <w:divBdr>
        <w:top w:val="none" w:sz="0" w:space="0" w:color="auto"/>
        <w:left w:val="none" w:sz="0" w:space="0" w:color="auto"/>
        <w:bottom w:val="none" w:sz="0" w:space="0" w:color="auto"/>
        <w:right w:val="none" w:sz="0" w:space="0" w:color="auto"/>
      </w:divBdr>
    </w:div>
    <w:div w:id="964239203">
      <w:bodyDiv w:val="1"/>
      <w:marLeft w:val="0"/>
      <w:marRight w:val="0"/>
      <w:marTop w:val="0"/>
      <w:marBottom w:val="0"/>
      <w:divBdr>
        <w:top w:val="none" w:sz="0" w:space="0" w:color="auto"/>
        <w:left w:val="none" w:sz="0" w:space="0" w:color="auto"/>
        <w:bottom w:val="none" w:sz="0" w:space="0" w:color="auto"/>
        <w:right w:val="none" w:sz="0" w:space="0" w:color="auto"/>
      </w:divBdr>
    </w:div>
    <w:div w:id="1349675101">
      <w:bodyDiv w:val="1"/>
      <w:marLeft w:val="0"/>
      <w:marRight w:val="0"/>
      <w:marTop w:val="0"/>
      <w:marBottom w:val="0"/>
      <w:divBdr>
        <w:top w:val="none" w:sz="0" w:space="0" w:color="auto"/>
        <w:left w:val="none" w:sz="0" w:space="0" w:color="auto"/>
        <w:bottom w:val="none" w:sz="0" w:space="0" w:color="auto"/>
        <w:right w:val="none" w:sz="0" w:space="0" w:color="auto"/>
      </w:divBdr>
    </w:div>
    <w:div w:id="1911424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D3F0C-AF47-467A-9116-38E226CA8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3</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Promontory Financial Group</Company>
  <LinksUpToDate>false</LinksUpToDate>
  <CharactersWithSpaces>5595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Collin</dc:creator>
  <cp:lastModifiedBy>PENG, QIAN(Charlie)</cp:lastModifiedBy>
  <cp:revision>66</cp:revision>
  <cp:lastPrinted>2018-09-13T18:11:00Z</cp:lastPrinted>
  <dcterms:created xsi:type="dcterms:W3CDTF">2017-10-27T14:34:00Z</dcterms:created>
  <dcterms:modified xsi:type="dcterms:W3CDTF">2018-09-18T19:33:00Z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2016-02-22T00:00:00Z</vt:filetime>
  </property>
  <property fmtid="{D5CDD505-2E9C-101B-9397-08002B2CF9AE}" pid="3" name="LastSaved">
    <vt:filetime>2016-03-08T00:00:00Z</vt:filetime>
  </property>
</Properties>
</file>