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right"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435"/>
        <w:gridCol w:w="2520"/>
      </w:tblGrid>
      <w:tr w:rsidR="00F25301" w:rsidTr="00AE156F">
        <w:trPr>
          <w:trHeight w:hRule="exact" w:val="240"/>
        </w:trPr>
        <w:tc>
          <w:tcPr>
            <w:tcW w:w="2435" w:type="dxa"/>
          </w:tcPr>
          <w:p w:rsidR="00F25301" w:rsidRDefault="00F25301" w:rsidP="008B6C1B">
            <w:pPr>
              <w:spacing w:after="0" w:line="217" w:lineRule="exact"/>
              <w:ind w:left="102" w:right="-20"/>
              <w:rPr>
                <w:rFonts w:ascii="Times New Roman" w:eastAsia="Times New Roman" w:hAnsi="Times New Roman" w:cs="Times New Roman"/>
                <w:sz w:val="13"/>
                <w:szCs w:val="13"/>
              </w:rPr>
            </w:pPr>
            <w:r>
              <w:rPr>
                <w:rFonts w:ascii="Times New Roman" w:eastAsia="Times New Roman" w:hAnsi="Times New Roman" w:cs="Times New Roman"/>
                <w:b/>
                <w:bCs/>
                <w:sz w:val="20"/>
                <w:szCs w:val="20"/>
              </w:rPr>
              <w:t>D</w:t>
            </w:r>
            <w:r>
              <w:rPr>
                <w:rFonts w:ascii="Times New Roman" w:eastAsia="Times New Roman" w:hAnsi="Times New Roman" w:cs="Times New Roman"/>
                <w:b/>
                <w:bCs/>
                <w:spacing w:val="1"/>
                <w:sz w:val="20"/>
                <w:szCs w:val="20"/>
              </w:rPr>
              <w:t>a</w:t>
            </w:r>
            <w:r>
              <w:rPr>
                <w:rFonts w:ascii="Times New Roman" w:eastAsia="Times New Roman" w:hAnsi="Times New Roman" w:cs="Times New Roman"/>
                <w:b/>
                <w:bCs/>
                <w:spacing w:val="3"/>
                <w:sz w:val="20"/>
                <w:szCs w:val="20"/>
              </w:rPr>
              <w:t>t</w:t>
            </w:r>
            <w:r>
              <w:rPr>
                <w:rFonts w:ascii="Times New Roman" w:eastAsia="Times New Roman" w:hAnsi="Times New Roman" w:cs="Times New Roman"/>
                <w:b/>
                <w:bCs/>
                <w:spacing w:val="8"/>
                <w:sz w:val="20"/>
                <w:szCs w:val="20"/>
              </w:rPr>
              <w:t>e</w:t>
            </w:r>
          </w:p>
        </w:tc>
        <w:tc>
          <w:tcPr>
            <w:tcW w:w="2520" w:type="dxa"/>
          </w:tcPr>
          <w:p w:rsidR="00F25301" w:rsidRPr="00E305B2" w:rsidRDefault="00684A0B" w:rsidP="00C309B4">
            <w:pPr>
              <w:ind w:left="72"/>
              <w:jc w:val="center"/>
              <w:rPr>
                <w:rFonts w:ascii="Times New Roman" w:hAnsi="Times New Roman" w:cs="Times New Roman"/>
                <w:sz w:val="20"/>
                <w:szCs w:val="20"/>
              </w:rPr>
            </w:pPr>
            <w:r>
              <w:rPr>
                <w:rFonts w:ascii="Times New Roman" w:hAnsi="Times New Roman" w:cs="Times New Roman"/>
                <w:sz w:val="20"/>
                <w:szCs w:val="20"/>
              </w:rPr>
              <w:t>10</w:t>
            </w:r>
            <w:r w:rsidR="00447426">
              <w:rPr>
                <w:rFonts w:ascii="Times New Roman" w:hAnsi="Times New Roman" w:cs="Times New Roman"/>
                <w:sz w:val="20"/>
                <w:szCs w:val="20"/>
              </w:rPr>
              <w:t>/</w:t>
            </w:r>
            <w:r>
              <w:rPr>
                <w:rFonts w:ascii="Times New Roman" w:hAnsi="Times New Roman" w:cs="Times New Roman"/>
                <w:sz w:val="20"/>
                <w:szCs w:val="20"/>
              </w:rPr>
              <w:t>3</w:t>
            </w:r>
            <w:r w:rsidR="00C309B4">
              <w:rPr>
                <w:rFonts w:ascii="Times New Roman" w:hAnsi="Times New Roman" w:cs="Times New Roman"/>
                <w:sz w:val="20"/>
                <w:szCs w:val="20"/>
              </w:rPr>
              <w:t>0/2017</w:t>
            </w:r>
          </w:p>
        </w:tc>
      </w:tr>
      <w:tr w:rsidR="00F25301" w:rsidTr="00AE156F">
        <w:trPr>
          <w:trHeight w:hRule="exact" w:val="240"/>
        </w:trPr>
        <w:tc>
          <w:tcPr>
            <w:tcW w:w="2435" w:type="dxa"/>
          </w:tcPr>
          <w:p w:rsidR="00F25301" w:rsidRDefault="007E4D67" w:rsidP="007E4D67">
            <w:pPr>
              <w:spacing w:after="0" w:line="217" w:lineRule="exact"/>
              <w:ind w:left="102" w:right="-20"/>
              <w:rPr>
                <w:rFonts w:ascii="Times New Roman" w:eastAsia="Times New Roman" w:hAnsi="Times New Roman" w:cs="Times New Roman"/>
                <w:sz w:val="20"/>
                <w:szCs w:val="20"/>
              </w:rPr>
            </w:pPr>
            <w:r>
              <w:rPr>
                <w:rFonts w:ascii="Times New Roman" w:eastAsia="Times New Roman" w:hAnsi="Times New Roman" w:cs="Times New Roman"/>
                <w:b/>
                <w:bCs/>
                <w:spacing w:val="9"/>
                <w:sz w:val="20"/>
                <w:szCs w:val="20"/>
              </w:rPr>
              <w:t xml:space="preserve">MRA </w:t>
            </w:r>
            <w:r w:rsidR="00F25301" w:rsidRPr="006F0888">
              <w:rPr>
                <w:rFonts w:ascii="Times New Roman" w:eastAsia="Times New Roman" w:hAnsi="Times New Roman" w:cs="Times New Roman"/>
                <w:b/>
                <w:bCs/>
                <w:spacing w:val="9"/>
                <w:sz w:val="20"/>
                <w:szCs w:val="20"/>
              </w:rPr>
              <w:t xml:space="preserve">Project </w:t>
            </w:r>
            <w:r>
              <w:rPr>
                <w:rFonts w:ascii="Times New Roman" w:eastAsia="Times New Roman" w:hAnsi="Times New Roman" w:cs="Times New Roman"/>
                <w:b/>
                <w:bCs/>
                <w:spacing w:val="9"/>
                <w:sz w:val="20"/>
                <w:szCs w:val="20"/>
              </w:rPr>
              <w:t>Manager</w:t>
            </w:r>
          </w:p>
        </w:tc>
        <w:tc>
          <w:tcPr>
            <w:tcW w:w="2520" w:type="dxa"/>
          </w:tcPr>
          <w:p w:rsidR="00F25301" w:rsidRPr="00E305B2" w:rsidRDefault="00684A0B" w:rsidP="007B2465">
            <w:pPr>
              <w:ind w:left="72"/>
              <w:jc w:val="center"/>
              <w:rPr>
                <w:rFonts w:ascii="Times New Roman" w:hAnsi="Times New Roman" w:cs="Times New Roman"/>
                <w:sz w:val="20"/>
                <w:szCs w:val="20"/>
              </w:rPr>
            </w:pPr>
            <w:r>
              <w:rPr>
                <w:rFonts w:ascii="Times New Roman" w:hAnsi="Times New Roman" w:cs="Times New Roman"/>
                <w:sz w:val="20"/>
                <w:szCs w:val="20"/>
              </w:rPr>
              <w:t>Charlie Peng</w:t>
            </w:r>
          </w:p>
        </w:tc>
      </w:tr>
    </w:tbl>
    <w:p w:rsidR="009D7E56" w:rsidRDefault="009D7E56">
      <w:pPr>
        <w:spacing w:before="9" w:after="0" w:line="170" w:lineRule="exact"/>
        <w:rPr>
          <w:sz w:val="17"/>
          <w:szCs w:val="17"/>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2628"/>
        <w:gridCol w:w="2633"/>
      </w:tblGrid>
      <w:tr w:rsidR="009D7E56" w:rsidTr="00F25301">
        <w:trPr>
          <w:trHeight w:hRule="exact" w:val="240"/>
        </w:trPr>
        <w:tc>
          <w:tcPr>
            <w:tcW w:w="2628" w:type="dxa"/>
            <w:tcBorders>
              <w:top w:val="single" w:sz="4" w:space="0" w:color="000000"/>
              <w:left w:val="single" w:sz="4" w:space="0" w:color="000000"/>
              <w:bottom w:val="single" w:sz="4" w:space="0" w:color="000000"/>
              <w:right w:val="single" w:sz="4" w:space="0" w:color="000000"/>
            </w:tcBorders>
          </w:tcPr>
          <w:p w:rsidR="009D7E56" w:rsidRDefault="00531345" w:rsidP="00531345">
            <w:pPr>
              <w:spacing w:after="0" w:line="217" w:lineRule="exact"/>
              <w:ind w:left="100"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MRA</w:t>
            </w:r>
            <w:r w:rsidR="008B6C1B">
              <w:rPr>
                <w:rFonts w:ascii="Times New Roman" w:eastAsia="Times New Roman" w:hAnsi="Times New Roman" w:cs="Times New Roman"/>
                <w:b/>
                <w:bCs/>
                <w:sz w:val="20"/>
                <w:szCs w:val="20"/>
              </w:rPr>
              <w:t xml:space="preserve"> #</w:t>
            </w:r>
          </w:p>
        </w:tc>
        <w:tc>
          <w:tcPr>
            <w:tcW w:w="2633" w:type="dxa"/>
            <w:tcBorders>
              <w:top w:val="single" w:sz="4" w:space="0" w:color="000000"/>
              <w:left w:val="single" w:sz="4" w:space="0" w:color="000000"/>
              <w:bottom w:val="single" w:sz="4" w:space="0" w:color="000000"/>
              <w:right w:val="single" w:sz="4" w:space="0" w:color="000000"/>
            </w:tcBorders>
          </w:tcPr>
          <w:p w:rsidR="009D7E56" w:rsidRPr="00D420AF" w:rsidRDefault="00684A0B" w:rsidP="00684A0B">
            <w:pPr>
              <w:ind w:left="54"/>
              <w:rPr>
                <w:rFonts w:ascii="Times New Roman" w:hAnsi="Times New Roman" w:cs="Times New Roman"/>
                <w:sz w:val="20"/>
                <w:szCs w:val="20"/>
              </w:rPr>
            </w:pPr>
            <w:r w:rsidRPr="00D420AF">
              <w:rPr>
                <w:rFonts w:ascii="Times New Roman" w:hAnsi="Times New Roman" w:cs="Times New Roman"/>
                <w:sz w:val="20"/>
                <w:szCs w:val="20"/>
              </w:rPr>
              <w:t>FRB</w:t>
            </w:r>
            <w:r w:rsidR="00531345" w:rsidRPr="00D420AF">
              <w:rPr>
                <w:rFonts w:ascii="Times New Roman" w:hAnsi="Times New Roman" w:cs="Times New Roman"/>
                <w:sz w:val="20"/>
                <w:szCs w:val="20"/>
              </w:rPr>
              <w:t>-</w:t>
            </w:r>
            <w:r w:rsidR="00D10350" w:rsidRPr="00D420AF">
              <w:rPr>
                <w:rFonts w:ascii="Times New Roman" w:hAnsi="Times New Roman" w:cs="Times New Roman"/>
                <w:sz w:val="20"/>
                <w:szCs w:val="20"/>
              </w:rPr>
              <w:t>March2017-2</w:t>
            </w:r>
          </w:p>
        </w:tc>
      </w:tr>
    </w:tbl>
    <w:p w:rsidR="009D7E56" w:rsidRDefault="00F25301" w:rsidP="00F25301">
      <w:pPr>
        <w:spacing w:after="0" w:line="200" w:lineRule="exact"/>
        <w:ind w:right="120"/>
        <w:rPr>
          <w:sz w:val="20"/>
          <w:szCs w:val="20"/>
        </w:rPr>
      </w:pPr>
      <w:r>
        <w:rPr>
          <w:sz w:val="20"/>
          <w:szCs w:val="20"/>
        </w:rPr>
        <w:br w:type="textWrapping" w:clear="all"/>
      </w:r>
    </w:p>
    <w:p w:rsidR="008B6C1B" w:rsidRDefault="008B6C1B"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62"/>
        <w:gridCol w:w="10764"/>
      </w:tblGrid>
      <w:tr w:rsidR="004C3F49" w:rsidTr="004A70C9">
        <w:trPr>
          <w:trHeight w:hRule="exact" w:val="236"/>
        </w:trPr>
        <w:tc>
          <w:tcPr>
            <w:tcW w:w="13326" w:type="dxa"/>
            <w:gridSpan w:val="2"/>
            <w:shd w:val="clear" w:color="auto" w:fill="D9D9D9" w:themeFill="background1" w:themeFillShade="D9"/>
          </w:tcPr>
          <w:p w:rsidR="004C3F49" w:rsidRPr="00F25301" w:rsidRDefault="004A70C9" w:rsidP="00BA3507">
            <w:pPr>
              <w:rPr>
                <w:rFonts w:ascii="Times New Roman" w:hAnsi="Times New Roman" w:cs="Times New Roman"/>
              </w:rPr>
            </w:pPr>
            <w:r>
              <w:rPr>
                <w:rFonts w:ascii="Times New Roman" w:eastAsia="Times New Roman" w:hAnsi="Times New Roman" w:cs="Times New Roman"/>
                <w:b/>
                <w:bCs/>
                <w:sz w:val="20"/>
                <w:szCs w:val="20"/>
              </w:rPr>
              <w:t xml:space="preserve"> </w:t>
            </w:r>
            <w:r w:rsidR="00DF50F6">
              <w:rPr>
                <w:rFonts w:ascii="Times New Roman" w:eastAsia="Times New Roman" w:hAnsi="Times New Roman" w:cs="Times New Roman"/>
                <w:b/>
                <w:bCs/>
                <w:sz w:val="20"/>
                <w:szCs w:val="20"/>
              </w:rPr>
              <w:t>FED MRA#2</w:t>
            </w:r>
          </w:p>
        </w:tc>
      </w:tr>
      <w:tr w:rsidR="004C3F49" w:rsidRPr="006F0888" w:rsidTr="004A70C9">
        <w:trPr>
          <w:trHeight w:hRule="exact" w:val="5369"/>
        </w:trPr>
        <w:tc>
          <w:tcPr>
            <w:tcW w:w="2562" w:type="dxa"/>
            <w:vAlign w:val="center"/>
          </w:tcPr>
          <w:p w:rsidR="004C3F49" w:rsidRDefault="004C3F49" w:rsidP="004C3F49">
            <w:pPr>
              <w:spacing w:after="0" w:line="226" w:lineRule="auto"/>
              <w:ind w:left="161" w:right="428"/>
              <w:rPr>
                <w:rFonts w:ascii="Times New Roman" w:eastAsia="Times New Roman" w:hAnsi="Times New Roman" w:cs="Times New Roman"/>
                <w:sz w:val="13"/>
                <w:szCs w:val="13"/>
              </w:rPr>
            </w:pPr>
            <w:r w:rsidRPr="00E305B2">
              <w:rPr>
                <w:rFonts w:ascii="Times New Roman" w:eastAsia="Times New Roman" w:hAnsi="Times New Roman" w:cs="Times New Roman"/>
                <w:b/>
                <w:bCs/>
                <w:spacing w:val="-10"/>
                <w:sz w:val="20"/>
                <w:szCs w:val="20"/>
              </w:rPr>
              <w:t xml:space="preserve">Description of </w:t>
            </w:r>
            <w:r>
              <w:rPr>
                <w:rFonts w:ascii="Times New Roman" w:eastAsia="Times New Roman" w:hAnsi="Times New Roman" w:cs="Times New Roman"/>
                <w:b/>
                <w:bCs/>
                <w:spacing w:val="-10"/>
                <w:sz w:val="20"/>
                <w:szCs w:val="20"/>
              </w:rPr>
              <w:t xml:space="preserve"> MRA</w:t>
            </w:r>
          </w:p>
        </w:tc>
        <w:tc>
          <w:tcPr>
            <w:tcW w:w="10764" w:type="dxa"/>
          </w:tcPr>
          <w:p w:rsidR="004C3F49" w:rsidRDefault="004C3F49" w:rsidP="00BA3507">
            <w:pPr>
              <w:spacing w:after="0" w:line="240" w:lineRule="auto"/>
              <w:ind w:left="43"/>
              <w:rPr>
                <w:rFonts w:ascii="Times New Roman" w:hAnsi="Times New Roman" w:cs="Times New Roman"/>
                <w:sz w:val="20"/>
                <w:szCs w:val="20"/>
              </w:rPr>
            </w:pPr>
          </w:p>
          <w:p w:rsidR="004C3F49" w:rsidRPr="00DF50F6" w:rsidRDefault="004C3F49" w:rsidP="00BA3507">
            <w:pPr>
              <w:spacing w:after="0" w:line="240" w:lineRule="auto"/>
              <w:ind w:left="43"/>
              <w:rPr>
                <w:rFonts w:ascii="Times New Roman" w:hAnsi="Times New Roman" w:cs="Times New Roman"/>
                <w:sz w:val="20"/>
                <w:szCs w:val="20"/>
              </w:rPr>
            </w:pPr>
          </w:p>
          <w:p w:rsidR="0048231F" w:rsidRPr="00DF50F6" w:rsidRDefault="00DF50F6" w:rsidP="0048231F">
            <w:pPr>
              <w:rPr>
                <w:rFonts w:ascii="Times New Roman" w:eastAsia="SimSun" w:hAnsi="Times New Roman" w:cs="Times New Roman"/>
                <w:b/>
                <w:color w:val="000000"/>
                <w:u w:val="single"/>
                <w:lang w:eastAsia="zh-CN"/>
              </w:rPr>
            </w:pPr>
            <w:r w:rsidRPr="00DF50F6">
              <w:rPr>
                <w:rFonts w:ascii="Times New Roman" w:eastAsia="SimSun" w:hAnsi="Times New Roman" w:cs="Times New Roman"/>
                <w:b/>
                <w:color w:val="000000"/>
                <w:u w:val="single"/>
                <w:lang w:eastAsia="zh-CN"/>
              </w:rPr>
              <w:t>MRA #2</w:t>
            </w:r>
            <w:r w:rsidR="0048231F" w:rsidRPr="00DF50F6">
              <w:rPr>
                <w:rFonts w:ascii="Times New Roman" w:eastAsia="SimSun" w:hAnsi="Times New Roman" w:cs="Times New Roman"/>
                <w:b/>
                <w:color w:val="000000"/>
                <w:u w:val="single"/>
                <w:lang w:eastAsia="zh-CN"/>
              </w:rPr>
              <w:t xml:space="preserve">: </w:t>
            </w:r>
            <w:r w:rsidRPr="00DF50F6">
              <w:rPr>
                <w:rFonts w:ascii="Times New Roman" w:eastAsia="SimSun" w:hAnsi="Times New Roman" w:cs="Times New Roman"/>
                <w:b/>
                <w:color w:val="000000"/>
                <w:u w:val="single"/>
                <w:lang w:eastAsia="zh-CN"/>
              </w:rPr>
              <w:t>Improve support for and transparency of assumptions</w:t>
            </w:r>
          </w:p>
          <w:p w:rsidR="00DF50F6" w:rsidRPr="00DF50F6" w:rsidRDefault="0048231F" w:rsidP="00DF50F6">
            <w:pPr>
              <w:jc w:val="both"/>
              <w:rPr>
                <w:rFonts w:ascii="Times New Roman" w:eastAsia="SimSun" w:hAnsi="Times New Roman" w:cs="Times New Roman"/>
                <w:color w:val="000000"/>
              </w:rPr>
            </w:pPr>
            <w:r w:rsidRPr="00DF50F6">
              <w:rPr>
                <w:rFonts w:ascii="Times New Roman" w:eastAsia="SimSun" w:hAnsi="Times New Roman" w:cs="Times New Roman"/>
                <w:b/>
                <w:color w:val="000000"/>
                <w:u w:val="single"/>
                <w:lang w:eastAsia="zh-CN"/>
              </w:rPr>
              <w:t>Issue</w:t>
            </w:r>
            <w:r w:rsidRPr="00DF50F6">
              <w:rPr>
                <w:rFonts w:ascii="Times New Roman" w:eastAsia="SimSun" w:hAnsi="Times New Roman" w:cs="Times New Roman"/>
                <w:color w:val="000000"/>
                <w:lang w:eastAsia="zh-CN"/>
              </w:rPr>
              <w:t xml:space="preserve">: </w:t>
            </w:r>
            <w:r w:rsidR="00DF50F6" w:rsidRPr="00DF50F6">
              <w:rPr>
                <w:rFonts w:ascii="Times New Roman" w:hAnsi="Times New Roman" w:cs="Times New Roman"/>
                <w:i/>
                <w:iCs/>
                <w:color w:val="000000"/>
              </w:rPr>
              <w:t xml:space="preserve">Bank of China should utilize multiple data sources, both internal and external, in order to develop runoff rates for the internal stress-test. In addition, management should document and clearly describe how final runoff rates were derived including the linkage from data sources influencing runoff rates and final runoff rates utilized.     </w:t>
            </w:r>
          </w:p>
          <w:p w:rsidR="0048231F" w:rsidRPr="00DF50F6" w:rsidRDefault="00DF50F6" w:rsidP="00DF50F6">
            <w:pPr>
              <w:jc w:val="both"/>
              <w:rPr>
                <w:rFonts w:ascii="Times New Roman" w:eastAsia="SimSun" w:hAnsi="Times New Roman" w:cs="Times New Roman"/>
                <w:color w:val="000000"/>
                <w:lang w:eastAsia="zh-CN"/>
              </w:rPr>
            </w:pPr>
            <w:r w:rsidRPr="00DF50F6">
              <w:rPr>
                <w:rFonts w:ascii="Times New Roman" w:eastAsia="SimSun" w:hAnsi="Times New Roman" w:cs="Times New Roman"/>
                <w:i/>
                <w:iCs/>
                <w:color w:val="000000"/>
                <w:lang w:eastAsia="zh-CN"/>
              </w:rPr>
              <w:t xml:space="preserve">While Bank of China assumes an 18 percent runoff from its commercial paper backstop facility based on the high credit ratings of counterparties using the facility, Management does not utilize additional data sources in the development of their runoff rates or adequately document and support the transparency for the process utilized to establish runoff rates for commercial paper backstops. Furthermore, haircuts on assets should be developed and supported to illustrate the possible loss of value of the assets during a time of stress. </w:t>
            </w:r>
          </w:p>
          <w:p w:rsidR="0048231F" w:rsidRPr="00DF50F6" w:rsidRDefault="0048231F" w:rsidP="0048231F">
            <w:pPr>
              <w:jc w:val="both"/>
              <w:rPr>
                <w:rFonts w:ascii="Times New Roman" w:eastAsia="SimSun" w:hAnsi="Times New Roman" w:cs="Times New Roman"/>
                <w:i/>
                <w:color w:val="000000"/>
              </w:rPr>
            </w:pPr>
            <w:r w:rsidRPr="00DF50F6">
              <w:rPr>
                <w:rFonts w:ascii="Times New Roman" w:eastAsia="SimSun" w:hAnsi="Times New Roman" w:cs="Times New Roman"/>
                <w:b/>
                <w:i/>
                <w:color w:val="000000"/>
                <w:u w:val="single"/>
                <w:lang w:eastAsia="zh-CN"/>
              </w:rPr>
              <w:t>Required Action</w:t>
            </w:r>
            <w:r w:rsidRPr="00DF50F6">
              <w:rPr>
                <w:rFonts w:ascii="Times New Roman" w:eastAsia="SimSun" w:hAnsi="Times New Roman" w:cs="Times New Roman"/>
                <w:b/>
                <w:color w:val="000000"/>
                <w:lang w:eastAsia="zh-CN"/>
              </w:rPr>
              <w:t>:</w:t>
            </w:r>
            <w:r w:rsidRPr="00DF50F6">
              <w:rPr>
                <w:rFonts w:ascii="Times New Roman" w:eastAsia="SimSun" w:hAnsi="Times New Roman" w:cs="Times New Roman"/>
                <w:color w:val="000000"/>
                <w:lang w:eastAsia="zh-CN"/>
              </w:rPr>
              <w:t xml:space="preserve"> </w:t>
            </w:r>
            <w:r w:rsidR="00DF50F6" w:rsidRPr="00DF50F6">
              <w:rPr>
                <w:rFonts w:ascii="Times New Roman" w:hAnsi="Times New Roman" w:cs="Times New Roman"/>
                <w:i/>
                <w:iCs/>
                <w:color w:val="000000"/>
              </w:rPr>
              <w:t>By September 15, 2017, Management is required to enhance the support and transparency for the process utilized to establish runoff rates for commercial paper backstops and asset haircuts. Specifically, management should provide a clear description of how the final runoff rates were derived and establish an enhanced linkage from factors, data, and studies influencing runoff rates and how the final runoff rates an</w:t>
            </w:r>
            <w:r w:rsidR="00DF50F6">
              <w:rPr>
                <w:rFonts w:ascii="Times New Roman" w:hAnsi="Times New Roman" w:cs="Times New Roman"/>
                <w:i/>
                <w:iCs/>
                <w:color w:val="000000"/>
              </w:rPr>
              <w:t>d asset haircuts are determined.</w:t>
            </w:r>
          </w:p>
          <w:p w:rsidR="004C3F49" w:rsidRPr="006F0888" w:rsidRDefault="004C3F49" w:rsidP="004C3F49">
            <w:pPr>
              <w:spacing w:after="0" w:line="240" w:lineRule="auto"/>
              <w:ind w:left="43"/>
              <w:rPr>
                <w:rFonts w:ascii="Times New Roman" w:hAnsi="Times New Roman" w:cs="Times New Roman"/>
                <w:sz w:val="20"/>
                <w:szCs w:val="20"/>
              </w:rPr>
            </w:pPr>
          </w:p>
        </w:tc>
      </w:tr>
    </w:tbl>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665DCC" w:rsidRDefault="00665DCC" w:rsidP="00F25301">
      <w:pPr>
        <w:spacing w:after="0" w:line="200" w:lineRule="exact"/>
        <w:ind w:right="120"/>
        <w:rPr>
          <w:sz w:val="20"/>
          <w:szCs w:val="20"/>
        </w:rPr>
      </w:pPr>
    </w:p>
    <w:p w:rsidR="00665DCC" w:rsidRDefault="00665DCC" w:rsidP="00F25301">
      <w:pPr>
        <w:spacing w:after="0" w:line="200" w:lineRule="exact"/>
        <w:ind w:right="120"/>
        <w:rPr>
          <w:sz w:val="20"/>
          <w:szCs w:val="20"/>
        </w:rPr>
      </w:pPr>
    </w:p>
    <w:p w:rsidR="007E4D67" w:rsidRDefault="007E4D67" w:rsidP="00F25301">
      <w:pPr>
        <w:spacing w:after="0" w:line="200" w:lineRule="exact"/>
        <w:ind w:right="120"/>
        <w:rPr>
          <w:sz w:val="20"/>
          <w:szCs w:val="20"/>
        </w:rPr>
      </w:pPr>
    </w:p>
    <w:p w:rsidR="004C3F49" w:rsidRPr="00F25301" w:rsidRDefault="004C3F49" w:rsidP="00F25301">
      <w:pPr>
        <w:spacing w:after="0" w:line="200" w:lineRule="exact"/>
        <w:ind w:right="120"/>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62"/>
        <w:gridCol w:w="10758"/>
      </w:tblGrid>
      <w:tr w:rsidR="00F25301" w:rsidTr="004A70C9">
        <w:trPr>
          <w:trHeight w:hRule="exact" w:val="236"/>
        </w:trPr>
        <w:tc>
          <w:tcPr>
            <w:tcW w:w="13320" w:type="dxa"/>
            <w:gridSpan w:val="2"/>
            <w:shd w:val="clear" w:color="auto" w:fill="D9D9D9" w:themeFill="background1" w:themeFillShade="D9"/>
          </w:tcPr>
          <w:p w:rsidR="00F25301" w:rsidRPr="00F25301" w:rsidRDefault="00F25301" w:rsidP="006F0888">
            <w:pPr>
              <w:rPr>
                <w:rFonts w:ascii="Times New Roman" w:hAnsi="Times New Roman" w:cs="Times New Roman"/>
              </w:rPr>
            </w:pPr>
            <w:r w:rsidRPr="00E305B2">
              <w:rPr>
                <w:rFonts w:ascii="Times New Roman" w:eastAsia="Times New Roman" w:hAnsi="Times New Roman" w:cs="Times New Roman"/>
                <w:b/>
                <w:bCs/>
                <w:sz w:val="20"/>
                <w:szCs w:val="20"/>
                <w:highlight w:val="lightGray"/>
              </w:rPr>
              <w:t>Action Plan</w:t>
            </w:r>
          </w:p>
        </w:tc>
      </w:tr>
      <w:tr w:rsidR="009D7E56" w:rsidRPr="006F0888" w:rsidTr="004A70C9">
        <w:trPr>
          <w:trHeight w:hRule="exact" w:val="6310"/>
        </w:trPr>
        <w:tc>
          <w:tcPr>
            <w:tcW w:w="2562" w:type="dxa"/>
            <w:vAlign w:val="center"/>
          </w:tcPr>
          <w:p w:rsidR="009D7E56" w:rsidRDefault="007B2465" w:rsidP="008B6C1B">
            <w:pPr>
              <w:spacing w:after="0" w:line="226" w:lineRule="auto"/>
              <w:ind w:left="161" w:right="428"/>
              <w:rPr>
                <w:rFonts w:ascii="Times New Roman" w:eastAsia="Times New Roman" w:hAnsi="Times New Roman" w:cs="Times New Roman"/>
                <w:sz w:val="13"/>
                <w:szCs w:val="13"/>
              </w:rPr>
            </w:pPr>
            <w:r w:rsidRPr="00E305B2">
              <w:rPr>
                <w:rFonts w:ascii="Times New Roman" w:eastAsia="Times New Roman" w:hAnsi="Times New Roman" w:cs="Times New Roman"/>
                <w:b/>
                <w:bCs/>
                <w:spacing w:val="-10"/>
                <w:sz w:val="20"/>
                <w:szCs w:val="20"/>
              </w:rPr>
              <w:lastRenderedPageBreak/>
              <w:t>Description of Action Item(s) and</w:t>
            </w:r>
            <w:r>
              <w:rPr>
                <w:rFonts w:ascii="Times New Roman" w:eastAsia="Times New Roman" w:hAnsi="Times New Roman" w:cs="Times New Roman"/>
                <w:b/>
                <w:bCs/>
                <w:spacing w:val="-10"/>
                <w:sz w:val="20"/>
                <w:szCs w:val="20"/>
              </w:rPr>
              <w:t xml:space="preserve"> </w:t>
            </w:r>
            <w:r w:rsidRPr="00E305B2">
              <w:rPr>
                <w:rFonts w:ascii="Times New Roman" w:eastAsia="Times New Roman" w:hAnsi="Times New Roman" w:cs="Times New Roman"/>
                <w:b/>
                <w:bCs/>
                <w:spacing w:val="-10"/>
                <w:sz w:val="20"/>
                <w:szCs w:val="20"/>
              </w:rPr>
              <w:t>Detailed Step(s</w:t>
            </w:r>
            <w:r>
              <w:rPr>
                <w:rFonts w:ascii="Times New Roman" w:eastAsia="Times New Roman" w:hAnsi="Times New Roman" w:cs="Times New Roman"/>
                <w:b/>
                <w:bCs/>
                <w:spacing w:val="1"/>
                <w:sz w:val="20"/>
                <w:szCs w:val="20"/>
              </w:rPr>
              <w:t>)</w:t>
            </w:r>
          </w:p>
        </w:tc>
        <w:tc>
          <w:tcPr>
            <w:tcW w:w="10758" w:type="dxa"/>
          </w:tcPr>
          <w:p w:rsidR="00531345" w:rsidRDefault="00531345" w:rsidP="00EA4D67">
            <w:pPr>
              <w:spacing w:after="0" w:line="240" w:lineRule="auto"/>
              <w:ind w:left="43"/>
              <w:rPr>
                <w:rFonts w:ascii="Times New Roman" w:hAnsi="Times New Roman" w:cs="Times New Roman"/>
                <w:sz w:val="20"/>
                <w:szCs w:val="20"/>
              </w:rPr>
            </w:pPr>
          </w:p>
          <w:p w:rsidR="008038D2" w:rsidRPr="002F4A16" w:rsidRDefault="00DF50F6" w:rsidP="008038D2">
            <w:pPr>
              <w:ind w:left="48"/>
              <w:rPr>
                <w:rFonts w:ascii="Times New Roman" w:eastAsia="SimSun" w:hAnsi="Times New Roman" w:cs="Times New Roman"/>
                <w:sz w:val="20"/>
                <w:lang w:eastAsia="zh-CN"/>
              </w:rPr>
            </w:pPr>
            <w:r w:rsidRPr="002F4A16">
              <w:rPr>
                <w:rFonts w:ascii="Times New Roman" w:eastAsia="SimSun" w:hAnsi="Times New Roman" w:cs="Times New Roman"/>
                <w:b/>
                <w:sz w:val="20"/>
                <w:lang w:eastAsia="zh-CN"/>
              </w:rPr>
              <w:t>BOC USA Response</w:t>
            </w:r>
            <w:r w:rsidRPr="002F4A16">
              <w:rPr>
                <w:rFonts w:ascii="Times New Roman" w:eastAsia="SimSun" w:hAnsi="Times New Roman" w:cs="Times New Roman"/>
                <w:sz w:val="20"/>
                <w:lang w:eastAsia="zh-CN"/>
              </w:rPr>
              <w:t xml:space="preserve">: Although both internal and external data sources were analyzed during the model development stage, Management acknowledges that the Bank ultimately applied LCR runoff rates for commercial paper backstop facilities. The Management concurs with the findings regarding asset haircuts and will develop haircut estimates for high liquid assets to illustrate the possible loss of value during a stress scenario in accordance with the action plan below.  </w:t>
            </w:r>
          </w:p>
          <w:p w:rsidR="00DF50F6" w:rsidRPr="002F4A16" w:rsidRDefault="00DF50F6" w:rsidP="002F4A16">
            <w:pPr>
              <w:ind w:left="48"/>
              <w:rPr>
                <w:rFonts w:ascii="Times New Roman" w:eastAsia="SimSun" w:hAnsi="Times New Roman" w:cs="Times New Roman"/>
                <w:sz w:val="20"/>
                <w:lang w:eastAsia="zh-CN"/>
              </w:rPr>
            </w:pPr>
            <w:r w:rsidRPr="00665DCC">
              <w:rPr>
                <w:rFonts w:ascii="Times New Roman" w:eastAsia="SimSun" w:hAnsi="Times New Roman" w:cs="Times New Roman"/>
                <w:b/>
                <w:sz w:val="20"/>
                <w:lang w:eastAsia="zh-CN"/>
              </w:rPr>
              <w:t>BOC USA Action Plan and Timeline</w:t>
            </w:r>
            <w:r w:rsidRPr="002F4A16">
              <w:rPr>
                <w:rFonts w:ascii="Times New Roman" w:eastAsia="SimSun" w:hAnsi="Times New Roman" w:cs="Times New Roman"/>
                <w:sz w:val="20"/>
                <w:lang w:eastAsia="zh-CN"/>
              </w:rPr>
              <w:t xml:space="preserve">: The Management will consider and analyze both the Bank’s internal historical data and any available external data sources, and develop a framework regarding commercial paper backstop runoff rates. It will also clearly delineate the process by which the final runoff rate was derived and describe any influences from internal and external data sources. Moreover, the Management will collect and analyze liquidity buffer haircut data from multiple sources to develop haircut estimates for high liquid assets to illustrate the potential loss of value during a stress period. Both the asset haircuts and runoff rates, along with its respective framework and analysis will be well-documented with sufficient details. Furthermore, the Bank will demonstrate linkages to the data sources that were utilized. </w:t>
            </w:r>
          </w:p>
          <w:p w:rsidR="00DF50F6" w:rsidRPr="002F4A16" w:rsidRDefault="00DF50F6" w:rsidP="002F4A16">
            <w:pPr>
              <w:ind w:left="48"/>
              <w:rPr>
                <w:rFonts w:ascii="Times New Roman" w:eastAsia="SimSun" w:hAnsi="Times New Roman" w:cs="Times New Roman"/>
                <w:sz w:val="20"/>
                <w:lang w:eastAsia="zh-CN"/>
              </w:rPr>
            </w:pPr>
            <w:r w:rsidRPr="002F4A16">
              <w:rPr>
                <w:rFonts w:ascii="Times New Roman" w:eastAsia="SimSun" w:hAnsi="Times New Roman" w:cs="Times New Roman"/>
                <w:sz w:val="20"/>
                <w:lang w:eastAsia="zh-CN"/>
              </w:rPr>
              <w:t>IRM functions will review and validate both the data analysis methodology and framework to ensure that they are well-supported, well-documented, and based on sound rationale.</w:t>
            </w:r>
            <w:r w:rsidRPr="002F4A16" w:rsidDel="00FA2515">
              <w:rPr>
                <w:rFonts w:ascii="Times New Roman" w:eastAsia="SimSun" w:hAnsi="Times New Roman" w:cs="Times New Roman"/>
                <w:sz w:val="20"/>
                <w:lang w:eastAsia="zh-CN"/>
              </w:rPr>
              <w:t xml:space="preserve"> </w:t>
            </w:r>
          </w:p>
          <w:p w:rsidR="00DF50F6" w:rsidRPr="002F4A16" w:rsidRDefault="00DF50F6" w:rsidP="002F4A16">
            <w:pPr>
              <w:ind w:left="48"/>
              <w:rPr>
                <w:rFonts w:ascii="Times New Roman" w:eastAsia="SimSun" w:hAnsi="Times New Roman" w:cs="Times New Roman"/>
                <w:sz w:val="20"/>
                <w:lang w:eastAsia="zh-CN"/>
              </w:rPr>
            </w:pPr>
            <w:r w:rsidRPr="002F4A16">
              <w:rPr>
                <w:rFonts w:ascii="Times New Roman" w:eastAsia="SimSun" w:hAnsi="Times New Roman" w:cs="Times New Roman"/>
                <w:sz w:val="20"/>
                <w:lang w:eastAsia="zh-CN"/>
              </w:rPr>
              <w:t xml:space="preserve">The Management will then assess the impact on the Bank’s liquidity buffer and obtain the appropriate levels of approval. </w:t>
            </w:r>
          </w:p>
          <w:p w:rsidR="00DF50F6" w:rsidRPr="002F4A16" w:rsidRDefault="00DF50F6" w:rsidP="002F4A16">
            <w:pPr>
              <w:ind w:left="48"/>
              <w:rPr>
                <w:rFonts w:ascii="Times New Roman" w:eastAsia="SimSun" w:hAnsi="Times New Roman" w:cs="Times New Roman"/>
                <w:sz w:val="20"/>
                <w:lang w:eastAsia="zh-CN"/>
              </w:rPr>
            </w:pPr>
            <w:r w:rsidRPr="002F4A16">
              <w:rPr>
                <w:rFonts w:ascii="Times New Roman" w:eastAsia="SimSun" w:hAnsi="Times New Roman" w:cs="Times New Roman"/>
                <w:sz w:val="20"/>
                <w:lang w:eastAsia="zh-CN"/>
              </w:rPr>
              <w:t>The Management will implement the changes of run-off rates and haircuts by September 15, 2017.</w:t>
            </w:r>
          </w:p>
          <w:p w:rsidR="009D7E56" w:rsidRPr="002877AA" w:rsidRDefault="00D4400C" w:rsidP="008038D2">
            <w:pPr>
              <w:ind w:left="48"/>
              <w:rPr>
                <w:rFonts w:ascii="Times New Roman" w:eastAsia="SimSun" w:hAnsi="Times New Roman" w:cs="Times New Roman"/>
                <w:lang w:eastAsia="zh-CN"/>
              </w:rPr>
            </w:pPr>
            <w:r w:rsidRPr="00F47B91">
              <w:rPr>
                <w:rFonts w:ascii="Times New Roman" w:eastAsia="SimSun" w:hAnsi="Times New Roman" w:cs="Times New Roman"/>
                <w:sz w:val="20"/>
                <w:lang w:eastAsia="zh-CN"/>
              </w:rPr>
              <w:t>After the discussion meeting with FRB-NY on August 2nd</w:t>
            </w:r>
            <w:r w:rsidR="008038D2" w:rsidRPr="008038D2">
              <w:rPr>
                <w:rFonts w:ascii="Times New Roman" w:eastAsia="SimSun" w:hAnsi="Times New Roman" w:cs="Times New Roman"/>
                <w:sz w:val="20"/>
                <w:lang w:eastAsia="zh-CN"/>
              </w:rPr>
              <w:t xml:space="preserve">, the </w:t>
            </w:r>
            <w:r>
              <w:rPr>
                <w:rFonts w:ascii="Times New Roman" w:eastAsia="SimSun" w:hAnsi="Times New Roman" w:cs="Times New Roman"/>
                <w:sz w:val="20"/>
                <w:lang w:eastAsia="zh-CN"/>
              </w:rPr>
              <w:t>M</w:t>
            </w:r>
            <w:r w:rsidR="008038D2" w:rsidRPr="008038D2">
              <w:rPr>
                <w:rFonts w:ascii="Times New Roman" w:eastAsia="SimSun" w:hAnsi="Times New Roman" w:cs="Times New Roman"/>
                <w:sz w:val="20"/>
                <w:lang w:eastAsia="zh-CN"/>
              </w:rPr>
              <w:t>anagement committed to completing the internal auditing validation by October 31.</w:t>
            </w:r>
          </w:p>
        </w:tc>
      </w:tr>
    </w:tbl>
    <w:p w:rsidR="009D7E56" w:rsidRDefault="009D7E56">
      <w:pPr>
        <w:spacing w:after="0"/>
      </w:pPr>
    </w:p>
    <w:p w:rsidR="00EA4D67" w:rsidRDefault="00EA4D67">
      <w:pPr>
        <w:spacing w:after="0"/>
      </w:pPr>
    </w:p>
    <w:p w:rsidR="00F25301" w:rsidRDefault="00F25301">
      <w:pPr>
        <w:spacing w:after="0"/>
        <w:sectPr w:rsidR="00F25301">
          <w:headerReference w:type="default" r:id="rId9"/>
          <w:footerReference w:type="default" r:id="rId10"/>
          <w:type w:val="continuous"/>
          <w:pgSz w:w="15840" w:h="12240" w:orient="landscape"/>
          <w:pgMar w:top="1400" w:right="1240" w:bottom="1100" w:left="1160" w:header="266" w:footer="916" w:gutter="0"/>
          <w:pgNumType w:start="1"/>
          <w:cols w:space="720"/>
        </w:sectPr>
      </w:pPr>
    </w:p>
    <w:tbl>
      <w:tblPr>
        <w:tblStyle w:val="TableGrid"/>
        <w:tblW w:w="0" w:type="auto"/>
        <w:tblInd w:w="108" w:type="dxa"/>
        <w:tblLook w:val="04A0" w:firstRow="1" w:lastRow="0" w:firstColumn="1" w:lastColumn="0" w:noHBand="0" w:noVBand="1"/>
      </w:tblPr>
      <w:tblGrid>
        <w:gridCol w:w="13230"/>
      </w:tblGrid>
      <w:tr w:rsidR="00E305B2" w:rsidTr="004A70C9">
        <w:tc>
          <w:tcPr>
            <w:tcW w:w="13230" w:type="dxa"/>
            <w:shd w:val="clear" w:color="auto" w:fill="D9D9D9" w:themeFill="background1" w:themeFillShade="D9"/>
          </w:tcPr>
          <w:p w:rsidR="00E305B2" w:rsidRDefault="00E305B2" w:rsidP="006F0888">
            <w:pPr>
              <w:tabs>
                <w:tab w:val="left" w:pos="13180"/>
              </w:tabs>
              <w:spacing w:before="33"/>
              <w:ind w:right="-20"/>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rPr>
              <w:lastRenderedPageBreak/>
              <w:t>Part 1 – Evidence of Project Execution</w:t>
            </w:r>
            <w:r w:rsidR="004C3F49">
              <w:rPr>
                <w:rFonts w:ascii="Times New Roman" w:eastAsia="Times New Roman" w:hAnsi="Times New Roman" w:cs="Times New Roman"/>
                <w:b/>
                <w:bCs/>
                <w:sz w:val="20"/>
                <w:szCs w:val="20"/>
              </w:rPr>
              <w:t xml:space="preserve"> from the First Line of Defense</w:t>
            </w:r>
          </w:p>
        </w:tc>
      </w:tr>
    </w:tbl>
    <w:p w:rsidR="009D7E56" w:rsidRDefault="009D7E56">
      <w:pPr>
        <w:spacing w:before="7" w:after="0" w:line="200" w:lineRule="exact"/>
        <w:rPr>
          <w:sz w:val="20"/>
          <w:szCs w:val="20"/>
        </w:rPr>
      </w:pPr>
    </w:p>
    <w:p w:rsidR="009D7E56" w:rsidRDefault="007B2465" w:rsidP="00E305B2">
      <w:pPr>
        <w:spacing w:after="0" w:line="240" w:lineRule="auto"/>
        <w:ind w:left="260" w:right="-20"/>
        <w:jc w:val="both"/>
        <w:rPr>
          <w:rFonts w:ascii="Times New Roman" w:eastAsia="Times New Roman" w:hAnsi="Times New Roman" w:cs="Times New Roman"/>
          <w:sz w:val="20"/>
          <w:szCs w:val="20"/>
        </w:rPr>
      </w:pPr>
      <w:r w:rsidRPr="00F25301">
        <w:rPr>
          <w:rFonts w:ascii="Times New Roman" w:eastAsia="Times New Roman" w:hAnsi="Times New Roman" w:cs="Times New Roman"/>
          <w:spacing w:val="2"/>
          <w:w w:val="96"/>
          <w:sz w:val="20"/>
          <w:szCs w:val="20"/>
        </w:rPr>
        <w:t>D</w:t>
      </w:r>
      <w:r w:rsidRPr="00E305B2">
        <w:rPr>
          <w:rFonts w:ascii="Times New Roman" w:eastAsia="Times New Roman" w:hAnsi="Times New Roman" w:cs="Times New Roman"/>
          <w:sz w:val="20"/>
          <w:szCs w:val="20"/>
        </w:rPr>
        <w:t>escription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artifacts</w:t>
      </w:r>
      <w:r w:rsidR="00400973" w:rsidRPr="00E305B2">
        <w:rPr>
          <w:rFonts w:ascii="Times New Roman" w:eastAsia="Times New Roman" w:hAnsi="Times New Roman" w:cs="Times New Roman"/>
          <w:sz w:val="20"/>
          <w:szCs w:val="20"/>
        </w:rPr>
        <w:t xml:space="preserve"> </w:t>
      </w:r>
      <w:r w:rsidRPr="00E305B2">
        <w:rPr>
          <w:rFonts w:ascii="Times New Roman" w:eastAsia="Times New Roman" w:hAnsi="Times New Roman" w:cs="Times New Roman"/>
          <w:sz w:val="20"/>
          <w:szCs w:val="20"/>
        </w:rPr>
        <w:t>proving execution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h</w:t>
      </w:r>
      <w:r w:rsidRPr="00F25301">
        <w:rPr>
          <w:rFonts w:ascii="Times New Roman" w:eastAsia="Times New Roman" w:hAnsi="Times New Roman" w:cs="Times New Roman"/>
          <w:sz w:val="20"/>
          <w:szCs w:val="20"/>
        </w:rPr>
        <w:t>e</w:t>
      </w:r>
      <w:r w:rsidRPr="00E305B2">
        <w:rPr>
          <w:rFonts w:ascii="Times New Roman" w:eastAsia="Times New Roman" w:hAnsi="Times New Roman" w:cs="Times New Roman"/>
          <w:sz w:val="20"/>
          <w:szCs w:val="20"/>
        </w:rPr>
        <w:t xml:space="preserve"> remediation </w:t>
      </w:r>
      <w:r w:rsidRPr="00F25301">
        <w:rPr>
          <w:rFonts w:ascii="Times New Roman" w:eastAsia="Times New Roman" w:hAnsi="Times New Roman" w:cs="Times New Roman"/>
          <w:sz w:val="20"/>
          <w:szCs w:val="20"/>
        </w:rPr>
        <w:t>acti</w:t>
      </w:r>
      <w:r w:rsidRPr="00E305B2">
        <w:rPr>
          <w:rFonts w:ascii="Times New Roman" w:eastAsia="Times New Roman" w:hAnsi="Times New Roman" w:cs="Times New Roman"/>
          <w:sz w:val="20"/>
          <w:szCs w:val="20"/>
        </w:rPr>
        <w:t>on</w:t>
      </w:r>
      <w:r w:rsidRPr="00F25301">
        <w:rPr>
          <w:rFonts w:ascii="Times New Roman" w:eastAsia="Times New Roman" w:hAnsi="Times New Roman" w:cs="Times New Roman"/>
          <w:sz w:val="20"/>
          <w:szCs w:val="20"/>
        </w:rPr>
        <w: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l</w:t>
      </w:r>
      <w:r w:rsidRPr="00E305B2">
        <w:rPr>
          <w:rFonts w:ascii="Times New Roman" w:eastAsia="Times New Roman" w:hAnsi="Times New Roman" w:cs="Times New Roman"/>
          <w:sz w:val="20"/>
          <w:szCs w:val="20"/>
        </w:rPr>
        <w:t>is</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a</w:t>
      </w:r>
      <w:r w:rsidRPr="00E305B2">
        <w:rPr>
          <w:rFonts w:ascii="Times New Roman" w:eastAsia="Times New Roman" w:hAnsi="Times New Roman" w:cs="Times New Roman"/>
          <w:sz w:val="20"/>
          <w:szCs w:val="20"/>
        </w:rPr>
        <w:t>n</w:t>
      </w:r>
      <w:r w:rsidRPr="00F25301">
        <w:rPr>
          <w:rFonts w:ascii="Times New Roman" w:eastAsia="Times New Roman" w:hAnsi="Times New Roman" w:cs="Times New Roman"/>
          <w:sz w:val="20"/>
          <w:szCs w:val="20"/>
        </w:rPr>
        <w:t>d</w:t>
      </w:r>
      <w:r w:rsidRPr="00E305B2">
        <w:rPr>
          <w:rFonts w:ascii="Times New Roman" w:eastAsia="Times New Roman" w:hAnsi="Times New Roman" w:cs="Times New Roman"/>
          <w:sz w:val="20"/>
          <w:szCs w:val="20"/>
        </w:rPr>
        <w:t xml:space="preserve"> describe </w:t>
      </w:r>
      <w:r w:rsidRPr="00F25301">
        <w:rPr>
          <w:rFonts w:ascii="Times New Roman" w:eastAsia="Times New Roman" w:hAnsi="Times New Roman" w:cs="Times New Roman"/>
          <w:sz w:val="20"/>
          <w:szCs w:val="20"/>
        </w:rPr>
        <w:t>ea</w:t>
      </w:r>
      <w:r w:rsidRPr="00E305B2">
        <w:rPr>
          <w:rFonts w:ascii="Times New Roman" w:eastAsia="Times New Roman" w:hAnsi="Times New Roman" w:cs="Times New Roman"/>
          <w:sz w:val="20"/>
          <w:szCs w:val="20"/>
        </w:rPr>
        <w:t>c</w:t>
      </w:r>
      <w:r w:rsidRPr="00F25301">
        <w:rPr>
          <w:rFonts w:ascii="Times New Roman" w:eastAsia="Times New Roman" w:hAnsi="Times New Roman" w:cs="Times New Roman"/>
          <w:sz w:val="20"/>
          <w:szCs w:val="20"/>
        </w:rPr>
        <w:t>h</w:t>
      </w:r>
      <w:r w:rsidRPr="00E305B2">
        <w:rPr>
          <w:rFonts w:ascii="Times New Roman" w:eastAsia="Times New Roman" w:hAnsi="Times New Roman" w:cs="Times New Roman"/>
          <w:sz w:val="20"/>
          <w:szCs w:val="20"/>
        </w:rPr>
        <w:t xml:space="preserve"> individual documen</w:t>
      </w:r>
      <w:r w:rsidRPr="00F25301">
        <w:rPr>
          <w:rFonts w:ascii="Times New Roman" w:eastAsia="Times New Roman" w:hAnsi="Times New Roman" w:cs="Times New Roman"/>
          <w:sz w:val="20"/>
          <w:szCs w:val="20"/>
        </w:rPr>
        <w:t>t.</w:t>
      </w:r>
    </w:p>
    <w:p w:rsidR="00E305B2" w:rsidRPr="00E305B2" w:rsidRDefault="00E305B2" w:rsidP="00E305B2">
      <w:pPr>
        <w:spacing w:after="0" w:line="240" w:lineRule="auto"/>
        <w:ind w:left="260" w:right="-20"/>
        <w:jc w:val="both"/>
        <w:rPr>
          <w:rFonts w:ascii="Times New Roman" w:eastAsia="Times New Roman" w:hAnsi="Times New Roman" w:cs="Times New Roman"/>
          <w:sz w:val="20"/>
          <w:szCs w:val="20"/>
        </w:rPr>
      </w:pPr>
    </w:p>
    <w:tbl>
      <w:tblPr>
        <w:tblW w:w="0" w:type="auto"/>
        <w:tblLayout w:type="fixed"/>
        <w:tblCellMar>
          <w:left w:w="0" w:type="dxa"/>
          <w:right w:w="0" w:type="dxa"/>
        </w:tblCellMar>
        <w:tblLook w:val="01E0" w:firstRow="1" w:lastRow="1" w:firstColumn="1" w:lastColumn="1" w:noHBand="0" w:noVBand="0"/>
      </w:tblPr>
      <w:tblGrid>
        <w:gridCol w:w="898"/>
        <w:gridCol w:w="1271"/>
        <w:gridCol w:w="7916"/>
        <w:gridCol w:w="3150"/>
      </w:tblGrid>
      <w:tr w:rsidR="00AE156F" w:rsidRPr="00F25301" w:rsidTr="00D56986">
        <w:trPr>
          <w:cantSplit/>
          <w:trHeight w:hRule="exact" w:val="240"/>
          <w:tblHeader/>
        </w:trPr>
        <w:tc>
          <w:tcPr>
            <w:tcW w:w="89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656397" w:rsidRPr="00E305B2" w:rsidRDefault="00656397" w:rsidP="00E305B2">
            <w:pPr>
              <w:spacing w:after="0" w:line="217" w:lineRule="exact"/>
              <w:ind w:left="-3" w:right="-20"/>
              <w:jc w:val="center"/>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highlight w:val="lightGray"/>
              </w:rPr>
              <w:t>Number</w:t>
            </w:r>
          </w:p>
        </w:tc>
        <w:tc>
          <w:tcPr>
            <w:tcW w:w="12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656397" w:rsidRDefault="001E0318" w:rsidP="00E305B2">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Department</w:t>
            </w:r>
          </w:p>
        </w:tc>
        <w:tc>
          <w:tcPr>
            <w:tcW w:w="79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656397" w:rsidRPr="00E305B2" w:rsidRDefault="00656397" w:rsidP="00E305B2">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656397" w:rsidRPr="00E305B2" w:rsidRDefault="00656397" w:rsidP="00E305B2">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F818FD" w:rsidTr="00220928">
        <w:trPr>
          <w:trHeight w:hRule="exact" w:val="356"/>
        </w:trPr>
        <w:tc>
          <w:tcPr>
            <w:tcW w:w="13235" w:type="dxa"/>
            <w:gridSpan w:val="4"/>
            <w:tcBorders>
              <w:top w:val="single" w:sz="4" w:space="0" w:color="000000"/>
              <w:left w:val="single" w:sz="4" w:space="0" w:color="000000"/>
              <w:bottom w:val="single" w:sz="4" w:space="0" w:color="000000"/>
              <w:right w:val="single" w:sz="4" w:space="0" w:color="000000"/>
            </w:tcBorders>
            <w:vAlign w:val="center"/>
          </w:tcPr>
          <w:p w:rsidR="00F818FD" w:rsidRDefault="00F818FD" w:rsidP="00133FE5">
            <w:pPr>
              <w:ind w:left="75"/>
              <w:rPr>
                <w:rFonts w:ascii="Times New Roman" w:hAnsi="Times New Roman" w:cs="Times New Roman"/>
                <w:sz w:val="20"/>
                <w:szCs w:val="20"/>
              </w:rPr>
            </w:pPr>
            <w:r>
              <w:rPr>
                <w:rFonts w:ascii="Times New Roman" w:hAnsi="Times New Roman" w:cs="Times New Roman"/>
                <w:sz w:val="20"/>
                <w:szCs w:val="20"/>
              </w:rPr>
              <w:t>First Line of Defense Involved:  Financial Management Department</w:t>
            </w:r>
            <w:r w:rsidR="002E1447">
              <w:rPr>
                <w:rFonts w:ascii="Times New Roman" w:hAnsi="Times New Roman" w:cs="Times New Roman"/>
                <w:sz w:val="20"/>
                <w:szCs w:val="20"/>
              </w:rPr>
              <w:t xml:space="preserve"> (“FMD”)</w:t>
            </w:r>
            <w:r>
              <w:rPr>
                <w:rFonts w:ascii="Times New Roman" w:hAnsi="Times New Roman" w:cs="Times New Roman"/>
                <w:sz w:val="20"/>
                <w:szCs w:val="20"/>
              </w:rPr>
              <w:t>, Treasury Department</w:t>
            </w:r>
            <w:r w:rsidR="002E1447">
              <w:rPr>
                <w:rFonts w:ascii="Times New Roman" w:hAnsi="Times New Roman" w:cs="Times New Roman"/>
                <w:sz w:val="20"/>
                <w:szCs w:val="20"/>
              </w:rPr>
              <w:t xml:space="preserve"> (“</w:t>
            </w:r>
            <w:r w:rsidR="00133FE5">
              <w:rPr>
                <w:rFonts w:ascii="Times New Roman" w:hAnsi="Times New Roman" w:cs="Times New Roman"/>
                <w:sz w:val="20"/>
                <w:szCs w:val="20"/>
              </w:rPr>
              <w:t>TRD</w:t>
            </w:r>
            <w:r w:rsidR="002E1447">
              <w:rPr>
                <w:rFonts w:ascii="Times New Roman" w:hAnsi="Times New Roman" w:cs="Times New Roman"/>
                <w:sz w:val="20"/>
                <w:szCs w:val="20"/>
              </w:rPr>
              <w:t>”)</w:t>
            </w:r>
            <w:r>
              <w:rPr>
                <w:rFonts w:ascii="Times New Roman" w:hAnsi="Times New Roman" w:cs="Times New Roman"/>
                <w:sz w:val="20"/>
                <w:szCs w:val="20"/>
              </w:rPr>
              <w:t>, Corporate Banking Department</w:t>
            </w:r>
            <w:r w:rsidR="002E1447">
              <w:rPr>
                <w:rFonts w:ascii="Times New Roman" w:hAnsi="Times New Roman" w:cs="Times New Roman"/>
                <w:sz w:val="20"/>
                <w:szCs w:val="20"/>
              </w:rPr>
              <w:t xml:space="preserve"> (“CBD”)</w:t>
            </w:r>
          </w:p>
        </w:tc>
      </w:tr>
      <w:tr w:rsidR="005D783E" w:rsidTr="00220928">
        <w:trPr>
          <w:trHeight w:hRule="exact" w:val="6656"/>
        </w:trPr>
        <w:tc>
          <w:tcPr>
            <w:tcW w:w="898" w:type="dxa"/>
            <w:tcBorders>
              <w:top w:val="single" w:sz="4" w:space="0" w:color="000000"/>
              <w:left w:val="single" w:sz="4" w:space="0" w:color="000000"/>
              <w:bottom w:val="single" w:sz="4" w:space="0" w:color="auto"/>
              <w:right w:val="single" w:sz="4" w:space="0" w:color="000000"/>
            </w:tcBorders>
            <w:vAlign w:val="center"/>
          </w:tcPr>
          <w:p w:rsidR="005D783E" w:rsidRPr="00E305B2" w:rsidRDefault="005D783E" w:rsidP="00E43369">
            <w:pPr>
              <w:ind w:left="-4"/>
              <w:jc w:val="center"/>
              <w:rPr>
                <w:rFonts w:ascii="Times New Roman" w:hAnsi="Times New Roman" w:cs="Times New Roman"/>
                <w:sz w:val="20"/>
                <w:szCs w:val="20"/>
              </w:rPr>
            </w:pPr>
            <w:r>
              <w:rPr>
                <w:rFonts w:ascii="Times New Roman" w:hAnsi="Times New Roman" w:cs="Times New Roman"/>
                <w:sz w:val="20"/>
                <w:szCs w:val="20"/>
              </w:rPr>
              <w:t>1</w:t>
            </w:r>
          </w:p>
        </w:tc>
        <w:tc>
          <w:tcPr>
            <w:tcW w:w="1271" w:type="dxa"/>
            <w:tcBorders>
              <w:top w:val="single" w:sz="4" w:space="0" w:color="000000"/>
              <w:left w:val="single" w:sz="4" w:space="0" w:color="000000"/>
              <w:bottom w:val="single" w:sz="4" w:space="0" w:color="auto"/>
              <w:right w:val="single" w:sz="4" w:space="0" w:color="000000"/>
            </w:tcBorders>
            <w:vAlign w:val="center"/>
          </w:tcPr>
          <w:p w:rsidR="005D783E" w:rsidRDefault="005D783E" w:rsidP="00656397">
            <w:pPr>
              <w:jc w:val="center"/>
              <w:rPr>
                <w:rFonts w:ascii="Times New Roman" w:hAnsi="Times New Roman" w:cs="Times New Roman"/>
                <w:sz w:val="20"/>
                <w:szCs w:val="20"/>
              </w:rPr>
            </w:pPr>
            <w:r>
              <w:rPr>
                <w:rFonts w:ascii="Times New Roman" w:hAnsi="Times New Roman" w:cs="Times New Roman"/>
                <w:sz w:val="20"/>
                <w:szCs w:val="20"/>
              </w:rPr>
              <w:t>FMD</w:t>
            </w:r>
          </w:p>
        </w:tc>
        <w:tc>
          <w:tcPr>
            <w:tcW w:w="7916" w:type="dxa"/>
            <w:tcBorders>
              <w:top w:val="single" w:sz="4" w:space="0" w:color="000000"/>
              <w:left w:val="single" w:sz="4" w:space="0" w:color="000000"/>
              <w:bottom w:val="single" w:sz="4" w:space="0" w:color="auto"/>
              <w:right w:val="single" w:sz="4" w:space="0" w:color="000000"/>
            </w:tcBorders>
            <w:vAlign w:val="center"/>
          </w:tcPr>
          <w:p w:rsidR="00F93C3E" w:rsidRDefault="002E1447" w:rsidP="00F93C3E">
            <w:pPr>
              <w:jc w:val="both"/>
              <w:rPr>
                <w:rFonts w:ascii="Times New Roman" w:hAnsi="Times New Roman" w:cs="Times New Roman"/>
                <w:sz w:val="20"/>
                <w:szCs w:val="20"/>
              </w:rPr>
            </w:pPr>
            <w:r>
              <w:rPr>
                <w:rFonts w:ascii="Times New Roman" w:hAnsi="Times New Roman" w:cs="Times New Roman"/>
                <w:sz w:val="20"/>
                <w:szCs w:val="20"/>
              </w:rPr>
              <w:t>T</w:t>
            </w:r>
            <w:r w:rsidR="00F93C3E" w:rsidRPr="00B66D29">
              <w:rPr>
                <w:rFonts w:ascii="Times New Roman" w:hAnsi="Times New Roman" w:cs="Times New Roman"/>
                <w:sz w:val="20"/>
                <w:szCs w:val="20"/>
              </w:rPr>
              <w:t xml:space="preserve">he Bank’s Front Line Unit (“FLU”) Financial Management Department (“FMD”) </w:t>
            </w:r>
            <w:r w:rsidR="00005AD5">
              <w:rPr>
                <w:rFonts w:ascii="Times New Roman" w:hAnsi="Times New Roman" w:cs="Times New Roman"/>
                <w:sz w:val="20"/>
                <w:szCs w:val="20"/>
              </w:rPr>
              <w:t xml:space="preserve">has </w:t>
            </w:r>
            <w:r w:rsidR="00F93C3E" w:rsidRPr="00B66D29">
              <w:rPr>
                <w:rFonts w:ascii="Times New Roman" w:hAnsi="Times New Roman" w:cs="Times New Roman"/>
                <w:sz w:val="20"/>
                <w:szCs w:val="20"/>
              </w:rPr>
              <w:t>established an internal methodology to develop runoff rates to replace LCR runoff rates that were applied initially to commercial paper backstop facilities.</w:t>
            </w:r>
          </w:p>
          <w:p w:rsidR="00F93C3E" w:rsidRDefault="00F93C3E" w:rsidP="00F93C3E">
            <w:pPr>
              <w:jc w:val="both"/>
              <w:rPr>
                <w:rFonts w:ascii="Times New Roman" w:hAnsi="Times New Roman" w:cs="Times New Roman"/>
                <w:sz w:val="20"/>
                <w:szCs w:val="20"/>
              </w:rPr>
            </w:pPr>
            <w:r w:rsidRPr="00B66D29">
              <w:rPr>
                <w:rFonts w:ascii="Times New Roman" w:hAnsi="Times New Roman" w:cs="Times New Roman"/>
                <w:sz w:val="20"/>
                <w:szCs w:val="20"/>
              </w:rPr>
              <w:t xml:space="preserve">During the journey of developing the run-off estimates, the Bank conducted a thorough research process and interviewed multiple business units to gain comprehensive knowledge of the business and products, as well as its impact on the nature of its cash flow. In summary, FMD developed the run-off rates considering both qualitative and quantitative perspectives. The approaches were designed to fit the specific products of the Bank. </w:t>
            </w:r>
          </w:p>
          <w:p w:rsidR="00F93C3E" w:rsidRPr="00B66D29" w:rsidRDefault="00F93C3E" w:rsidP="00F93C3E">
            <w:pPr>
              <w:jc w:val="both"/>
              <w:rPr>
                <w:rFonts w:ascii="Times New Roman" w:hAnsi="Times New Roman" w:cs="Times New Roman"/>
                <w:sz w:val="20"/>
                <w:szCs w:val="20"/>
              </w:rPr>
            </w:pPr>
            <w:r w:rsidRPr="00B66D29">
              <w:rPr>
                <w:rFonts w:ascii="Times New Roman" w:hAnsi="Times New Roman" w:cs="Times New Roman"/>
                <w:sz w:val="20"/>
                <w:szCs w:val="20"/>
              </w:rPr>
              <w:t>In order to estimate runoff rates under stress scenarios, the Bank employed multiple data sources, both internal and external. Based on the different types of products and their cash flow nature, the portfolio was segmented into two products: the commercial paper direct pay letter of credit (CPDP) and the 80/20 credit enhancement facility.  For the CPDP, an internal empirical data based approach was applied to estimate their run-off rates.  The run-off rates under the three stressed scenarios were estimated using historical data corresponding to different percentages. For the 80/20 Credit Enhancement Facility, the Bank adopted a probability of default based approach. The credit enhancement of a SPV was reduced under different stressed scenarios and the expected cash outflows were estimated using the probability of default under stressed credit ratings.</w:t>
            </w:r>
          </w:p>
          <w:p w:rsidR="005D783E" w:rsidRPr="00E305B2" w:rsidRDefault="00B53A1F" w:rsidP="00133FE5">
            <w:pPr>
              <w:rPr>
                <w:rFonts w:ascii="Times New Roman" w:hAnsi="Times New Roman" w:cs="Times New Roman"/>
                <w:sz w:val="20"/>
                <w:szCs w:val="20"/>
              </w:rPr>
            </w:pPr>
            <w:r w:rsidRPr="00B53A1F">
              <w:rPr>
                <w:rFonts w:ascii="Times New Roman" w:hAnsi="Times New Roman" w:cs="Times New Roman"/>
                <w:sz w:val="20"/>
                <w:szCs w:val="20"/>
              </w:rPr>
              <w:t xml:space="preserve">Attached is the latest version of FLU (Front Line Unit)’s remediation documentation. </w:t>
            </w:r>
            <w:r w:rsidR="00133FE5">
              <w:rPr>
                <w:rFonts w:ascii="Times New Roman" w:hAnsi="Times New Roman" w:cs="Times New Roman"/>
                <w:sz w:val="20"/>
                <w:szCs w:val="20"/>
              </w:rPr>
              <w:t>FMD</w:t>
            </w:r>
            <w:r w:rsidRPr="00B53A1F">
              <w:rPr>
                <w:rFonts w:ascii="Times New Roman" w:hAnsi="Times New Roman" w:cs="Times New Roman"/>
                <w:sz w:val="20"/>
                <w:szCs w:val="20"/>
              </w:rPr>
              <w:t xml:space="preserve"> has assessed internal audit's observations and taken immediate actions to enhance the documentation. The actions taken are reflected in the attached documentation.</w:t>
            </w:r>
          </w:p>
        </w:tc>
        <w:tc>
          <w:tcPr>
            <w:tcW w:w="3150" w:type="dxa"/>
            <w:tcBorders>
              <w:top w:val="single" w:sz="4" w:space="0" w:color="000000"/>
              <w:left w:val="single" w:sz="4" w:space="0" w:color="000000"/>
              <w:bottom w:val="single" w:sz="4" w:space="0" w:color="auto"/>
              <w:right w:val="single" w:sz="4" w:space="0" w:color="000000"/>
            </w:tcBorders>
            <w:vAlign w:val="center"/>
          </w:tcPr>
          <w:p w:rsidR="005D783E" w:rsidRPr="00E305B2" w:rsidRDefault="006D336A" w:rsidP="006D336A">
            <w:pPr>
              <w:ind w:left="75"/>
              <w:jc w:val="center"/>
              <w:rPr>
                <w:rFonts w:ascii="Times New Roman" w:hAnsi="Times New Roman" w:cs="Times New Roman"/>
                <w:sz w:val="20"/>
                <w:szCs w:val="20"/>
              </w:rPr>
            </w:pPr>
            <w:r>
              <w:rPr>
                <w:rFonts w:ascii="Times New Roman" w:hAnsi="Times New Roman" w:cs="Times New Roman"/>
                <w:sz w:val="20"/>
                <w:szCs w:val="20"/>
              </w:rPr>
              <w:object w:dxaOrig="1534"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5pt;height:49.7pt" o:ole="">
                  <v:imagedata r:id="rId11" o:title=""/>
                </v:shape>
                <o:OLEObject Type="Embed" ProgID="AcroExch.Document.11" ShapeID="_x0000_i1025" DrawAspect="Icon" ObjectID="_1570966736" r:id="rId12"/>
              </w:object>
            </w:r>
            <w:r w:rsidR="005E3481">
              <w:rPr>
                <w:rFonts w:ascii="Times New Roman" w:hAnsi="Times New Roman" w:cs="Times New Roman"/>
                <w:sz w:val="20"/>
                <w:szCs w:val="20"/>
              </w:rPr>
              <w:t xml:space="preserve">  </w:t>
            </w:r>
          </w:p>
        </w:tc>
      </w:tr>
      <w:tr w:rsidR="005D783E" w:rsidTr="00667D51">
        <w:trPr>
          <w:trHeight w:hRule="exact" w:val="4262"/>
        </w:trPr>
        <w:tc>
          <w:tcPr>
            <w:tcW w:w="898" w:type="dxa"/>
            <w:tcBorders>
              <w:top w:val="single" w:sz="4" w:space="0" w:color="auto"/>
              <w:left w:val="single" w:sz="4" w:space="0" w:color="000000"/>
              <w:bottom w:val="single" w:sz="4" w:space="0" w:color="000000"/>
              <w:right w:val="single" w:sz="4" w:space="0" w:color="000000"/>
            </w:tcBorders>
            <w:vAlign w:val="center"/>
          </w:tcPr>
          <w:p w:rsidR="005D783E" w:rsidRDefault="005D783E" w:rsidP="00E43369">
            <w:pPr>
              <w:ind w:left="-4"/>
              <w:jc w:val="center"/>
              <w:rPr>
                <w:rFonts w:ascii="Times New Roman" w:hAnsi="Times New Roman" w:cs="Times New Roman"/>
                <w:sz w:val="20"/>
                <w:szCs w:val="20"/>
              </w:rPr>
            </w:pPr>
            <w:r>
              <w:rPr>
                <w:rFonts w:ascii="Times New Roman" w:hAnsi="Times New Roman" w:cs="Times New Roman"/>
                <w:sz w:val="20"/>
                <w:szCs w:val="20"/>
              </w:rPr>
              <w:lastRenderedPageBreak/>
              <w:t>2</w:t>
            </w:r>
          </w:p>
        </w:tc>
        <w:tc>
          <w:tcPr>
            <w:tcW w:w="1271" w:type="dxa"/>
            <w:tcBorders>
              <w:top w:val="single" w:sz="4" w:space="0" w:color="auto"/>
              <w:left w:val="single" w:sz="4" w:space="0" w:color="000000"/>
              <w:bottom w:val="single" w:sz="4" w:space="0" w:color="000000"/>
              <w:right w:val="single" w:sz="4" w:space="0" w:color="000000"/>
            </w:tcBorders>
            <w:vAlign w:val="center"/>
          </w:tcPr>
          <w:p w:rsidR="005D783E" w:rsidRDefault="005D783E" w:rsidP="00656397">
            <w:pPr>
              <w:jc w:val="center"/>
              <w:rPr>
                <w:rFonts w:ascii="Times New Roman" w:hAnsi="Times New Roman" w:cs="Times New Roman"/>
                <w:sz w:val="20"/>
                <w:szCs w:val="20"/>
              </w:rPr>
            </w:pPr>
            <w:r>
              <w:rPr>
                <w:rFonts w:ascii="Times New Roman" w:hAnsi="Times New Roman" w:cs="Times New Roman"/>
                <w:sz w:val="20"/>
                <w:szCs w:val="20"/>
              </w:rPr>
              <w:t>TRD</w:t>
            </w:r>
          </w:p>
        </w:tc>
        <w:tc>
          <w:tcPr>
            <w:tcW w:w="7916" w:type="dxa"/>
            <w:tcBorders>
              <w:top w:val="single" w:sz="4" w:space="0" w:color="auto"/>
              <w:left w:val="single" w:sz="4" w:space="0" w:color="000000"/>
              <w:bottom w:val="single" w:sz="4" w:space="0" w:color="000000"/>
              <w:right w:val="single" w:sz="4" w:space="0" w:color="000000"/>
            </w:tcBorders>
            <w:vAlign w:val="center"/>
          </w:tcPr>
          <w:p w:rsidR="00667D51" w:rsidRDefault="00667D51" w:rsidP="000D23AF">
            <w:pPr>
              <w:rPr>
                <w:rFonts w:ascii="Times New Roman" w:hAnsi="Times New Roman" w:cs="Times New Roman"/>
                <w:sz w:val="20"/>
                <w:szCs w:val="20"/>
              </w:rPr>
            </w:pPr>
            <w:r w:rsidRPr="00F92AD4">
              <w:rPr>
                <w:rFonts w:ascii="Times New Roman" w:hAnsi="Times New Roman" w:cs="Times New Roman"/>
                <w:sz w:val="20"/>
                <w:szCs w:val="20"/>
              </w:rPr>
              <w:t>Treasury Department</w:t>
            </w:r>
            <w:r>
              <w:rPr>
                <w:rFonts w:ascii="Times New Roman" w:hAnsi="Times New Roman" w:cs="Times New Roman"/>
                <w:sz w:val="20"/>
                <w:szCs w:val="20"/>
              </w:rPr>
              <w:t xml:space="preserve"> (“TRD”)</w:t>
            </w:r>
            <w:r w:rsidRPr="00F92AD4">
              <w:rPr>
                <w:rFonts w:ascii="Times New Roman" w:hAnsi="Times New Roman" w:cs="Times New Roman"/>
                <w:sz w:val="20"/>
                <w:szCs w:val="20"/>
              </w:rPr>
              <w:t xml:space="preserve"> </w:t>
            </w:r>
            <w:r w:rsidRPr="00D15C5E">
              <w:rPr>
                <w:rFonts w:ascii="Times New Roman" w:hAnsi="Times New Roman" w:cs="Times New Roman"/>
                <w:sz w:val="20"/>
                <w:szCs w:val="20"/>
              </w:rPr>
              <w:t>collected and analyzed liquidity buffer haircut data from multiple sources to develop haircut estimates for high liquid assets to illustrate the potential loss of value during a stress period. The asset haircuts, along with the respective framework and analysis are well-documented with sufficient details. The linkage to the data sources that were utilized was clearly demonstrated in the documentation. The methodology consists of two steps: Step one utilized Treasuries and Swaps historical yield changes to illustrate the potential loss of value applied to all the stress scenarios. Step two applied an additional REPO haircut specific to each scenario to the market value loss after step one.</w:t>
            </w:r>
            <w:bookmarkStart w:id="0" w:name="_GoBack"/>
            <w:bookmarkEnd w:id="0"/>
          </w:p>
          <w:p w:rsidR="005D783E" w:rsidRDefault="00B53A1F" w:rsidP="000D23AF">
            <w:pPr>
              <w:rPr>
                <w:rFonts w:ascii="Times New Roman" w:hAnsi="Times New Roman" w:cs="Times New Roman"/>
                <w:sz w:val="20"/>
                <w:szCs w:val="20"/>
              </w:rPr>
            </w:pPr>
            <w:r w:rsidRPr="00B53A1F">
              <w:rPr>
                <w:rFonts w:ascii="Times New Roman" w:hAnsi="Times New Roman" w:cs="Times New Roman"/>
                <w:sz w:val="20"/>
                <w:szCs w:val="20"/>
              </w:rPr>
              <w:t xml:space="preserve">Attached is the latest version of FLU (Front Line Unit)’s remediation documentation. </w:t>
            </w:r>
            <w:r w:rsidR="000D23AF">
              <w:rPr>
                <w:rFonts w:ascii="Times New Roman" w:hAnsi="Times New Roman" w:cs="Times New Roman"/>
                <w:sz w:val="20"/>
                <w:szCs w:val="20"/>
              </w:rPr>
              <w:t>TRD</w:t>
            </w:r>
            <w:r w:rsidRPr="00B53A1F">
              <w:rPr>
                <w:rFonts w:ascii="Times New Roman" w:hAnsi="Times New Roman" w:cs="Times New Roman"/>
                <w:sz w:val="20"/>
                <w:szCs w:val="20"/>
              </w:rPr>
              <w:t xml:space="preserve"> has assessed internal audit's observations and taken immediate actions to enhance the documentation. The actions taken are reflected in the attached documentation.</w:t>
            </w:r>
          </w:p>
        </w:tc>
        <w:tc>
          <w:tcPr>
            <w:tcW w:w="3150" w:type="dxa"/>
            <w:tcBorders>
              <w:top w:val="single" w:sz="4" w:space="0" w:color="auto"/>
              <w:left w:val="single" w:sz="4" w:space="0" w:color="000000"/>
              <w:bottom w:val="single" w:sz="4" w:space="0" w:color="000000"/>
              <w:right w:val="single" w:sz="4" w:space="0" w:color="000000"/>
            </w:tcBorders>
            <w:vAlign w:val="center"/>
          </w:tcPr>
          <w:p w:rsidR="005D783E" w:rsidRPr="00E305B2" w:rsidRDefault="00111845" w:rsidP="00E43369">
            <w:pPr>
              <w:ind w:left="75"/>
              <w:jc w:val="center"/>
              <w:rPr>
                <w:rFonts w:ascii="Times New Roman" w:hAnsi="Times New Roman" w:cs="Times New Roman"/>
                <w:sz w:val="20"/>
                <w:szCs w:val="20"/>
              </w:rPr>
            </w:pPr>
            <w:r>
              <w:rPr>
                <w:rFonts w:ascii="Times New Roman" w:hAnsi="Times New Roman" w:cs="Times New Roman"/>
                <w:sz w:val="20"/>
                <w:szCs w:val="20"/>
              </w:rPr>
              <w:object w:dxaOrig="1531" w:dyaOrig="990">
                <v:shape id="_x0000_i1044" type="#_x0000_t75" style="width:76.45pt;height:49.7pt" o:ole="">
                  <v:imagedata r:id="rId13" o:title=""/>
                </v:shape>
                <o:OLEObject Type="Embed" ProgID="AcroExch.Document.11" ShapeID="_x0000_i1044" DrawAspect="Icon" ObjectID="_1570966737" r:id="rId14"/>
              </w:object>
            </w:r>
            <w:r w:rsidR="005E3481">
              <w:rPr>
                <w:rFonts w:ascii="Times New Roman" w:hAnsi="Times New Roman" w:cs="Times New Roman"/>
                <w:sz w:val="20"/>
                <w:szCs w:val="20"/>
              </w:rPr>
              <w:t xml:space="preserve">   </w:t>
            </w:r>
          </w:p>
        </w:tc>
      </w:tr>
    </w:tbl>
    <w:p w:rsidR="009D7E56" w:rsidRDefault="009D7E56">
      <w:pPr>
        <w:spacing w:before="8" w:after="0" w:line="190" w:lineRule="exact"/>
        <w:rPr>
          <w:sz w:val="19"/>
          <w:szCs w:val="19"/>
        </w:rPr>
      </w:pPr>
    </w:p>
    <w:p w:rsidR="009D7E56" w:rsidRDefault="009D7E56">
      <w:pPr>
        <w:spacing w:after="0" w:line="200" w:lineRule="exact"/>
        <w:rPr>
          <w:sz w:val="20"/>
          <w:szCs w:val="20"/>
        </w:rPr>
      </w:pPr>
    </w:p>
    <w:p w:rsidR="00843371" w:rsidRDefault="00843371"/>
    <w:p w:rsidR="00843371" w:rsidRDefault="00843371"/>
    <w:p w:rsidR="00843371" w:rsidRDefault="00843371"/>
    <w:p w:rsidR="00843371" w:rsidRDefault="00843371"/>
    <w:p w:rsidR="00843371" w:rsidRDefault="00843371"/>
    <w:p w:rsidR="00843371" w:rsidRDefault="00843371"/>
    <w:p w:rsidR="00843371" w:rsidRDefault="00843371"/>
    <w:p w:rsidR="00843371" w:rsidRDefault="00843371"/>
    <w:p w:rsidR="00F321F5" w:rsidRDefault="00F321F5"/>
    <w:p w:rsidR="00F818FD" w:rsidRDefault="00F818FD"/>
    <w:p w:rsidR="00F818FD" w:rsidRDefault="00F818FD"/>
    <w:p w:rsidR="00F818FD" w:rsidRDefault="00F818FD"/>
    <w:tbl>
      <w:tblPr>
        <w:tblStyle w:val="TableGrid"/>
        <w:tblW w:w="0" w:type="auto"/>
        <w:tblInd w:w="108" w:type="dxa"/>
        <w:tblLook w:val="04A0" w:firstRow="1" w:lastRow="0" w:firstColumn="1" w:lastColumn="0" w:noHBand="0" w:noVBand="1"/>
      </w:tblPr>
      <w:tblGrid>
        <w:gridCol w:w="13230"/>
      </w:tblGrid>
      <w:tr w:rsidR="005216B0" w:rsidTr="004A70C9">
        <w:tc>
          <w:tcPr>
            <w:tcW w:w="13230" w:type="dxa"/>
            <w:shd w:val="clear" w:color="auto" w:fill="D9D9D9" w:themeFill="background1" w:themeFillShade="D9"/>
          </w:tcPr>
          <w:p w:rsidR="005216B0" w:rsidRPr="005216B0" w:rsidRDefault="008B6C1B" w:rsidP="004C3F49">
            <w:pPr>
              <w:tabs>
                <w:tab w:val="left" w:pos="13180"/>
              </w:tabs>
              <w:spacing w:before="33"/>
              <w:ind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Part 2</w:t>
            </w:r>
            <w:r w:rsidR="005216B0" w:rsidRPr="005216B0">
              <w:rPr>
                <w:rFonts w:ascii="Times New Roman" w:eastAsia="Times New Roman" w:hAnsi="Times New Roman" w:cs="Times New Roman"/>
                <w:b/>
                <w:bCs/>
                <w:sz w:val="20"/>
                <w:szCs w:val="20"/>
              </w:rPr>
              <w:t xml:space="preserve"> – </w:t>
            </w:r>
            <w:r w:rsidR="004C3F49">
              <w:rPr>
                <w:rFonts w:ascii="Times New Roman" w:eastAsia="Times New Roman" w:hAnsi="Times New Roman" w:cs="Times New Roman"/>
                <w:b/>
                <w:bCs/>
                <w:sz w:val="20"/>
                <w:szCs w:val="20"/>
              </w:rPr>
              <w:t xml:space="preserve">Second Line of Defense </w:t>
            </w:r>
            <w:r w:rsidR="005216B0" w:rsidRPr="005216B0">
              <w:rPr>
                <w:rFonts w:ascii="Times New Roman" w:eastAsia="Times New Roman" w:hAnsi="Times New Roman" w:cs="Times New Roman"/>
                <w:b/>
                <w:bCs/>
                <w:sz w:val="20"/>
                <w:szCs w:val="20"/>
              </w:rPr>
              <w:t>Review Results</w:t>
            </w:r>
            <w:r w:rsidR="005216B0" w:rsidRPr="005216B0">
              <w:rPr>
                <w:rFonts w:ascii="Times New Roman" w:eastAsia="Times New Roman" w:hAnsi="Times New Roman" w:cs="Times New Roman"/>
                <w:b/>
                <w:bCs/>
                <w:sz w:val="20"/>
                <w:szCs w:val="20"/>
              </w:rPr>
              <w:tab/>
            </w:r>
          </w:p>
        </w:tc>
      </w:tr>
    </w:tbl>
    <w:p w:rsidR="004C3F49" w:rsidRDefault="004C3F49" w:rsidP="00627231">
      <w:pPr>
        <w:spacing w:after="0" w:line="240" w:lineRule="auto"/>
        <w:ind w:right="1002"/>
        <w:rPr>
          <w:rFonts w:ascii="Times New Roman" w:eastAsia="Times New Roman" w:hAnsi="Times New Roman" w:cs="Times New Roman"/>
          <w:b/>
          <w:bCs/>
          <w:spacing w:val="1"/>
          <w:sz w:val="20"/>
          <w:szCs w:val="20"/>
        </w:rPr>
      </w:pPr>
    </w:p>
    <w:tbl>
      <w:tblPr>
        <w:tblW w:w="13230" w:type="dxa"/>
        <w:tblInd w:w="5" w:type="dxa"/>
        <w:tblLayout w:type="fixed"/>
        <w:tblCellMar>
          <w:left w:w="0" w:type="dxa"/>
          <w:right w:w="0" w:type="dxa"/>
        </w:tblCellMar>
        <w:tblLook w:val="01E0" w:firstRow="1" w:lastRow="1" w:firstColumn="1" w:lastColumn="1" w:noHBand="0" w:noVBand="0"/>
      </w:tblPr>
      <w:tblGrid>
        <w:gridCol w:w="916"/>
        <w:gridCol w:w="9164"/>
        <w:gridCol w:w="3150"/>
      </w:tblGrid>
      <w:tr w:rsidR="004C3F49" w:rsidRPr="00F25301" w:rsidTr="007B2CB4">
        <w:trPr>
          <w:cantSplit/>
          <w:trHeight w:hRule="exact" w:val="240"/>
          <w:tblHeader/>
        </w:trPr>
        <w:tc>
          <w:tcPr>
            <w:tcW w:w="9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3" w:right="-20"/>
              <w:jc w:val="center"/>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highlight w:val="lightGray"/>
              </w:rPr>
              <w:t>Number</w:t>
            </w:r>
          </w:p>
        </w:tc>
        <w:tc>
          <w:tcPr>
            <w:tcW w:w="91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4C3F49" w:rsidTr="00F221BD">
        <w:trPr>
          <w:trHeight w:hRule="exact" w:val="6188"/>
        </w:trPr>
        <w:tc>
          <w:tcPr>
            <w:tcW w:w="916" w:type="dxa"/>
            <w:tcBorders>
              <w:top w:val="single" w:sz="4" w:space="0" w:color="000000"/>
              <w:left w:val="single" w:sz="4" w:space="0" w:color="000000"/>
              <w:bottom w:val="single" w:sz="4" w:space="0" w:color="000000"/>
              <w:right w:val="single" w:sz="4" w:space="0" w:color="000000"/>
            </w:tcBorders>
            <w:vAlign w:val="center"/>
          </w:tcPr>
          <w:p w:rsidR="004C3F49" w:rsidRPr="00E305B2" w:rsidRDefault="004C3F49" w:rsidP="00BA3507">
            <w:pPr>
              <w:ind w:left="-4"/>
              <w:jc w:val="center"/>
              <w:rPr>
                <w:rFonts w:ascii="Times New Roman" w:hAnsi="Times New Roman" w:cs="Times New Roman"/>
                <w:sz w:val="20"/>
                <w:szCs w:val="20"/>
              </w:rPr>
            </w:pPr>
            <w:r>
              <w:rPr>
                <w:rFonts w:ascii="Times New Roman" w:hAnsi="Times New Roman" w:cs="Times New Roman"/>
                <w:sz w:val="20"/>
                <w:szCs w:val="20"/>
              </w:rPr>
              <w:t>1</w:t>
            </w:r>
          </w:p>
        </w:tc>
        <w:tc>
          <w:tcPr>
            <w:tcW w:w="9164" w:type="dxa"/>
            <w:tcBorders>
              <w:top w:val="single" w:sz="4" w:space="0" w:color="000000"/>
              <w:left w:val="single" w:sz="4" w:space="0" w:color="000000"/>
              <w:bottom w:val="single" w:sz="4" w:space="0" w:color="000000"/>
              <w:right w:val="single" w:sz="4" w:space="0" w:color="000000"/>
            </w:tcBorders>
            <w:vAlign w:val="center"/>
          </w:tcPr>
          <w:p w:rsidR="00C570D0" w:rsidRDefault="00C570D0" w:rsidP="009C49CA">
            <w:pPr>
              <w:rPr>
                <w:rFonts w:ascii="Times New Roman" w:hAnsi="Times New Roman" w:cs="Times New Roman"/>
                <w:sz w:val="20"/>
                <w:szCs w:val="20"/>
                <w:u w:val="single"/>
              </w:rPr>
            </w:pPr>
            <w:r>
              <w:rPr>
                <w:rFonts w:ascii="Times New Roman" w:hAnsi="Times New Roman" w:cs="Times New Roman"/>
                <w:sz w:val="20"/>
                <w:szCs w:val="20"/>
              </w:rPr>
              <w:t xml:space="preserve">As an Independent Risk </w:t>
            </w:r>
            <w:r w:rsidR="00C45758">
              <w:rPr>
                <w:rFonts w:ascii="Times New Roman" w:hAnsi="Times New Roman" w:cs="Times New Roman"/>
                <w:sz w:val="20"/>
                <w:szCs w:val="20"/>
              </w:rPr>
              <w:t>Management (</w:t>
            </w:r>
            <w:r>
              <w:rPr>
                <w:rFonts w:ascii="Times New Roman" w:hAnsi="Times New Roman" w:cs="Times New Roman"/>
                <w:sz w:val="20"/>
                <w:szCs w:val="20"/>
              </w:rPr>
              <w:t xml:space="preserve">“IRM”) </w:t>
            </w:r>
            <w:r w:rsidR="00460AED">
              <w:rPr>
                <w:rFonts w:ascii="Times New Roman" w:hAnsi="Times New Roman" w:cs="Times New Roman"/>
                <w:sz w:val="20"/>
                <w:szCs w:val="20"/>
              </w:rPr>
              <w:t>function</w:t>
            </w:r>
            <w:r>
              <w:rPr>
                <w:rFonts w:ascii="Times New Roman" w:hAnsi="Times New Roman" w:cs="Times New Roman"/>
                <w:sz w:val="20"/>
                <w:szCs w:val="20"/>
              </w:rPr>
              <w:t xml:space="preserve">, the Bank’s Market Risk Management Department (“MRD”) has conducted the independent review and effective challenge on the two FLUs’ proposal </w:t>
            </w:r>
            <w:r w:rsidR="00C45758">
              <w:rPr>
                <w:rFonts w:ascii="Times New Roman" w:hAnsi="Times New Roman" w:cs="Times New Roman"/>
                <w:sz w:val="20"/>
                <w:szCs w:val="20"/>
              </w:rPr>
              <w:t>of Commercial</w:t>
            </w:r>
            <w:r>
              <w:rPr>
                <w:rFonts w:ascii="Times New Roman" w:hAnsi="Times New Roman" w:cs="Times New Roman"/>
                <w:sz w:val="20"/>
                <w:szCs w:val="20"/>
              </w:rPr>
              <w:t xml:space="preserve"> Paper </w:t>
            </w:r>
            <w:r w:rsidR="00DD2A47">
              <w:rPr>
                <w:rFonts w:ascii="Times New Roman" w:hAnsi="Times New Roman" w:cs="Times New Roman"/>
                <w:sz w:val="20"/>
                <w:szCs w:val="20"/>
              </w:rPr>
              <w:t xml:space="preserve">Backstop facilities, </w:t>
            </w:r>
            <w:r>
              <w:rPr>
                <w:rFonts w:ascii="Times New Roman" w:hAnsi="Times New Roman" w:cs="Times New Roman"/>
                <w:sz w:val="20"/>
                <w:szCs w:val="20"/>
              </w:rPr>
              <w:t>Runoff rates and Asset Haircuts. MRD’s review scope covered the data source and quality, theory and assumption, analysis and calculations, results and documentation.</w:t>
            </w:r>
          </w:p>
          <w:p w:rsidR="009C49CA" w:rsidRPr="009C49CA" w:rsidRDefault="009C49CA" w:rsidP="009C49CA">
            <w:pPr>
              <w:rPr>
                <w:rFonts w:ascii="Times New Roman" w:hAnsi="Times New Roman" w:cs="Times New Roman"/>
                <w:sz w:val="20"/>
                <w:szCs w:val="20"/>
                <w:u w:val="single"/>
              </w:rPr>
            </w:pPr>
            <w:r w:rsidRPr="009C49CA">
              <w:rPr>
                <w:rFonts w:ascii="Times New Roman" w:hAnsi="Times New Roman" w:cs="Times New Roman"/>
                <w:sz w:val="20"/>
                <w:szCs w:val="20"/>
                <w:u w:val="single"/>
              </w:rPr>
              <w:t xml:space="preserve">Commercial Paper </w:t>
            </w:r>
            <w:r w:rsidR="00C570D0">
              <w:rPr>
                <w:rFonts w:ascii="Times New Roman" w:hAnsi="Times New Roman" w:cs="Times New Roman"/>
                <w:sz w:val="20"/>
                <w:szCs w:val="20"/>
                <w:u w:val="single"/>
              </w:rPr>
              <w:t>Backstop Runoff Rates</w:t>
            </w:r>
          </w:p>
          <w:p w:rsidR="009C49CA" w:rsidRDefault="009C49CA" w:rsidP="009C49CA">
            <w:pPr>
              <w:rPr>
                <w:rFonts w:ascii="Times New Roman" w:hAnsi="Times New Roman" w:cs="Times New Roman"/>
                <w:sz w:val="20"/>
                <w:szCs w:val="20"/>
              </w:rPr>
            </w:pPr>
            <w:r w:rsidRPr="009C49CA">
              <w:rPr>
                <w:rFonts w:ascii="Times New Roman" w:hAnsi="Times New Roman" w:cs="Times New Roman"/>
                <w:sz w:val="20"/>
                <w:szCs w:val="20"/>
              </w:rPr>
              <w:t xml:space="preserve">The </w:t>
            </w:r>
            <w:r w:rsidR="00C570D0">
              <w:rPr>
                <w:rFonts w:ascii="Times New Roman" w:hAnsi="Times New Roman" w:cs="Times New Roman"/>
                <w:sz w:val="20"/>
                <w:szCs w:val="20"/>
              </w:rPr>
              <w:t xml:space="preserve">Commercial Paper Backstop products </w:t>
            </w:r>
            <w:r w:rsidRPr="009C49CA">
              <w:rPr>
                <w:rFonts w:ascii="Times New Roman" w:hAnsi="Times New Roman" w:cs="Times New Roman"/>
                <w:sz w:val="20"/>
                <w:szCs w:val="20"/>
              </w:rPr>
              <w:t>CPDP and 8020 runoff methodology and assumptions are developed pr</w:t>
            </w:r>
            <w:r>
              <w:rPr>
                <w:rFonts w:ascii="Times New Roman" w:hAnsi="Times New Roman" w:cs="Times New Roman"/>
                <w:sz w:val="20"/>
                <w:szCs w:val="20"/>
              </w:rPr>
              <w:t xml:space="preserve">imarily based on the historical </w:t>
            </w:r>
            <w:r w:rsidRPr="009C49CA">
              <w:rPr>
                <w:rFonts w:ascii="Times New Roman" w:hAnsi="Times New Roman" w:cs="Times New Roman"/>
                <w:sz w:val="20"/>
                <w:szCs w:val="20"/>
              </w:rPr>
              <w:t xml:space="preserve">observations, management judgment, industrial practice, and regulatory </w:t>
            </w:r>
            <w:r>
              <w:rPr>
                <w:rFonts w:ascii="Times New Roman" w:hAnsi="Times New Roman" w:cs="Times New Roman"/>
                <w:sz w:val="20"/>
                <w:szCs w:val="20"/>
              </w:rPr>
              <w:t xml:space="preserve">guidance. The runoff rates have </w:t>
            </w:r>
            <w:r w:rsidRPr="009C49CA">
              <w:rPr>
                <w:rFonts w:ascii="Times New Roman" w:hAnsi="Times New Roman" w:cs="Times New Roman"/>
                <w:sz w:val="20"/>
                <w:szCs w:val="20"/>
              </w:rPr>
              <w:t>incorporated outliers, variance of time horizons, counterpa</w:t>
            </w:r>
            <w:r>
              <w:rPr>
                <w:rFonts w:ascii="Times New Roman" w:hAnsi="Times New Roman" w:cs="Times New Roman"/>
                <w:sz w:val="20"/>
                <w:szCs w:val="20"/>
              </w:rPr>
              <w:t xml:space="preserve">rty behaviors, and seasonality. </w:t>
            </w:r>
            <w:r w:rsidRPr="009C49CA">
              <w:rPr>
                <w:rFonts w:ascii="Times New Roman" w:hAnsi="Times New Roman" w:cs="Times New Roman"/>
                <w:sz w:val="20"/>
                <w:szCs w:val="20"/>
              </w:rPr>
              <w:t xml:space="preserve">After the review and challenge, MRD concludes this CPDP </w:t>
            </w:r>
            <w:r>
              <w:rPr>
                <w:rFonts w:ascii="Times New Roman" w:hAnsi="Times New Roman" w:cs="Times New Roman"/>
                <w:sz w:val="20"/>
                <w:szCs w:val="20"/>
              </w:rPr>
              <w:t xml:space="preserve">and 8020 Runoff methodology and </w:t>
            </w:r>
            <w:r w:rsidRPr="009C49CA">
              <w:rPr>
                <w:rFonts w:ascii="Times New Roman" w:hAnsi="Times New Roman" w:cs="Times New Roman"/>
                <w:sz w:val="20"/>
                <w:szCs w:val="20"/>
              </w:rPr>
              <w:t xml:space="preserve">assumptions are acceptable. </w:t>
            </w:r>
          </w:p>
          <w:p w:rsidR="009C49CA" w:rsidRDefault="009C49CA" w:rsidP="00D77BE7">
            <w:pPr>
              <w:rPr>
                <w:rFonts w:ascii="Times New Roman" w:hAnsi="Times New Roman" w:cs="Times New Roman"/>
                <w:sz w:val="20"/>
                <w:szCs w:val="20"/>
                <w:u w:val="single"/>
              </w:rPr>
            </w:pPr>
            <w:r w:rsidRPr="009C49CA">
              <w:rPr>
                <w:rFonts w:ascii="Times New Roman" w:hAnsi="Times New Roman" w:cs="Times New Roman"/>
                <w:sz w:val="20"/>
                <w:szCs w:val="20"/>
                <w:u w:val="single"/>
              </w:rPr>
              <w:t>Asset Haircut</w:t>
            </w:r>
            <w:r w:rsidR="00001A56">
              <w:rPr>
                <w:rFonts w:ascii="Times New Roman" w:hAnsi="Times New Roman" w:cs="Times New Roman"/>
                <w:sz w:val="20"/>
                <w:szCs w:val="20"/>
                <w:u w:val="single"/>
              </w:rPr>
              <w:t>s</w:t>
            </w:r>
          </w:p>
          <w:p w:rsidR="009C49CA" w:rsidRDefault="00001A56" w:rsidP="00D77BE7">
            <w:pPr>
              <w:rPr>
                <w:rFonts w:ascii="Times New Roman" w:hAnsi="Times New Roman" w:cs="Times New Roman"/>
                <w:sz w:val="20"/>
                <w:szCs w:val="20"/>
              </w:rPr>
            </w:pPr>
            <w:r w:rsidRPr="00001A56">
              <w:rPr>
                <w:rFonts w:ascii="Times New Roman" w:hAnsi="Times New Roman" w:cs="Times New Roman"/>
                <w:sz w:val="20"/>
                <w:szCs w:val="20"/>
              </w:rPr>
              <w:t>The asset haircuts calculation methodology and assumptions are developed primarily based on empirical data, management judgment, industrial practice and statistical analysis. After rounds of review and challenge, MRD concludes this asset haircuts calculation methodology and assumptions are acceptable and the analysis is conservative and reliable.</w:t>
            </w:r>
          </w:p>
          <w:p w:rsidR="004C3F49" w:rsidRPr="00E305B2" w:rsidRDefault="00B53A1F" w:rsidP="00F221BD">
            <w:pPr>
              <w:rPr>
                <w:rFonts w:ascii="Times New Roman" w:hAnsi="Times New Roman" w:cs="Times New Roman"/>
                <w:sz w:val="20"/>
                <w:szCs w:val="20"/>
              </w:rPr>
            </w:pPr>
            <w:r w:rsidRPr="00B53A1F">
              <w:rPr>
                <w:rFonts w:ascii="Times New Roman" w:hAnsi="Times New Roman" w:cs="Times New Roman"/>
                <w:sz w:val="20"/>
                <w:szCs w:val="20"/>
              </w:rPr>
              <w:t xml:space="preserve">Attached </w:t>
            </w:r>
            <w:r w:rsidR="003F6127">
              <w:rPr>
                <w:rFonts w:ascii="Times New Roman" w:hAnsi="Times New Roman" w:cs="Times New Roman"/>
                <w:sz w:val="20"/>
                <w:szCs w:val="20"/>
              </w:rPr>
              <w:t>are</w:t>
            </w:r>
            <w:r w:rsidRPr="00B53A1F">
              <w:rPr>
                <w:rFonts w:ascii="Times New Roman" w:hAnsi="Times New Roman" w:cs="Times New Roman"/>
                <w:sz w:val="20"/>
                <w:szCs w:val="20"/>
              </w:rPr>
              <w:t xml:space="preserve"> the latest version</w:t>
            </w:r>
            <w:r w:rsidR="003F6127">
              <w:rPr>
                <w:rFonts w:ascii="Times New Roman" w:hAnsi="Times New Roman" w:cs="Times New Roman"/>
                <w:sz w:val="20"/>
                <w:szCs w:val="20"/>
              </w:rPr>
              <w:t>s</w:t>
            </w:r>
            <w:r w:rsidRPr="00B53A1F">
              <w:rPr>
                <w:rFonts w:ascii="Times New Roman" w:hAnsi="Times New Roman" w:cs="Times New Roman"/>
                <w:sz w:val="20"/>
                <w:szCs w:val="20"/>
              </w:rPr>
              <w:t xml:space="preserve"> of IRM (Independent Risk Management)’s </w:t>
            </w:r>
            <w:r w:rsidR="00513974">
              <w:rPr>
                <w:rFonts w:ascii="Times New Roman" w:hAnsi="Times New Roman" w:cs="Times New Roman"/>
                <w:sz w:val="20"/>
                <w:szCs w:val="20"/>
              </w:rPr>
              <w:t xml:space="preserve">independent </w:t>
            </w:r>
            <w:r w:rsidR="00F221BD">
              <w:rPr>
                <w:rFonts w:ascii="Times New Roman" w:hAnsi="Times New Roman" w:cs="Times New Roman"/>
                <w:sz w:val="20"/>
                <w:szCs w:val="20"/>
              </w:rPr>
              <w:t>review</w:t>
            </w:r>
            <w:r w:rsidR="00F221BD" w:rsidRPr="00B53A1F">
              <w:rPr>
                <w:rFonts w:ascii="Times New Roman" w:hAnsi="Times New Roman" w:cs="Times New Roman"/>
                <w:sz w:val="20"/>
                <w:szCs w:val="20"/>
              </w:rPr>
              <w:t xml:space="preserve"> </w:t>
            </w:r>
            <w:r w:rsidRPr="00B53A1F">
              <w:rPr>
                <w:rFonts w:ascii="Times New Roman" w:hAnsi="Times New Roman" w:cs="Times New Roman"/>
                <w:sz w:val="20"/>
                <w:szCs w:val="20"/>
              </w:rPr>
              <w:t xml:space="preserve">documentation. </w:t>
            </w:r>
            <w:r w:rsidR="00F221BD">
              <w:rPr>
                <w:rFonts w:ascii="Times New Roman" w:hAnsi="Times New Roman" w:cs="Times New Roman"/>
                <w:sz w:val="20"/>
                <w:szCs w:val="20"/>
              </w:rPr>
              <w:t>MRD</w:t>
            </w:r>
            <w:r w:rsidRPr="00B53A1F">
              <w:rPr>
                <w:rFonts w:ascii="Times New Roman" w:hAnsi="Times New Roman" w:cs="Times New Roman"/>
                <w:sz w:val="20"/>
                <w:szCs w:val="20"/>
              </w:rPr>
              <w:t xml:space="preserve"> has assessed internal audit's observations and taken immediate actions to enhance the documentation. The actions taken are reflected in the attached documentation.</w:t>
            </w:r>
          </w:p>
        </w:tc>
        <w:tc>
          <w:tcPr>
            <w:tcW w:w="3150" w:type="dxa"/>
            <w:tcBorders>
              <w:top w:val="single" w:sz="4" w:space="0" w:color="000000"/>
              <w:left w:val="single" w:sz="4" w:space="0" w:color="000000"/>
              <w:bottom w:val="single" w:sz="4" w:space="0" w:color="000000"/>
              <w:right w:val="single" w:sz="4" w:space="0" w:color="000000"/>
            </w:tcBorders>
            <w:vAlign w:val="center"/>
          </w:tcPr>
          <w:p w:rsidR="005E3481" w:rsidRDefault="00111845" w:rsidP="00111845">
            <w:pPr>
              <w:pStyle w:val="ListParagraph"/>
              <w:ind w:left="360"/>
              <w:rPr>
                <w:rFonts w:ascii="Times New Roman" w:hAnsi="Times New Roman" w:cs="Times New Roman"/>
                <w:sz w:val="20"/>
                <w:szCs w:val="20"/>
              </w:rPr>
            </w:pPr>
            <w:r>
              <w:rPr>
                <w:rFonts w:ascii="Times New Roman" w:hAnsi="Times New Roman" w:cs="Times New Roman"/>
                <w:sz w:val="20"/>
                <w:szCs w:val="20"/>
              </w:rPr>
              <w:t xml:space="preserve">            </w:t>
            </w:r>
            <w:r w:rsidR="00F47B91">
              <w:rPr>
                <w:rFonts w:ascii="Times New Roman" w:hAnsi="Times New Roman" w:cs="Times New Roman"/>
                <w:sz w:val="20"/>
                <w:szCs w:val="20"/>
              </w:rPr>
              <w:object w:dxaOrig="1534" w:dyaOrig="993">
                <v:shape id="_x0000_i1027" type="#_x0000_t75" style="width:64.35pt;height:49.7pt" o:ole="">
                  <v:imagedata r:id="rId15" o:title=""/>
                </v:shape>
                <o:OLEObject Type="Embed" ProgID="AcroExch.Document.11" ShapeID="_x0000_i1027" DrawAspect="Icon" ObjectID="_1570966738" r:id="rId16"/>
              </w:object>
            </w:r>
          </w:p>
          <w:p w:rsidR="00111845" w:rsidRDefault="00111845" w:rsidP="00111845">
            <w:pPr>
              <w:pStyle w:val="ListParagraph"/>
              <w:ind w:left="360"/>
              <w:rPr>
                <w:rFonts w:ascii="Times New Roman" w:hAnsi="Times New Roman" w:cs="Times New Roman"/>
                <w:sz w:val="20"/>
                <w:szCs w:val="20"/>
              </w:rPr>
            </w:pPr>
          </w:p>
          <w:p w:rsidR="00111845" w:rsidRPr="00E305B2" w:rsidRDefault="00111845" w:rsidP="003C71E6">
            <w:pPr>
              <w:pStyle w:val="ListParagraph"/>
              <w:ind w:left="360"/>
              <w:rPr>
                <w:rFonts w:ascii="Times New Roman" w:hAnsi="Times New Roman" w:cs="Times New Roman"/>
                <w:sz w:val="20"/>
                <w:szCs w:val="20"/>
              </w:rPr>
            </w:pPr>
            <w:r>
              <w:rPr>
                <w:rFonts w:ascii="Times New Roman" w:hAnsi="Times New Roman" w:cs="Times New Roman"/>
                <w:sz w:val="20"/>
                <w:szCs w:val="20"/>
              </w:rPr>
              <w:t xml:space="preserve">            </w:t>
            </w:r>
            <w:r w:rsidR="00F47B91">
              <w:rPr>
                <w:rFonts w:ascii="Times New Roman" w:hAnsi="Times New Roman" w:cs="Times New Roman"/>
                <w:sz w:val="20"/>
                <w:szCs w:val="20"/>
              </w:rPr>
              <w:object w:dxaOrig="1534" w:dyaOrig="993">
                <v:shape id="_x0000_i1028" type="#_x0000_t75" style="width:67.55pt;height:49.7pt" o:ole="">
                  <v:imagedata r:id="rId17" o:title=""/>
                </v:shape>
                <o:OLEObject Type="Embed" ProgID="AcroExch.Document.11" ShapeID="_x0000_i1028" DrawAspect="Icon" ObjectID="_1570966739" r:id="rId18"/>
              </w:object>
            </w:r>
          </w:p>
        </w:tc>
      </w:tr>
    </w:tbl>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5D783E" w:rsidRDefault="005D783E">
      <w:pPr>
        <w:spacing w:after="0" w:line="240" w:lineRule="auto"/>
        <w:ind w:left="216" w:right="1002" w:firstLine="4"/>
        <w:rPr>
          <w:rFonts w:ascii="Times New Roman" w:eastAsia="Times New Roman" w:hAnsi="Times New Roman" w:cs="Times New Roman"/>
          <w:b/>
          <w:bCs/>
          <w:spacing w:val="1"/>
          <w:sz w:val="20"/>
          <w:szCs w:val="20"/>
        </w:rPr>
      </w:pPr>
    </w:p>
    <w:p w:rsidR="005D783E" w:rsidRDefault="005D783E">
      <w:pPr>
        <w:spacing w:after="0" w:line="240" w:lineRule="auto"/>
        <w:ind w:left="216" w:right="1002" w:firstLine="4"/>
        <w:rPr>
          <w:rFonts w:ascii="Times New Roman" w:eastAsia="Times New Roman" w:hAnsi="Times New Roman" w:cs="Times New Roman"/>
          <w:b/>
          <w:bCs/>
          <w:spacing w:val="1"/>
          <w:sz w:val="20"/>
          <w:szCs w:val="20"/>
        </w:rPr>
      </w:pPr>
    </w:p>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F321F5" w:rsidRDefault="00F321F5">
      <w:pPr>
        <w:spacing w:after="0" w:line="240" w:lineRule="auto"/>
        <w:ind w:left="216" w:right="1002" w:firstLine="4"/>
        <w:rPr>
          <w:rFonts w:ascii="Times New Roman" w:eastAsia="Times New Roman" w:hAnsi="Times New Roman" w:cs="Times New Roman"/>
          <w:b/>
          <w:bCs/>
          <w:spacing w:val="1"/>
          <w:sz w:val="20"/>
          <w:szCs w:val="20"/>
        </w:rPr>
      </w:pPr>
    </w:p>
    <w:p w:rsidR="00F321F5" w:rsidRDefault="00F321F5">
      <w:pPr>
        <w:spacing w:after="0" w:line="240" w:lineRule="auto"/>
        <w:ind w:left="216" w:right="1002" w:firstLine="4"/>
        <w:rPr>
          <w:rFonts w:ascii="Times New Roman" w:eastAsia="Times New Roman" w:hAnsi="Times New Roman" w:cs="Times New Roman"/>
          <w:b/>
          <w:bCs/>
          <w:spacing w:val="1"/>
          <w:sz w:val="20"/>
          <w:szCs w:val="20"/>
        </w:rPr>
      </w:pPr>
    </w:p>
    <w:p w:rsidR="00627231" w:rsidRDefault="00627231">
      <w:pPr>
        <w:spacing w:after="0" w:line="240" w:lineRule="auto"/>
        <w:ind w:left="216" w:right="1002" w:firstLine="4"/>
        <w:rPr>
          <w:rFonts w:ascii="Times New Roman" w:eastAsia="Times New Roman" w:hAnsi="Times New Roman" w:cs="Times New Roman"/>
          <w:b/>
          <w:bCs/>
          <w:spacing w:val="1"/>
          <w:sz w:val="20"/>
          <w:szCs w:val="20"/>
        </w:rPr>
      </w:pPr>
    </w:p>
    <w:p w:rsidR="00F321F5" w:rsidRDefault="00F321F5" w:rsidP="000E2A1D">
      <w:pPr>
        <w:spacing w:after="0" w:line="240" w:lineRule="auto"/>
        <w:ind w:right="1002"/>
        <w:rPr>
          <w:rFonts w:ascii="Times New Roman" w:eastAsia="Times New Roman" w:hAnsi="Times New Roman" w:cs="Times New Roman"/>
          <w:b/>
          <w:bCs/>
          <w:spacing w:val="1"/>
          <w:sz w:val="20"/>
          <w:szCs w:val="20"/>
        </w:rPr>
      </w:pPr>
    </w:p>
    <w:tbl>
      <w:tblPr>
        <w:tblStyle w:val="TableGrid"/>
        <w:tblW w:w="0" w:type="auto"/>
        <w:tblInd w:w="108" w:type="dxa"/>
        <w:tblLook w:val="04A0" w:firstRow="1" w:lastRow="0" w:firstColumn="1" w:lastColumn="0" w:noHBand="0" w:noVBand="1"/>
      </w:tblPr>
      <w:tblGrid>
        <w:gridCol w:w="13230"/>
      </w:tblGrid>
      <w:tr w:rsidR="00F321F5" w:rsidTr="003F4EAF">
        <w:tc>
          <w:tcPr>
            <w:tcW w:w="13230" w:type="dxa"/>
            <w:shd w:val="clear" w:color="auto" w:fill="D9D9D9" w:themeFill="background1" w:themeFillShade="D9"/>
          </w:tcPr>
          <w:p w:rsidR="00F321F5" w:rsidRPr="005216B0" w:rsidRDefault="00F321F5" w:rsidP="00F321F5">
            <w:pPr>
              <w:tabs>
                <w:tab w:val="left" w:pos="13180"/>
              </w:tabs>
              <w:spacing w:before="33"/>
              <w:ind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Part 3</w:t>
            </w:r>
            <w:r w:rsidRPr="005216B0">
              <w:rPr>
                <w:rFonts w:ascii="Times New Roman" w:eastAsia="Times New Roman" w:hAnsi="Times New Roman" w:cs="Times New Roman"/>
                <w:b/>
                <w:bCs/>
                <w:sz w:val="20"/>
                <w:szCs w:val="20"/>
              </w:rPr>
              <w:t xml:space="preserve"> – </w:t>
            </w:r>
            <w:r>
              <w:rPr>
                <w:rFonts w:ascii="Times New Roman" w:eastAsia="Times New Roman" w:hAnsi="Times New Roman" w:cs="Times New Roman"/>
                <w:b/>
                <w:bCs/>
                <w:sz w:val="20"/>
                <w:szCs w:val="20"/>
              </w:rPr>
              <w:t>IAD Validation Review Results</w:t>
            </w:r>
            <w:r w:rsidRPr="005216B0">
              <w:rPr>
                <w:rFonts w:ascii="Times New Roman" w:eastAsia="Times New Roman" w:hAnsi="Times New Roman" w:cs="Times New Roman"/>
                <w:b/>
                <w:bCs/>
                <w:sz w:val="20"/>
                <w:szCs w:val="20"/>
              </w:rPr>
              <w:tab/>
            </w:r>
          </w:p>
        </w:tc>
      </w:tr>
    </w:tbl>
    <w:p w:rsidR="009D7E56" w:rsidRDefault="009D7E56">
      <w:pPr>
        <w:spacing w:before="6" w:after="0" w:line="180" w:lineRule="exact"/>
        <w:rPr>
          <w:sz w:val="18"/>
          <w:szCs w:val="18"/>
        </w:rPr>
      </w:pPr>
    </w:p>
    <w:tbl>
      <w:tblPr>
        <w:tblW w:w="13230" w:type="dxa"/>
        <w:tblInd w:w="5" w:type="dxa"/>
        <w:tblLayout w:type="fixed"/>
        <w:tblCellMar>
          <w:left w:w="0" w:type="dxa"/>
          <w:right w:w="0" w:type="dxa"/>
        </w:tblCellMar>
        <w:tblLook w:val="01E0" w:firstRow="1" w:lastRow="1" w:firstColumn="1" w:lastColumn="1" w:noHBand="0" w:noVBand="0"/>
      </w:tblPr>
      <w:tblGrid>
        <w:gridCol w:w="10080"/>
        <w:gridCol w:w="3150"/>
      </w:tblGrid>
      <w:tr w:rsidR="007744F4" w:rsidRPr="00E305B2" w:rsidTr="007B2CB4">
        <w:trPr>
          <w:cantSplit/>
          <w:trHeight w:hRule="exact" w:val="240"/>
          <w:tblHeader/>
        </w:trPr>
        <w:tc>
          <w:tcPr>
            <w:tcW w:w="10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7744F4" w:rsidRPr="00E305B2" w:rsidRDefault="007744F4" w:rsidP="005F2CE1">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7744F4" w:rsidRPr="00E305B2" w:rsidRDefault="007744F4" w:rsidP="005F2CE1">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7744F4" w:rsidRPr="00DA59E2" w:rsidTr="007B2CB4">
        <w:trPr>
          <w:trHeight w:hRule="exact" w:val="4649"/>
        </w:trPr>
        <w:tc>
          <w:tcPr>
            <w:tcW w:w="10080" w:type="dxa"/>
            <w:tcBorders>
              <w:top w:val="single" w:sz="4" w:space="0" w:color="000000"/>
              <w:left w:val="single" w:sz="4" w:space="0" w:color="000000"/>
              <w:bottom w:val="single" w:sz="4" w:space="0" w:color="000000"/>
              <w:right w:val="single" w:sz="4" w:space="0" w:color="000000"/>
            </w:tcBorders>
            <w:vAlign w:val="center"/>
          </w:tcPr>
          <w:p w:rsidR="007744F4" w:rsidRDefault="007744F4" w:rsidP="005F2CE1">
            <w:pPr>
              <w:rPr>
                <w:rFonts w:ascii="Times New Roman" w:hAnsi="Times New Roman" w:cs="Times New Roman"/>
                <w:sz w:val="20"/>
                <w:szCs w:val="20"/>
              </w:rPr>
            </w:pPr>
            <w:r>
              <w:rPr>
                <w:rFonts w:ascii="Times New Roman" w:hAnsi="Times New Roman" w:cs="Times New Roman"/>
                <w:sz w:val="20"/>
                <w:szCs w:val="20"/>
              </w:rPr>
              <w:t xml:space="preserve">Internal Audit Department (IAD) conducted independent validation on </w:t>
            </w:r>
            <w:r w:rsidRPr="0088235D">
              <w:rPr>
                <w:rFonts w:ascii="Times New Roman" w:hAnsi="Times New Roman" w:cs="Times New Roman"/>
                <w:sz w:val="20"/>
                <w:szCs w:val="20"/>
              </w:rPr>
              <w:t>the Bank’s remediation for the</w:t>
            </w:r>
            <w:r>
              <w:rPr>
                <w:rFonts w:ascii="Times New Roman" w:hAnsi="Times New Roman" w:cs="Times New Roman"/>
                <w:sz w:val="20"/>
                <w:szCs w:val="20"/>
              </w:rPr>
              <w:t xml:space="preserve"> MRA by a</w:t>
            </w:r>
            <w:r w:rsidRPr="0088235D">
              <w:rPr>
                <w:rFonts w:ascii="Times New Roman" w:hAnsi="Times New Roman" w:cs="Times New Roman"/>
                <w:sz w:val="20"/>
                <w:szCs w:val="20"/>
              </w:rPr>
              <w:t>ssessing management’s controls around data gathering for data required to determine how asset haircuts and CP backstop draw runoff rates were derived</w:t>
            </w:r>
            <w:r>
              <w:rPr>
                <w:rFonts w:ascii="Times New Roman" w:hAnsi="Times New Roman" w:cs="Times New Roman"/>
                <w:sz w:val="20"/>
                <w:szCs w:val="20"/>
              </w:rPr>
              <w:t>, a</w:t>
            </w:r>
            <w:r w:rsidRPr="0088235D">
              <w:rPr>
                <w:rFonts w:ascii="Times New Roman" w:hAnsi="Times New Roman" w:cs="Times New Roman"/>
                <w:sz w:val="20"/>
                <w:szCs w:val="20"/>
              </w:rPr>
              <w:t>ssessing whether the resulting assumptions were supported with documentation and analysis</w:t>
            </w:r>
            <w:r>
              <w:rPr>
                <w:rFonts w:ascii="Times New Roman" w:hAnsi="Times New Roman" w:cs="Times New Roman"/>
                <w:sz w:val="20"/>
                <w:szCs w:val="20"/>
              </w:rPr>
              <w:t xml:space="preserve"> and a</w:t>
            </w:r>
            <w:r w:rsidRPr="0088235D">
              <w:rPr>
                <w:rFonts w:ascii="Times New Roman" w:hAnsi="Times New Roman" w:cs="Times New Roman"/>
                <w:sz w:val="20"/>
                <w:szCs w:val="20"/>
              </w:rPr>
              <w:t>ssessing the 2nd line of defense’s challenge of the assumptions</w:t>
            </w:r>
            <w:r>
              <w:rPr>
                <w:rFonts w:ascii="Times New Roman" w:hAnsi="Times New Roman" w:cs="Times New Roman"/>
                <w:sz w:val="20"/>
                <w:szCs w:val="20"/>
              </w:rPr>
              <w:t>.</w:t>
            </w:r>
            <w:r w:rsidRPr="0088235D">
              <w:rPr>
                <w:rFonts w:ascii="Times New Roman" w:hAnsi="Times New Roman" w:cs="Times New Roman"/>
                <w:sz w:val="20"/>
                <w:szCs w:val="20"/>
              </w:rPr>
              <w:t xml:space="preserve"> </w:t>
            </w:r>
          </w:p>
          <w:p w:rsidR="007744F4" w:rsidRPr="00BA47EA" w:rsidRDefault="007744F4" w:rsidP="005F2CE1">
            <w:pPr>
              <w:rPr>
                <w:rFonts w:ascii="Times New Roman" w:hAnsi="Times New Roman" w:cs="Times New Roman"/>
                <w:sz w:val="20"/>
                <w:szCs w:val="20"/>
              </w:rPr>
            </w:pPr>
            <w:r w:rsidRPr="00B77905">
              <w:rPr>
                <w:rFonts w:ascii="Times New Roman" w:hAnsi="Times New Roman" w:cs="Times New Roman"/>
                <w:b/>
                <w:sz w:val="20"/>
                <w:szCs w:val="20"/>
              </w:rPr>
              <w:t>Overall conclusion</w:t>
            </w:r>
            <w:r>
              <w:rPr>
                <w:rFonts w:ascii="Times New Roman" w:hAnsi="Times New Roman" w:cs="Times New Roman"/>
                <w:sz w:val="20"/>
                <w:szCs w:val="20"/>
              </w:rPr>
              <w:t xml:space="preserve">: </w:t>
            </w:r>
            <w:r w:rsidRPr="00BA47EA">
              <w:rPr>
                <w:rFonts w:ascii="Times New Roman" w:hAnsi="Times New Roman" w:cs="Times New Roman"/>
                <w:sz w:val="20"/>
                <w:szCs w:val="20"/>
              </w:rPr>
              <w:t xml:space="preserve">The aggregated tasks evaluated address in a sustainable manner the letter and spirit of the recommendations as stipulated in the MRA in general. However, some tasks are not complete but the impact for the overall MRA remediation is not significant. Based on the test work performed, and in accordance with Bank of China New York Internal Audit rating methodology, IAD has assigned an overall rating of Partially Pass. </w:t>
            </w:r>
          </w:p>
          <w:p w:rsidR="007744F4" w:rsidRPr="00E305B2" w:rsidRDefault="007744F4" w:rsidP="005F2CE1">
            <w:pPr>
              <w:rPr>
                <w:rFonts w:ascii="Times New Roman" w:hAnsi="Times New Roman" w:cs="Times New Roman"/>
                <w:sz w:val="20"/>
                <w:szCs w:val="20"/>
              </w:rPr>
            </w:pPr>
            <w:r w:rsidRPr="00073201">
              <w:rPr>
                <w:rFonts w:ascii="Times New Roman" w:hAnsi="Times New Roman" w:cs="Times New Roman"/>
                <w:sz w:val="20"/>
                <w:szCs w:val="20"/>
              </w:rPr>
              <w:t xml:space="preserve">Attached </w:t>
            </w:r>
            <w:r>
              <w:rPr>
                <w:rFonts w:ascii="Times New Roman" w:hAnsi="Times New Roman" w:cs="Times New Roman"/>
                <w:sz w:val="20"/>
                <w:szCs w:val="20"/>
              </w:rPr>
              <w:t>is the internal audit validation report and supporting work papers.</w:t>
            </w:r>
          </w:p>
        </w:tc>
        <w:tc>
          <w:tcPr>
            <w:tcW w:w="3150" w:type="dxa"/>
            <w:tcBorders>
              <w:top w:val="single" w:sz="4" w:space="0" w:color="000000"/>
              <w:left w:val="single" w:sz="4" w:space="0" w:color="000000"/>
              <w:bottom w:val="single" w:sz="4" w:space="0" w:color="000000"/>
              <w:right w:val="single" w:sz="4" w:space="0" w:color="000000"/>
            </w:tcBorders>
            <w:vAlign w:val="center"/>
          </w:tcPr>
          <w:p w:rsidR="007744F4" w:rsidRPr="00DA59E2" w:rsidRDefault="00B77905" w:rsidP="00737590">
            <w:pPr>
              <w:jc w:val="center"/>
              <w:rPr>
                <w:rFonts w:ascii="Times New Roman" w:hAnsi="Times New Roman" w:cs="Times New Roman"/>
                <w:sz w:val="20"/>
                <w:szCs w:val="20"/>
              </w:rPr>
            </w:pPr>
            <w:r>
              <w:rPr>
                <w:rFonts w:ascii="Times New Roman" w:hAnsi="Times New Roman" w:cs="Times New Roman"/>
                <w:sz w:val="20"/>
                <w:szCs w:val="20"/>
              </w:rPr>
              <w:object w:dxaOrig="1534" w:dyaOrig="993">
                <v:shape id="_x0000_i1029" type="#_x0000_t75" style="width:58pt;height:49.7pt" o:ole="">
                  <v:imagedata r:id="rId19" o:title=""/>
                </v:shape>
                <o:OLEObject Type="Embed" ProgID="AcroExch.Document.11" ShapeID="_x0000_i1029" DrawAspect="Icon" ObjectID="_1570966740" r:id="rId20"/>
              </w:object>
            </w:r>
          </w:p>
        </w:tc>
      </w:tr>
    </w:tbl>
    <w:p w:rsidR="009D7E56" w:rsidRDefault="009D7E56">
      <w:pPr>
        <w:spacing w:after="0" w:line="200" w:lineRule="exact"/>
        <w:rPr>
          <w:sz w:val="20"/>
          <w:szCs w:val="20"/>
        </w:rPr>
      </w:pPr>
    </w:p>
    <w:p w:rsidR="00AE156F" w:rsidRDefault="00AE156F" w:rsidP="00AE156F"/>
    <w:p w:rsidR="00F321F5" w:rsidRDefault="00F321F5" w:rsidP="00AE156F"/>
    <w:p w:rsidR="00F321F5" w:rsidRDefault="00F321F5" w:rsidP="00AE156F"/>
    <w:sectPr w:rsidR="00F321F5">
      <w:pgSz w:w="15840" w:h="12240" w:orient="landscape"/>
      <w:pgMar w:top="1400" w:right="1340" w:bottom="1180" w:left="1220" w:header="266" w:footer="9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2D6" w:rsidRDefault="002E72D6">
      <w:pPr>
        <w:spacing w:after="0" w:line="240" w:lineRule="auto"/>
      </w:pPr>
      <w:r>
        <w:separator/>
      </w:r>
    </w:p>
  </w:endnote>
  <w:endnote w:type="continuationSeparator" w:id="0">
    <w:p w:rsidR="002E72D6" w:rsidRDefault="002E7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670138"/>
      <w:docPartObj>
        <w:docPartGallery w:val="Page Numbers (Bottom of Page)"/>
        <w:docPartUnique/>
      </w:docPartObj>
    </w:sdtPr>
    <w:sdtEndPr/>
    <w:sdtContent>
      <w:sdt>
        <w:sdtPr>
          <w:id w:val="-1669238322"/>
          <w:docPartObj>
            <w:docPartGallery w:val="Page Numbers (Top of Page)"/>
            <w:docPartUnique/>
          </w:docPartObj>
        </w:sdtPr>
        <w:sdtEndPr/>
        <w:sdtContent>
          <w:p w:rsidR="00B37D92" w:rsidRDefault="00B37D92">
            <w:pPr>
              <w:pStyle w:val="Footer"/>
              <w:jc w:val="center"/>
            </w:pPr>
            <w:r w:rsidRPr="00342482">
              <w:rPr>
                <w:rFonts w:ascii="Times New Roman" w:hAnsi="Times New Roman" w:cs="Times New Roman"/>
              </w:rPr>
              <w:t xml:space="preserve">Page </w:t>
            </w:r>
            <w:r w:rsidRPr="00342482">
              <w:rPr>
                <w:rFonts w:ascii="Times New Roman" w:hAnsi="Times New Roman" w:cs="Times New Roman"/>
                <w:b/>
                <w:bCs/>
                <w:sz w:val="24"/>
                <w:szCs w:val="24"/>
              </w:rPr>
              <w:fldChar w:fldCharType="begin"/>
            </w:r>
            <w:r w:rsidRPr="00342482">
              <w:rPr>
                <w:rFonts w:ascii="Times New Roman" w:hAnsi="Times New Roman" w:cs="Times New Roman"/>
                <w:b/>
                <w:bCs/>
              </w:rPr>
              <w:instrText xml:space="preserve"> PAGE </w:instrText>
            </w:r>
            <w:r w:rsidRPr="00342482">
              <w:rPr>
                <w:rFonts w:ascii="Times New Roman" w:hAnsi="Times New Roman" w:cs="Times New Roman"/>
                <w:b/>
                <w:bCs/>
                <w:sz w:val="24"/>
                <w:szCs w:val="24"/>
              </w:rPr>
              <w:fldChar w:fldCharType="separate"/>
            </w:r>
            <w:r w:rsidR="0032157B">
              <w:rPr>
                <w:rFonts w:ascii="Times New Roman" w:hAnsi="Times New Roman" w:cs="Times New Roman"/>
                <w:b/>
                <w:bCs/>
                <w:noProof/>
              </w:rPr>
              <w:t>6</w:t>
            </w:r>
            <w:r w:rsidRPr="00342482">
              <w:rPr>
                <w:rFonts w:ascii="Times New Roman" w:hAnsi="Times New Roman" w:cs="Times New Roman"/>
                <w:b/>
                <w:bCs/>
                <w:sz w:val="24"/>
                <w:szCs w:val="24"/>
              </w:rPr>
              <w:fldChar w:fldCharType="end"/>
            </w:r>
            <w:r w:rsidRPr="00342482">
              <w:rPr>
                <w:rFonts w:ascii="Times New Roman" w:hAnsi="Times New Roman" w:cs="Times New Roman"/>
              </w:rPr>
              <w:t xml:space="preserve"> of </w:t>
            </w:r>
            <w:r w:rsidRPr="00342482">
              <w:rPr>
                <w:rFonts w:ascii="Times New Roman" w:hAnsi="Times New Roman" w:cs="Times New Roman"/>
                <w:b/>
                <w:bCs/>
                <w:sz w:val="24"/>
                <w:szCs w:val="24"/>
              </w:rPr>
              <w:fldChar w:fldCharType="begin"/>
            </w:r>
            <w:r w:rsidRPr="00342482">
              <w:rPr>
                <w:rFonts w:ascii="Times New Roman" w:hAnsi="Times New Roman" w:cs="Times New Roman"/>
                <w:b/>
                <w:bCs/>
              </w:rPr>
              <w:instrText xml:space="preserve"> NUMPAGES  </w:instrText>
            </w:r>
            <w:r w:rsidRPr="00342482">
              <w:rPr>
                <w:rFonts w:ascii="Times New Roman" w:hAnsi="Times New Roman" w:cs="Times New Roman"/>
                <w:b/>
                <w:bCs/>
                <w:sz w:val="24"/>
                <w:szCs w:val="24"/>
              </w:rPr>
              <w:fldChar w:fldCharType="separate"/>
            </w:r>
            <w:r w:rsidR="0032157B">
              <w:rPr>
                <w:rFonts w:ascii="Times New Roman" w:hAnsi="Times New Roman" w:cs="Times New Roman"/>
                <w:b/>
                <w:bCs/>
                <w:noProof/>
              </w:rPr>
              <w:t>6</w:t>
            </w:r>
            <w:r w:rsidRPr="00342482">
              <w:rPr>
                <w:rFonts w:ascii="Times New Roman" w:hAnsi="Times New Roman" w:cs="Times New Roman"/>
                <w:b/>
                <w:bCs/>
                <w:sz w:val="24"/>
                <w:szCs w:val="24"/>
              </w:rPr>
              <w:fldChar w:fldCharType="end"/>
            </w:r>
          </w:p>
        </w:sdtContent>
      </w:sdt>
    </w:sdtContent>
  </w:sdt>
  <w:p w:rsidR="00E305B2" w:rsidRDefault="00E305B2" w:rsidP="00E305B2">
    <w:pPr>
      <w:tabs>
        <w:tab w:val="left" w:pos="6128"/>
      </w:tabs>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2D6" w:rsidRDefault="002E72D6">
      <w:pPr>
        <w:spacing w:after="0" w:line="240" w:lineRule="auto"/>
      </w:pPr>
      <w:r>
        <w:separator/>
      </w:r>
    </w:p>
  </w:footnote>
  <w:footnote w:type="continuationSeparator" w:id="0">
    <w:p w:rsidR="002E72D6" w:rsidRDefault="002E72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E56" w:rsidRDefault="0021380E">
    <w:pPr>
      <w:spacing w:after="0" w:line="200" w:lineRule="exact"/>
      <w:rPr>
        <w:sz w:val="20"/>
        <w:szCs w:val="20"/>
      </w:rPr>
    </w:pPr>
    <w:r>
      <w:rPr>
        <w:noProof/>
        <w:lang w:eastAsia="zh-CN"/>
      </w:rPr>
      <mc:AlternateContent>
        <mc:Choice Requires="wps">
          <w:drawing>
            <wp:anchor distT="0" distB="0" distL="114300" distR="114300" simplePos="0" relativeHeight="251657728" behindDoc="1" locked="0" layoutInCell="1" allowOverlap="1" wp14:anchorId="197D38EC" wp14:editId="73FD6B9B">
              <wp:simplePos x="0" y="0"/>
              <wp:positionH relativeFrom="page">
                <wp:posOffset>4086225</wp:posOffset>
              </wp:positionH>
              <wp:positionV relativeFrom="page">
                <wp:posOffset>153670</wp:posOffset>
              </wp:positionV>
              <wp:extent cx="1944370" cy="711835"/>
              <wp:effectExtent l="0" t="0" r="17780"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E56" w:rsidRDefault="007B2465" w:rsidP="008B6C1B">
                          <w:pPr>
                            <w:spacing w:after="0" w:line="245" w:lineRule="exact"/>
                            <w:ind w:left="166" w:right="-20"/>
                            <w:jc w:val="center"/>
                            <w:rPr>
                              <w:rFonts w:ascii="Times New Roman" w:eastAsia="Times New Roman" w:hAnsi="Times New Roman" w:cs="Times New Roman"/>
                            </w:rPr>
                          </w:pPr>
                          <w:r>
                            <w:rPr>
                              <w:rFonts w:ascii="Times New Roman" w:eastAsia="Times New Roman" w:hAnsi="Times New Roman" w:cs="Times New Roman"/>
                              <w:b/>
                              <w:bCs/>
                              <w:spacing w:val="6"/>
                            </w:rPr>
                            <w:t>B</w:t>
                          </w:r>
                          <w:r>
                            <w:rPr>
                              <w:rFonts w:ascii="Times New Roman" w:eastAsia="Times New Roman" w:hAnsi="Times New Roman" w:cs="Times New Roman"/>
                              <w:b/>
                              <w:bCs/>
                            </w:rPr>
                            <w:t>ank</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0"/>
                            </w:rPr>
                            <w:t>o</w:t>
                          </w:r>
                          <w:r>
                            <w:rPr>
                              <w:rFonts w:ascii="Times New Roman" w:eastAsia="Times New Roman" w:hAnsi="Times New Roman" w:cs="Times New Roman"/>
                              <w:b/>
                              <w:bCs/>
                            </w:rPr>
                            <w:t>f</w:t>
                          </w:r>
                          <w:r>
                            <w:rPr>
                              <w:rFonts w:ascii="Times New Roman" w:eastAsia="Times New Roman" w:hAnsi="Times New Roman" w:cs="Times New Roman"/>
                              <w:b/>
                              <w:bCs/>
                              <w:spacing w:val="6"/>
                            </w:rPr>
                            <w:t xml:space="preserve"> </w:t>
                          </w:r>
                          <w:r>
                            <w:rPr>
                              <w:rFonts w:ascii="Times New Roman" w:eastAsia="Times New Roman" w:hAnsi="Times New Roman" w:cs="Times New Roman"/>
                              <w:b/>
                              <w:bCs/>
                              <w:spacing w:val="-1"/>
                            </w:rPr>
                            <w:t>C</w:t>
                          </w:r>
                          <w:r>
                            <w:rPr>
                              <w:rFonts w:ascii="Times New Roman" w:eastAsia="Times New Roman" w:hAnsi="Times New Roman" w:cs="Times New Roman"/>
                              <w:b/>
                              <w:bCs/>
                            </w:rPr>
                            <w:t>h</w:t>
                          </w:r>
                          <w:r>
                            <w:rPr>
                              <w:rFonts w:ascii="Times New Roman" w:eastAsia="Times New Roman" w:hAnsi="Times New Roman" w:cs="Times New Roman"/>
                              <w:b/>
                              <w:bCs/>
                              <w:spacing w:val="1"/>
                            </w:rPr>
                            <w:t>i</w:t>
                          </w:r>
                          <w:r>
                            <w:rPr>
                              <w:rFonts w:ascii="Times New Roman" w:eastAsia="Times New Roman" w:hAnsi="Times New Roman" w:cs="Times New Roman"/>
                              <w:b/>
                              <w:bCs/>
                            </w:rPr>
                            <w:t>na</w:t>
                          </w:r>
                          <w:r>
                            <w:rPr>
                              <w:rFonts w:ascii="Times New Roman" w:eastAsia="Times New Roman" w:hAnsi="Times New Roman" w:cs="Times New Roman"/>
                              <w:b/>
                              <w:bCs/>
                              <w:spacing w:val="-2"/>
                            </w:rPr>
                            <w:t xml:space="preserve"> </w:t>
                          </w:r>
                          <w:r w:rsidR="00D420AF">
                            <w:rPr>
                              <w:rFonts w:ascii="Times New Roman" w:eastAsia="Times New Roman" w:hAnsi="Times New Roman" w:cs="Times New Roman"/>
                              <w:b/>
                              <w:bCs/>
                            </w:rPr>
                            <w:t>USA</w:t>
                          </w:r>
                        </w:p>
                        <w:p w:rsidR="0021380E" w:rsidRDefault="0021380E" w:rsidP="008B6C1B">
                          <w:pPr>
                            <w:spacing w:before="20" w:after="0" w:line="240" w:lineRule="auto"/>
                            <w:ind w:left="169" w:right="-20"/>
                            <w:jc w:val="center"/>
                            <w:rPr>
                              <w:rFonts w:ascii="Times New Roman" w:eastAsia="Times New Roman" w:hAnsi="Times New Roman" w:cs="Times New Roman"/>
                              <w:b/>
                              <w:bCs/>
                              <w:spacing w:val="-2"/>
                            </w:rPr>
                          </w:pPr>
                        </w:p>
                        <w:p w:rsidR="0021380E" w:rsidRDefault="0021380E" w:rsidP="0021380E">
                          <w:pPr>
                            <w:spacing w:after="0" w:line="252" w:lineRule="exact"/>
                            <w:ind w:left="-17" w:right="-37"/>
                            <w:jc w:val="center"/>
                            <w:rPr>
                              <w:rFonts w:ascii="Times New Roman" w:eastAsia="Times New Roman" w:hAnsi="Times New Roman" w:cs="Times New Roman"/>
                            </w:rPr>
                          </w:pPr>
                          <w:r>
                            <w:rPr>
                              <w:rFonts w:ascii="Times New Roman" w:eastAsia="Times New Roman" w:hAnsi="Times New Roman" w:cs="Times New Roman"/>
                              <w:b/>
                              <w:bCs/>
                              <w:spacing w:val="-1"/>
                            </w:rPr>
                            <w:t>Fed MRA R</w:t>
                          </w:r>
                          <w:r>
                            <w:rPr>
                              <w:rFonts w:ascii="Times New Roman" w:eastAsia="Times New Roman" w:hAnsi="Times New Roman" w:cs="Times New Roman"/>
                              <w:b/>
                              <w:bCs/>
                              <w:spacing w:val="-4"/>
                            </w:rPr>
                            <w:t>e</w:t>
                          </w:r>
                          <w:r>
                            <w:rPr>
                              <w:rFonts w:ascii="Times New Roman" w:eastAsia="Times New Roman" w:hAnsi="Times New Roman" w:cs="Times New Roman"/>
                              <w:b/>
                              <w:bCs/>
                              <w:spacing w:val="1"/>
                            </w:rPr>
                            <w:t>m</w:t>
                          </w:r>
                          <w:r>
                            <w:rPr>
                              <w:rFonts w:ascii="Times New Roman" w:eastAsia="Times New Roman" w:hAnsi="Times New Roman" w:cs="Times New Roman"/>
                              <w:b/>
                              <w:bCs/>
                              <w:spacing w:val="-9"/>
                            </w:rPr>
                            <w:t>e</w:t>
                          </w:r>
                          <w:r>
                            <w:rPr>
                              <w:rFonts w:ascii="Times New Roman" w:eastAsia="Times New Roman" w:hAnsi="Times New Roman" w:cs="Times New Roman"/>
                              <w:b/>
                              <w:bCs/>
                            </w:rPr>
                            <w:t>d</w:t>
                          </w:r>
                          <w:r>
                            <w:rPr>
                              <w:rFonts w:ascii="Times New Roman" w:eastAsia="Times New Roman" w:hAnsi="Times New Roman" w:cs="Times New Roman"/>
                              <w:b/>
                              <w:bCs/>
                              <w:spacing w:val="1"/>
                            </w:rPr>
                            <w:t>i</w:t>
                          </w:r>
                          <w:r>
                            <w:rPr>
                              <w:rFonts w:ascii="Times New Roman" w:eastAsia="Times New Roman" w:hAnsi="Times New Roman" w:cs="Times New Roman"/>
                              <w:b/>
                              <w:bCs/>
                            </w:rPr>
                            <w:t>a</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rPr>
                            <w:t>on Package</w:t>
                          </w:r>
                        </w:p>
                        <w:p w:rsidR="0021380E" w:rsidRDefault="0021380E" w:rsidP="008B6C1B">
                          <w:pPr>
                            <w:spacing w:before="20" w:after="0" w:line="240" w:lineRule="auto"/>
                            <w:ind w:left="169" w:right="-20"/>
                            <w:jc w:val="center"/>
                            <w:rPr>
                              <w:rFonts w:ascii="Times New Roman" w:eastAsia="Times New Roman" w:hAnsi="Times New Roman" w:cs="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1.75pt;margin-top:12.1pt;width:153.1pt;height:5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nwrAIAAKk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" filled="f" stroked="f">
              <v:textbox inset="0,0,0,0">
                <w:txbxContent>
                  <w:p w:rsidR="009D7E56" w:rsidRDefault="007B2465" w:rsidP="008B6C1B">
                    <w:pPr>
                      <w:spacing w:after="0" w:line="245" w:lineRule="exact"/>
                      <w:ind w:left="166" w:right="-20"/>
                      <w:jc w:val="center"/>
                      <w:rPr>
                        <w:rFonts w:ascii="Times New Roman" w:eastAsia="Times New Roman" w:hAnsi="Times New Roman" w:cs="Times New Roman"/>
                      </w:rPr>
                    </w:pPr>
                    <w:r>
                      <w:rPr>
                        <w:rFonts w:ascii="Times New Roman" w:eastAsia="Times New Roman" w:hAnsi="Times New Roman" w:cs="Times New Roman"/>
                        <w:b/>
                        <w:bCs/>
                        <w:spacing w:val="6"/>
                      </w:rPr>
                      <w:t>B</w:t>
                    </w:r>
                    <w:r>
                      <w:rPr>
                        <w:rFonts w:ascii="Times New Roman" w:eastAsia="Times New Roman" w:hAnsi="Times New Roman" w:cs="Times New Roman"/>
                        <w:b/>
                        <w:bCs/>
                      </w:rPr>
                      <w:t>ank</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0"/>
                      </w:rPr>
                      <w:t>o</w:t>
                    </w:r>
                    <w:r>
                      <w:rPr>
                        <w:rFonts w:ascii="Times New Roman" w:eastAsia="Times New Roman" w:hAnsi="Times New Roman" w:cs="Times New Roman"/>
                        <w:b/>
                        <w:bCs/>
                      </w:rPr>
                      <w:t>f</w:t>
                    </w:r>
                    <w:r>
                      <w:rPr>
                        <w:rFonts w:ascii="Times New Roman" w:eastAsia="Times New Roman" w:hAnsi="Times New Roman" w:cs="Times New Roman"/>
                        <w:b/>
                        <w:bCs/>
                        <w:spacing w:val="6"/>
                      </w:rPr>
                      <w:t xml:space="preserve"> </w:t>
                    </w:r>
                    <w:r>
                      <w:rPr>
                        <w:rFonts w:ascii="Times New Roman" w:eastAsia="Times New Roman" w:hAnsi="Times New Roman" w:cs="Times New Roman"/>
                        <w:b/>
                        <w:bCs/>
                        <w:spacing w:val="-1"/>
                      </w:rPr>
                      <w:t>C</w:t>
                    </w:r>
                    <w:r>
                      <w:rPr>
                        <w:rFonts w:ascii="Times New Roman" w:eastAsia="Times New Roman" w:hAnsi="Times New Roman" w:cs="Times New Roman"/>
                        <w:b/>
                        <w:bCs/>
                      </w:rPr>
                      <w:t>h</w:t>
                    </w:r>
                    <w:r>
                      <w:rPr>
                        <w:rFonts w:ascii="Times New Roman" w:eastAsia="Times New Roman" w:hAnsi="Times New Roman" w:cs="Times New Roman"/>
                        <w:b/>
                        <w:bCs/>
                        <w:spacing w:val="1"/>
                      </w:rPr>
                      <w:t>i</w:t>
                    </w:r>
                    <w:r>
                      <w:rPr>
                        <w:rFonts w:ascii="Times New Roman" w:eastAsia="Times New Roman" w:hAnsi="Times New Roman" w:cs="Times New Roman"/>
                        <w:b/>
                        <w:bCs/>
                      </w:rPr>
                      <w:t>na</w:t>
                    </w:r>
                    <w:r>
                      <w:rPr>
                        <w:rFonts w:ascii="Times New Roman" w:eastAsia="Times New Roman" w:hAnsi="Times New Roman" w:cs="Times New Roman"/>
                        <w:b/>
                        <w:bCs/>
                        <w:spacing w:val="-2"/>
                      </w:rPr>
                      <w:t xml:space="preserve"> </w:t>
                    </w:r>
                    <w:r w:rsidR="00D420AF">
                      <w:rPr>
                        <w:rFonts w:ascii="Times New Roman" w:eastAsia="Times New Roman" w:hAnsi="Times New Roman" w:cs="Times New Roman"/>
                        <w:b/>
                        <w:bCs/>
                      </w:rPr>
                      <w:t>USA</w:t>
                    </w:r>
                  </w:p>
                  <w:p w:rsidR="0021380E" w:rsidRDefault="0021380E" w:rsidP="008B6C1B">
                    <w:pPr>
                      <w:spacing w:before="20" w:after="0" w:line="240" w:lineRule="auto"/>
                      <w:ind w:left="169" w:right="-20"/>
                      <w:jc w:val="center"/>
                      <w:rPr>
                        <w:rFonts w:ascii="Times New Roman" w:eastAsia="Times New Roman" w:hAnsi="Times New Roman" w:cs="Times New Roman"/>
                        <w:b/>
                        <w:bCs/>
                        <w:spacing w:val="-2"/>
                      </w:rPr>
                    </w:pPr>
                  </w:p>
                  <w:p w:rsidR="0021380E" w:rsidRDefault="0021380E" w:rsidP="0021380E">
                    <w:pPr>
                      <w:spacing w:after="0" w:line="252" w:lineRule="exact"/>
                      <w:ind w:left="-17" w:right="-37"/>
                      <w:jc w:val="center"/>
                      <w:rPr>
                        <w:rFonts w:ascii="Times New Roman" w:eastAsia="Times New Roman" w:hAnsi="Times New Roman" w:cs="Times New Roman"/>
                      </w:rPr>
                    </w:pPr>
                    <w:r>
                      <w:rPr>
                        <w:rFonts w:ascii="Times New Roman" w:eastAsia="Times New Roman" w:hAnsi="Times New Roman" w:cs="Times New Roman"/>
                        <w:b/>
                        <w:bCs/>
                        <w:spacing w:val="-1"/>
                      </w:rPr>
                      <w:t>Fed MRA R</w:t>
                    </w:r>
                    <w:r>
                      <w:rPr>
                        <w:rFonts w:ascii="Times New Roman" w:eastAsia="Times New Roman" w:hAnsi="Times New Roman" w:cs="Times New Roman"/>
                        <w:b/>
                        <w:bCs/>
                        <w:spacing w:val="-4"/>
                      </w:rPr>
                      <w:t>e</w:t>
                    </w:r>
                    <w:r>
                      <w:rPr>
                        <w:rFonts w:ascii="Times New Roman" w:eastAsia="Times New Roman" w:hAnsi="Times New Roman" w:cs="Times New Roman"/>
                        <w:b/>
                        <w:bCs/>
                        <w:spacing w:val="1"/>
                      </w:rPr>
                      <w:t>m</w:t>
                    </w:r>
                    <w:r>
                      <w:rPr>
                        <w:rFonts w:ascii="Times New Roman" w:eastAsia="Times New Roman" w:hAnsi="Times New Roman" w:cs="Times New Roman"/>
                        <w:b/>
                        <w:bCs/>
                        <w:spacing w:val="-9"/>
                      </w:rPr>
                      <w:t>e</w:t>
                    </w:r>
                    <w:r>
                      <w:rPr>
                        <w:rFonts w:ascii="Times New Roman" w:eastAsia="Times New Roman" w:hAnsi="Times New Roman" w:cs="Times New Roman"/>
                        <w:b/>
                        <w:bCs/>
                      </w:rPr>
                      <w:t>d</w:t>
                    </w:r>
                    <w:r>
                      <w:rPr>
                        <w:rFonts w:ascii="Times New Roman" w:eastAsia="Times New Roman" w:hAnsi="Times New Roman" w:cs="Times New Roman"/>
                        <w:b/>
                        <w:bCs/>
                        <w:spacing w:val="1"/>
                      </w:rPr>
                      <w:t>i</w:t>
                    </w:r>
                    <w:r>
                      <w:rPr>
                        <w:rFonts w:ascii="Times New Roman" w:eastAsia="Times New Roman" w:hAnsi="Times New Roman" w:cs="Times New Roman"/>
                        <w:b/>
                        <w:bCs/>
                      </w:rPr>
                      <w:t>a</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rPr>
                      <w:t>on Package</w:t>
                    </w:r>
                  </w:p>
                  <w:p w:rsidR="0021380E" w:rsidRDefault="0021380E" w:rsidP="008B6C1B">
                    <w:pPr>
                      <w:spacing w:before="20" w:after="0" w:line="240" w:lineRule="auto"/>
                      <w:ind w:left="169" w:right="-20"/>
                      <w:jc w:val="center"/>
                      <w:rPr>
                        <w:rFonts w:ascii="Times New Roman" w:eastAsia="Times New Roman" w:hAnsi="Times New Roman" w:cs="Times New Roman"/>
                      </w:rPr>
                    </w:pPr>
                  </w:p>
                </w:txbxContent>
              </v:textbox>
              <w10:wrap anchorx="page" anchory="page"/>
            </v:shape>
          </w:pict>
        </mc:Fallback>
      </mc:AlternateContent>
    </w:r>
    <w:r w:rsidR="0028683A">
      <w:rPr>
        <w:noProof/>
        <w:lang w:eastAsia="zh-CN"/>
      </w:rPr>
      <w:drawing>
        <wp:anchor distT="0" distB="0" distL="114300" distR="114300" simplePos="0" relativeHeight="251658752" behindDoc="1" locked="0" layoutInCell="1" allowOverlap="1" wp14:anchorId="5C160A26" wp14:editId="549042C6">
          <wp:simplePos x="0" y="0"/>
          <wp:positionH relativeFrom="margin">
            <wp:posOffset>6129818</wp:posOffset>
          </wp:positionH>
          <wp:positionV relativeFrom="paragraph">
            <wp:posOffset>26670</wp:posOffset>
          </wp:positionV>
          <wp:extent cx="1755972" cy="603255"/>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png"/>
                  <pic:cNvPicPr/>
                </pic:nvPicPr>
                <pic:blipFill>
                  <a:blip r:embed="rId1">
                    <a:extLst>
                      <a:ext uri="{28A0092B-C50C-407E-A947-70E740481C1C}">
                        <a14:useLocalDpi xmlns:a14="http://schemas.microsoft.com/office/drawing/2010/main" val="0"/>
                      </a:ext>
                    </a:extLst>
                  </a:blip>
                  <a:stretch>
                    <a:fillRect/>
                  </a:stretch>
                </pic:blipFill>
                <pic:spPr>
                  <a:xfrm>
                    <a:off x="0" y="0"/>
                    <a:ext cx="1755972" cy="6032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71DE"/>
    <w:multiLevelType w:val="hybridMultilevel"/>
    <w:tmpl w:val="8C10DB46"/>
    <w:lvl w:ilvl="0" w:tplc="05587E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F715F"/>
    <w:multiLevelType w:val="hybridMultilevel"/>
    <w:tmpl w:val="45EC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26CE9"/>
    <w:multiLevelType w:val="hybridMultilevel"/>
    <w:tmpl w:val="44DE7DA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C47AB9"/>
    <w:multiLevelType w:val="hybridMultilevel"/>
    <w:tmpl w:val="DD54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F00B4B"/>
    <w:multiLevelType w:val="hybridMultilevel"/>
    <w:tmpl w:val="C1FEE308"/>
    <w:lvl w:ilvl="0" w:tplc="E012C052">
      <w:start w:val="1"/>
      <w:numFmt w:val="bullet"/>
      <w:lvlText w:val="‐"/>
      <w:lvlJc w:val="left"/>
      <w:pPr>
        <w:ind w:left="795" w:hanging="360"/>
      </w:pPr>
      <w:rPr>
        <w:rFonts w:ascii="Calibri" w:hAnsi="Calibr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nsid w:val="63324847"/>
    <w:multiLevelType w:val="hybridMultilevel"/>
    <w:tmpl w:val="DEB6A6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trackRevisions/>
  <w:defaultTabStop w:val="720"/>
  <w:drawingGridHorizontalSpacing w:val="110"/>
  <w:displayHorizontalDrawingGridEvery w:val="2"/>
  <w:characterSpacingControl w:val="doNotCompress"/>
  <w:hdrShapeDefaults>
    <o:shapedefaults v:ext="edit" spidmax="7577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AWin_Audit_ID" w:val="1B29ACE3244E47ACA104C86C1865ADC9"/>
    <w:docVar w:name="AAWin_Doc_ID" w:val="9E47F990B4D34878984E388AB13F0B1A"/>
    <w:docVar w:name="Attachment_Key" w:val="310E2089CF0D4082966DBD1C984D059A"/>
    <w:docVar w:name="ValidSession" w:val="True"/>
  </w:docVars>
  <w:rsids>
    <w:rsidRoot w:val="009D7E56"/>
    <w:rsid w:val="00001A56"/>
    <w:rsid w:val="00001C7D"/>
    <w:rsid w:val="00005AD5"/>
    <w:rsid w:val="00016695"/>
    <w:rsid w:val="000362CA"/>
    <w:rsid w:val="000367D9"/>
    <w:rsid w:val="0006036E"/>
    <w:rsid w:val="00060751"/>
    <w:rsid w:val="00073201"/>
    <w:rsid w:val="00084AF6"/>
    <w:rsid w:val="00084BE4"/>
    <w:rsid w:val="000B4F4D"/>
    <w:rsid w:val="000D23AF"/>
    <w:rsid w:val="000D72A7"/>
    <w:rsid w:val="000E2A1D"/>
    <w:rsid w:val="000F0EF2"/>
    <w:rsid w:val="000F74D0"/>
    <w:rsid w:val="00111845"/>
    <w:rsid w:val="00133FE5"/>
    <w:rsid w:val="0018159A"/>
    <w:rsid w:val="001926BA"/>
    <w:rsid w:val="001D34E5"/>
    <w:rsid w:val="001E0318"/>
    <w:rsid w:val="00212154"/>
    <w:rsid w:val="0021380E"/>
    <w:rsid w:val="00220928"/>
    <w:rsid w:val="0027239C"/>
    <w:rsid w:val="0028683A"/>
    <w:rsid w:val="002877AA"/>
    <w:rsid w:val="002A22C8"/>
    <w:rsid w:val="002D670A"/>
    <w:rsid w:val="002E1447"/>
    <w:rsid w:val="002E72D6"/>
    <w:rsid w:val="002F4A16"/>
    <w:rsid w:val="0032157B"/>
    <w:rsid w:val="00342482"/>
    <w:rsid w:val="0035111F"/>
    <w:rsid w:val="00362646"/>
    <w:rsid w:val="00370E9D"/>
    <w:rsid w:val="00371587"/>
    <w:rsid w:val="003A0F63"/>
    <w:rsid w:val="003C71E6"/>
    <w:rsid w:val="003D16C3"/>
    <w:rsid w:val="003D2292"/>
    <w:rsid w:val="003E229B"/>
    <w:rsid w:val="003F6127"/>
    <w:rsid w:val="00400973"/>
    <w:rsid w:val="00415EE6"/>
    <w:rsid w:val="00432AB3"/>
    <w:rsid w:val="00441360"/>
    <w:rsid w:val="00447426"/>
    <w:rsid w:val="00454450"/>
    <w:rsid w:val="00460AED"/>
    <w:rsid w:val="0048231F"/>
    <w:rsid w:val="004939C3"/>
    <w:rsid w:val="004A70C9"/>
    <w:rsid w:val="004B041B"/>
    <w:rsid w:val="004B156B"/>
    <w:rsid w:val="004C3B31"/>
    <w:rsid w:val="004C3F49"/>
    <w:rsid w:val="0050772C"/>
    <w:rsid w:val="00513974"/>
    <w:rsid w:val="005159E8"/>
    <w:rsid w:val="005216B0"/>
    <w:rsid w:val="005227A7"/>
    <w:rsid w:val="00523A78"/>
    <w:rsid w:val="00531345"/>
    <w:rsid w:val="0053682D"/>
    <w:rsid w:val="00575FC3"/>
    <w:rsid w:val="005900E4"/>
    <w:rsid w:val="005B6291"/>
    <w:rsid w:val="005C0E63"/>
    <w:rsid w:val="005D783E"/>
    <w:rsid w:val="005E3481"/>
    <w:rsid w:val="005F483F"/>
    <w:rsid w:val="00612186"/>
    <w:rsid w:val="00627231"/>
    <w:rsid w:val="0064065E"/>
    <w:rsid w:val="006468F6"/>
    <w:rsid w:val="00647256"/>
    <w:rsid w:val="006537E9"/>
    <w:rsid w:val="00656397"/>
    <w:rsid w:val="00665DCC"/>
    <w:rsid w:val="00667D51"/>
    <w:rsid w:val="00684A0B"/>
    <w:rsid w:val="006A67D9"/>
    <w:rsid w:val="006B13BC"/>
    <w:rsid w:val="006B7240"/>
    <w:rsid w:val="006D336A"/>
    <w:rsid w:val="006F0888"/>
    <w:rsid w:val="00724322"/>
    <w:rsid w:val="007265A3"/>
    <w:rsid w:val="00737590"/>
    <w:rsid w:val="00745090"/>
    <w:rsid w:val="0075558A"/>
    <w:rsid w:val="007607E9"/>
    <w:rsid w:val="007744F4"/>
    <w:rsid w:val="00791E32"/>
    <w:rsid w:val="007A1393"/>
    <w:rsid w:val="007B2465"/>
    <w:rsid w:val="007B2CB4"/>
    <w:rsid w:val="007C7126"/>
    <w:rsid w:val="007D4A58"/>
    <w:rsid w:val="007E4D67"/>
    <w:rsid w:val="008038D2"/>
    <w:rsid w:val="0084106C"/>
    <w:rsid w:val="0084164F"/>
    <w:rsid w:val="0084240C"/>
    <w:rsid w:val="00842B9C"/>
    <w:rsid w:val="00843371"/>
    <w:rsid w:val="0086178A"/>
    <w:rsid w:val="00863071"/>
    <w:rsid w:val="00897084"/>
    <w:rsid w:val="008A0469"/>
    <w:rsid w:val="008B6C1B"/>
    <w:rsid w:val="008D0C3E"/>
    <w:rsid w:val="008E7897"/>
    <w:rsid w:val="008F7970"/>
    <w:rsid w:val="008F7BCB"/>
    <w:rsid w:val="00904E6F"/>
    <w:rsid w:val="00924350"/>
    <w:rsid w:val="00946251"/>
    <w:rsid w:val="00980821"/>
    <w:rsid w:val="009812AA"/>
    <w:rsid w:val="00991E79"/>
    <w:rsid w:val="009C49CA"/>
    <w:rsid w:val="009C521A"/>
    <w:rsid w:val="009D5C46"/>
    <w:rsid w:val="009D7E56"/>
    <w:rsid w:val="00A30BC8"/>
    <w:rsid w:val="00A71F98"/>
    <w:rsid w:val="00AE156F"/>
    <w:rsid w:val="00AF6596"/>
    <w:rsid w:val="00B0547C"/>
    <w:rsid w:val="00B075BB"/>
    <w:rsid w:val="00B07B17"/>
    <w:rsid w:val="00B37642"/>
    <w:rsid w:val="00B37D92"/>
    <w:rsid w:val="00B4035B"/>
    <w:rsid w:val="00B53A1F"/>
    <w:rsid w:val="00B57E11"/>
    <w:rsid w:val="00B76D77"/>
    <w:rsid w:val="00B77905"/>
    <w:rsid w:val="00B81866"/>
    <w:rsid w:val="00BA7E69"/>
    <w:rsid w:val="00BB0FFF"/>
    <w:rsid w:val="00BC353C"/>
    <w:rsid w:val="00BD093A"/>
    <w:rsid w:val="00BD3B56"/>
    <w:rsid w:val="00BD5641"/>
    <w:rsid w:val="00C23AD3"/>
    <w:rsid w:val="00C23FD3"/>
    <w:rsid w:val="00C309B4"/>
    <w:rsid w:val="00C45758"/>
    <w:rsid w:val="00C570D0"/>
    <w:rsid w:val="00C71F38"/>
    <w:rsid w:val="00C74CAC"/>
    <w:rsid w:val="00CB3B07"/>
    <w:rsid w:val="00CB3F1F"/>
    <w:rsid w:val="00CD7DD2"/>
    <w:rsid w:val="00D00908"/>
    <w:rsid w:val="00D10350"/>
    <w:rsid w:val="00D32B1C"/>
    <w:rsid w:val="00D420AF"/>
    <w:rsid w:val="00D4400C"/>
    <w:rsid w:val="00D53647"/>
    <w:rsid w:val="00D56986"/>
    <w:rsid w:val="00D600DC"/>
    <w:rsid w:val="00D71C2F"/>
    <w:rsid w:val="00D77BE7"/>
    <w:rsid w:val="00D87785"/>
    <w:rsid w:val="00DA137E"/>
    <w:rsid w:val="00DA2BF1"/>
    <w:rsid w:val="00DA749E"/>
    <w:rsid w:val="00DD2A47"/>
    <w:rsid w:val="00DE2885"/>
    <w:rsid w:val="00DF50F6"/>
    <w:rsid w:val="00E305B2"/>
    <w:rsid w:val="00E33F17"/>
    <w:rsid w:val="00E3478A"/>
    <w:rsid w:val="00E43369"/>
    <w:rsid w:val="00E64168"/>
    <w:rsid w:val="00E9109A"/>
    <w:rsid w:val="00EA4D67"/>
    <w:rsid w:val="00ED304B"/>
    <w:rsid w:val="00ED74FA"/>
    <w:rsid w:val="00EE0B68"/>
    <w:rsid w:val="00F007A7"/>
    <w:rsid w:val="00F079B6"/>
    <w:rsid w:val="00F221BD"/>
    <w:rsid w:val="00F25301"/>
    <w:rsid w:val="00F321F5"/>
    <w:rsid w:val="00F34C8D"/>
    <w:rsid w:val="00F35034"/>
    <w:rsid w:val="00F47B91"/>
    <w:rsid w:val="00F60081"/>
    <w:rsid w:val="00F818FD"/>
    <w:rsid w:val="00F84651"/>
    <w:rsid w:val="00F85B6E"/>
    <w:rsid w:val="00F92AD4"/>
    <w:rsid w:val="00F93C3E"/>
    <w:rsid w:val="00FD150E"/>
    <w:rsid w:val="00FD186C"/>
    <w:rsid w:val="00FE1FD4"/>
    <w:rsid w:val="00FE6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57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253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5301"/>
    <w:rPr>
      <w:sz w:val="20"/>
      <w:szCs w:val="20"/>
    </w:rPr>
  </w:style>
  <w:style w:type="character" w:styleId="FootnoteReference">
    <w:name w:val="footnote reference"/>
    <w:basedOn w:val="DefaultParagraphFont"/>
    <w:uiPriority w:val="99"/>
    <w:semiHidden/>
    <w:unhideWhenUsed/>
    <w:rsid w:val="00F25301"/>
    <w:rPr>
      <w:vertAlign w:val="superscript"/>
    </w:rPr>
  </w:style>
  <w:style w:type="table" w:styleId="TableGrid">
    <w:name w:val="Table Grid"/>
    <w:basedOn w:val="TableNormal"/>
    <w:uiPriority w:val="59"/>
    <w:rsid w:val="0040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0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B2"/>
  </w:style>
  <w:style w:type="paragraph" w:styleId="Footer">
    <w:name w:val="footer"/>
    <w:basedOn w:val="Normal"/>
    <w:link w:val="FooterChar"/>
    <w:uiPriority w:val="99"/>
    <w:unhideWhenUsed/>
    <w:rsid w:val="00E30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B2"/>
  </w:style>
  <w:style w:type="paragraph" w:customStyle="1" w:styleId="Default">
    <w:name w:val="Default"/>
    <w:rsid w:val="00EA4D67"/>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37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D92"/>
    <w:rPr>
      <w:rFonts w:ascii="Tahoma" w:hAnsi="Tahoma" w:cs="Tahoma"/>
      <w:sz w:val="16"/>
      <w:szCs w:val="16"/>
    </w:rPr>
  </w:style>
  <w:style w:type="paragraph" w:styleId="ListParagraph">
    <w:name w:val="List Paragraph"/>
    <w:basedOn w:val="Normal"/>
    <w:uiPriority w:val="34"/>
    <w:qFormat/>
    <w:rsid w:val="00BD5641"/>
    <w:pPr>
      <w:ind w:left="720"/>
      <w:contextualSpacing/>
    </w:pPr>
  </w:style>
  <w:style w:type="paragraph" w:styleId="NormalWeb">
    <w:name w:val="Normal (Web)"/>
    <w:basedOn w:val="Normal"/>
    <w:uiPriority w:val="99"/>
    <w:semiHidden/>
    <w:unhideWhenUsed/>
    <w:rsid w:val="00DF50F6"/>
    <w:pPr>
      <w:widowControl/>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CommentReference">
    <w:name w:val="annotation reference"/>
    <w:basedOn w:val="DefaultParagraphFont"/>
    <w:uiPriority w:val="99"/>
    <w:semiHidden/>
    <w:unhideWhenUsed/>
    <w:rsid w:val="00924350"/>
    <w:rPr>
      <w:sz w:val="16"/>
      <w:szCs w:val="16"/>
    </w:rPr>
  </w:style>
  <w:style w:type="paragraph" w:styleId="CommentText">
    <w:name w:val="annotation text"/>
    <w:basedOn w:val="Normal"/>
    <w:link w:val="CommentTextChar"/>
    <w:uiPriority w:val="99"/>
    <w:semiHidden/>
    <w:unhideWhenUsed/>
    <w:rsid w:val="00924350"/>
    <w:pPr>
      <w:spacing w:line="240" w:lineRule="auto"/>
    </w:pPr>
    <w:rPr>
      <w:sz w:val="20"/>
      <w:szCs w:val="20"/>
    </w:rPr>
  </w:style>
  <w:style w:type="character" w:customStyle="1" w:styleId="CommentTextChar">
    <w:name w:val="Comment Text Char"/>
    <w:basedOn w:val="DefaultParagraphFont"/>
    <w:link w:val="CommentText"/>
    <w:uiPriority w:val="99"/>
    <w:semiHidden/>
    <w:rsid w:val="00924350"/>
    <w:rPr>
      <w:sz w:val="20"/>
      <w:szCs w:val="20"/>
    </w:rPr>
  </w:style>
  <w:style w:type="paragraph" w:styleId="CommentSubject">
    <w:name w:val="annotation subject"/>
    <w:basedOn w:val="CommentText"/>
    <w:next w:val="CommentText"/>
    <w:link w:val="CommentSubjectChar"/>
    <w:uiPriority w:val="99"/>
    <w:semiHidden/>
    <w:unhideWhenUsed/>
    <w:rsid w:val="00924350"/>
    <w:rPr>
      <w:b/>
      <w:bCs/>
    </w:rPr>
  </w:style>
  <w:style w:type="character" w:customStyle="1" w:styleId="CommentSubjectChar">
    <w:name w:val="Comment Subject Char"/>
    <w:basedOn w:val="CommentTextChar"/>
    <w:link w:val="CommentSubject"/>
    <w:uiPriority w:val="99"/>
    <w:semiHidden/>
    <w:rsid w:val="0092435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253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5301"/>
    <w:rPr>
      <w:sz w:val="20"/>
      <w:szCs w:val="20"/>
    </w:rPr>
  </w:style>
  <w:style w:type="character" w:styleId="FootnoteReference">
    <w:name w:val="footnote reference"/>
    <w:basedOn w:val="DefaultParagraphFont"/>
    <w:uiPriority w:val="99"/>
    <w:semiHidden/>
    <w:unhideWhenUsed/>
    <w:rsid w:val="00F25301"/>
    <w:rPr>
      <w:vertAlign w:val="superscript"/>
    </w:rPr>
  </w:style>
  <w:style w:type="table" w:styleId="TableGrid">
    <w:name w:val="Table Grid"/>
    <w:basedOn w:val="TableNormal"/>
    <w:uiPriority w:val="59"/>
    <w:rsid w:val="0040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0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B2"/>
  </w:style>
  <w:style w:type="paragraph" w:styleId="Footer">
    <w:name w:val="footer"/>
    <w:basedOn w:val="Normal"/>
    <w:link w:val="FooterChar"/>
    <w:uiPriority w:val="99"/>
    <w:unhideWhenUsed/>
    <w:rsid w:val="00E30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B2"/>
  </w:style>
  <w:style w:type="paragraph" w:customStyle="1" w:styleId="Default">
    <w:name w:val="Default"/>
    <w:rsid w:val="00EA4D67"/>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37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D92"/>
    <w:rPr>
      <w:rFonts w:ascii="Tahoma" w:hAnsi="Tahoma" w:cs="Tahoma"/>
      <w:sz w:val="16"/>
      <w:szCs w:val="16"/>
    </w:rPr>
  </w:style>
  <w:style w:type="paragraph" w:styleId="ListParagraph">
    <w:name w:val="List Paragraph"/>
    <w:basedOn w:val="Normal"/>
    <w:uiPriority w:val="34"/>
    <w:qFormat/>
    <w:rsid w:val="00BD5641"/>
    <w:pPr>
      <w:ind w:left="720"/>
      <w:contextualSpacing/>
    </w:pPr>
  </w:style>
  <w:style w:type="paragraph" w:styleId="NormalWeb">
    <w:name w:val="Normal (Web)"/>
    <w:basedOn w:val="Normal"/>
    <w:uiPriority w:val="99"/>
    <w:semiHidden/>
    <w:unhideWhenUsed/>
    <w:rsid w:val="00DF50F6"/>
    <w:pPr>
      <w:widowControl/>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CommentReference">
    <w:name w:val="annotation reference"/>
    <w:basedOn w:val="DefaultParagraphFont"/>
    <w:uiPriority w:val="99"/>
    <w:semiHidden/>
    <w:unhideWhenUsed/>
    <w:rsid w:val="00924350"/>
    <w:rPr>
      <w:sz w:val="16"/>
      <w:szCs w:val="16"/>
    </w:rPr>
  </w:style>
  <w:style w:type="paragraph" w:styleId="CommentText">
    <w:name w:val="annotation text"/>
    <w:basedOn w:val="Normal"/>
    <w:link w:val="CommentTextChar"/>
    <w:uiPriority w:val="99"/>
    <w:semiHidden/>
    <w:unhideWhenUsed/>
    <w:rsid w:val="00924350"/>
    <w:pPr>
      <w:spacing w:line="240" w:lineRule="auto"/>
    </w:pPr>
    <w:rPr>
      <w:sz w:val="20"/>
      <w:szCs w:val="20"/>
    </w:rPr>
  </w:style>
  <w:style w:type="character" w:customStyle="1" w:styleId="CommentTextChar">
    <w:name w:val="Comment Text Char"/>
    <w:basedOn w:val="DefaultParagraphFont"/>
    <w:link w:val="CommentText"/>
    <w:uiPriority w:val="99"/>
    <w:semiHidden/>
    <w:rsid w:val="00924350"/>
    <w:rPr>
      <w:sz w:val="20"/>
      <w:szCs w:val="20"/>
    </w:rPr>
  </w:style>
  <w:style w:type="paragraph" w:styleId="CommentSubject">
    <w:name w:val="annotation subject"/>
    <w:basedOn w:val="CommentText"/>
    <w:next w:val="CommentText"/>
    <w:link w:val="CommentSubjectChar"/>
    <w:uiPriority w:val="99"/>
    <w:semiHidden/>
    <w:unhideWhenUsed/>
    <w:rsid w:val="00924350"/>
    <w:rPr>
      <w:b/>
      <w:bCs/>
    </w:rPr>
  </w:style>
  <w:style w:type="character" w:customStyle="1" w:styleId="CommentSubjectChar">
    <w:name w:val="Comment Subject Char"/>
    <w:basedOn w:val="CommentTextChar"/>
    <w:link w:val="CommentSubject"/>
    <w:uiPriority w:val="99"/>
    <w:semiHidden/>
    <w:rsid w:val="009243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29659">
      <w:bodyDiv w:val="1"/>
      <w:marLeft w:val="0"/>
      <w:marRight w:val="0"/>
      <w:marTop w:val="0"/>
      <w:marBottom w:val="0"/>
      <w:divBdr>
        <w:top w:val="none" w:sz="0" w:space="0" w:color="auto"/>
        <w:left w:val="none" w:sz="0" w:space="0" w:color="auto"/>
        <w:bottom w:val="none" w:sz="0" w:space="0" w:color="auto"/>
        <w:right w:val="none" w:sz="0" w:space="0" w:color="auto"/>
      </w:divBdr>
    </w:div>
    <w:div w:id="88474385">
      <w:bodyDiv w:val="1"/>
      <w:marLeft w:val="0"/>
      <w:marRight w:val="0"/>
      <w:marTop w:val="0"/>
      <w:marBottom w:val="0"/>
      <w:divBdr>
        <w:top w:val="none" w:sz="0" w:space="0" w:color="auto"/>
        <w:left w:val="none" w:sz="0" w:space="0" w:color="auto"/>
        <w:bottom w:val="none" w:sz="0" w:space="0" w:color="auto"/>
        <w:right w:val="none" w:sz="0" w:space="0" w:color="auto"/>
      </w:divBdr>
    </w:div>
    <w:div w:id="300504929">
      <w:bodyDiv w:val="1"/>
      <w:marLeft w:val="0"/>
      <w:marRight w:val="0"/>
      <w:marTop w:val="0"/>
      <w:marBottom w:val="0"/>
      <w:divBdr>
        <w:top w:val="none" w:sz="0" w:space="0" w:color="auto"/>
        <w:left w:val="none" w:sz="0" w:space="0" w:color="auto"/>
        <w:bottom w:val="none" w:sz="0" w:space="0" w:color="auto"/>
        <w:right w:val="none" w:sz="0" w:space="0" w:color="auto"/>
      </w:divBdr>
    </w:div>
    <w:div w:id="882835827">
      <w:bodyDiv w:val="1"/>
      <w:marLeft w:val="0"/>
      <w:marRight w:val="0"/>
      <w:marTop w:val="0"/>
      <w:marBottom w:val="0"/>
      <w:divBdr>
        <w:top w:val="none" w:sz="0" w:space="0" w:color="auto"/>
        <w:left w:val="none" w:sz="0" w:space="0" w:color="auto"/>
        <w:bottom w:val="none" w:sz="0" w:space="0" w:color="auto"/>
        <w:right w:val="none" w:sz="0" w:space="0" w:color="auto"/>
      </w:divBdr>
    </w:div>
    <w:div w:id="937174590">
      <w:bodyDiv w:val="1"/>
      <w:marLeft w:val="0"/>
      <w:marRight w:val="0"/>
      <w:marTop w:val="0"/>
      <w:marBottom w:val="0"/>
      <w:divBdr>
        <w:top w:val="none" w:sz="0" w:space="0" w:color="auto"/>
        <w:left w:val="none" w:sz="0" w:space="0" w:color="auto"/>
        <w:bottom w:val="none" w:sz="0" w:space="0" w:color="auto"/>
        <w:right w:val="none" w:sz="0" w:space="0" w:color="auto"/>
      </w:divBdr>
    </w:div>
    <w:div w:id="964239203">
      <w:bodyDiv w:val="1"/>
      <w:marLeft w:val="0"/>
      <w:marRight w:val="0"/>
      <w:marTop w:val="0"/>
      <w:marBottom w:val="0"/>
      <w:divBdr>
        <w:top w:val="none" w:sz="0" w:space="0" w:color="auto"/>
        <w:left w:val="none" w:sz="0" w:space="0" w:color="auto"/>
        <w:bottom w:val="none" w:sz="0" w:space="0" w:color="auto"/>
        <w:right w:val="none" w:sz="0" w:space="0" w:color="auto"/>
      </w:divBdr>
    </w:div>
    <w:div w:id="1349675101">
      <w:bodyDiv w:val="1"/>
      <w:marLeft w:val="0"/>
      <w:marRight w:val="0"/>
      <w:marTop w:val="0"/>
      <w:marBottom w:val="0"/>
      <w:divBdr>
        <w:top w:val="none" w:sz="0" w:space="0" w:color="auto"/>
        <w:left w:val="none" w:sz="0" w:space="0" w:color="auto"/>
        <w:bottom w:val="none" w:sz="0" w:space="0" w:color="auto"/>
        <w:right w:val="none" w:sz="0" w:space="0" w:color="auto"/>
      </w:divBdr>
    </w:div>
    <w:div w:id="1911424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footer" Target="footer1.xml"/><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60145-7E75-4E06-9EF2-93C23A5AE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6</Pages>
  <Words>1406</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Promontory Financial Group</Company>
  <LinksUpToDate>false</LinksUpToDate>
  <CharactersWithSpaces>9407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Collin</dc:creator>
  <cp:lastModifiedBy>   </cp:lastModifiedBy>
  <cp:revision>57</cp:revision>
  <cp:lastPrinted>2017-10-31T18:48:00Z</cp:lastPrinted>
  <dcterms:created xsi:type="dcterms:W3CDTF">2017-10-27T14:34:00Z</dcterms:created>
  <dcterms:modified xsi:type="dcterms:W3CDTF">2017-10-31T18:49:00Z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2016-02-22T00:00:00Z</vt:filetime>
  </property>
  <property fmtid="{D5CDD505-2E9C-101B-9397-08002B2CF9AE}" pid="3" name="LastSaved">
    <vt:filetime>2016-03-08T00:00:00Z</vt:filetime>
  </property>
</Properties>
</file>