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DCF" w:rsidRDefault="001B1463" w:rsidP="004B4A5E">
      <w:pPr>
        <w:pStyle w:val="Heading1"/>
      </w:pPr>
      <w:r>
        <w:t>NERC LMTF Load Modeling Process</w:t>
      </w:r>
    </w:p>
    <w:p w:rsidR="00212270" w:rsidRPr="00212270" w:rsidRDefault="00212270" w:rsidP="00212270">
      <w:pPr>
        <w:pStyle w:val="NoSpacing"/>
        <w:rPr>
          <w:sz w:val="24"/>
          <w:szCs w:val="24"/>
        </w:rPr>
      </w:pPr>
      <w:r w:rsidRPr="00212270">
        <w:rPr>
          <w:sz w:val="24"/>
          <w:szCs w:val="24"/>
        </w:rPr>
        <w:t>Initial Draft: 2/26/2020</w:t>
      </w:r>
    </w:p>
    <w:p w:rsidR="00212270" w:rsidRDefault="00212270" w:rsidP="00212270">
      <w:pPr>
        <w:pStyle w:val="NoSpacing"/>
        <w:rPr>
          <w:sz w:val="24"/>
          <w:szCs w:val="24"/>
        </w:rPr>
      </w:pPr>
      <w:r w:rsidRPr="00212270">
        <w:rPr>
          <w:sz w:val="24"/>
          <w:szCs w:val="24"/>
        </w:rPr>
        <w:t xml:space="preserve">Tony </w:t>
      </w:r>
      <w:proofErr w:type="spellStart"/>
      <w:r w:rsidRPr="00212270">
        <w:rPr>
          <w:sz w:val="24"/>
          <w:szCs w:val="24"/>
        </w:rPr>
        <w:t>Faris</w:t>
      </w:r>
      <w:proofErr w:type="spellEnd"/>
      <w:r w:rsidRPr="00212270">
        <w:rPr>
          <w:sz w:val="24"/>
          <w:szCs w:val="24"/>
        </w:rPr>
        <w:t>, BPA</w:t>
      </w:r>
    </w:p>
    <w:p w:rsidR="00212270" w:rsidRPr="00212270" w:rsidRDefault="00212270" w:rsidP="00212270">
      <w:pPr>
        <w:pStyle w:val="NoSpacing"/>
        <w:rPr>
          <w:sz w:val="24"/>
          <w:szCs w:val="24"/>
        </w:rPr>
      </w:pPr>
    </w:p>
    <w:p w:rsidR="00B070D5" w:rsidRDefault="004B4A5E" w:rsidP="004B4A5E">
      <w:pPr>
        <w:pStyle w:val="Heading2"/>
      </w:pPr>
      <w:r>
        <w:t>Objectives</w:t>
      </w:r>
    </w:p>
    <w:p w:rsidR="005948CB" w:rsidRDefault="00A74D78" w:rsidP="00A74D78">
      <w:r>
        <w:t>A composite load model is used by planners across North America to run power system studies and simulate response of load to system events.  The development of load models can be a complex process, requiring engineering expertise to collect and interpret large amounts of historical measurement data.  The Load Modeling Task Force (LMTF) of the North American Electric Reliability Corporation (NERC) began a renewed effort to generate accurate</w:t>
      </w:r>
      <w:r w:rsidR="001D7AA2">
        <w:t xml:space="preserve"> load models in 2019, by expanding</w:t>
      </w:r>
      <w:r>
        <w:t xml:space="preserve"> upon numerous past efforts</w:t>
      </w:r>
      <w:r w:rsidR="001D7AA2">
        <w:t xml:space="preserve"> that have completed</w:t>
      </w:r>
      <w:r>
        <w:t xml:space="preserve"> across the region.</w:t>
      </w:r>
      <w:r w:rsidR="005948CB">
        <w:t xml:space="preserve">  </w:t>
      </w:r>
    </w:p>
    <w:p w:rsidR="006D5048" w:rsidRDefault="005948CB" w:rsidP="006D5048">
      <w:r>
        <w:t xml:space="preserve">At the root of the effort is the composition of loads into seven major load types: Motor A, Motor B, Motor C, Motor D, Power Electronic, Static Resistive, and Static Current.  For any given feeder, the contribution of each of these load types can vary greatly based on numerous factors, including season, time of day, and day of week.  </w:t>
      </w:r>
      <w:r w:rsidR="006D5048">
        <w:t>The goal of LMTF is to generate load composition data sets for three main periods of interest: summer peak, winter peak, and spring light load.</w:t>
      </w:r>
    </w:p>
    <w:p w:rsidR="004B4A5E" w:rsidRDefault="006D5048" w:rsidP="004B4A5E">
      <w:r>
        <w:t>When looking a</w:t>
      </w:r>
      <w:r w:rsidR="005948CB">
        <w:t xml:space="preserve">cross </w:t>
      </w:r>
      <w:r>
        <w:t>multiple feeders, l</w:t>
      </w:r>
      <w:r w:rsidR="00BF2F0C">
        <w:t>oad patterns and response</w:t>
      </w:r>
      <w:r w:rsidR="00F64A59">
        <w:t xml:space="preserve"> can be traced to numerous factors, but perhaps the most fundamen</w:t>
      </w:r>
      <w:r w:rsidR="00BF2F0C">
        <w:t xml:space="preserve">tal one is regional climate.  </w:t>
      </w:r>
      <w:r w:rsidR="005948CB">
        <w:t xml:space="preserve">For this reason, each of the major areas in NERC (ERCOT, MRO, NPCC, PJM, SERC, SPP, and WECC) was divided into unique climate regions.  </w:t>
      </w:r>
      <w:r>
        <w:t xml:space="preserve">The NERC LMTF worked with each regional entity to select representative cities within each </w:t>
      </w:r>
      <w:r w:rsidR="005948CB">
        <w:t>climate region</w:t>
      </w:r>
      <w:r>
        <w:t xml:space="preserve">, and developed initial composition datasets for these cities.  </w:t>
      </w:r>
      <w:r w:rsidR="00C06A8D">
        <w:t>The regional entities then mapped all of their feeders to the appropriate representative city, creating a full load composition within the load model.  This document outlines the process undertaken by the NERC LMTF to develop the load compositions for these representative cities.</w:t>
      </w:r>
    </w:p>
    <w:p w:rsidR="00C06A8D" w:rsidRPr="004B4A5E" w:rsidRDefault="00C06A8D" w:rsidP="004B4A5E"/>
    <w:p w:rsidR="00B070D5" w:rsidRDefault="00B070D5" w:rsidP="00B070D5">
      <w:pPr>
        <w:pStyle w:val="Heading2"/>
      </w:pPr>
      <w:r>
        <w:t>Load Modeling Methodology</w:t>
      </w:r>
    </w:p>
    <w:p w:rsidR="00B070D5" w:rsidRDefault="004B4A5E">
      <w:r>
        <w:t xml:space="preserve">The overall methodology outlined in Figure </w:t>
      </w:r>
      <w:r w:rsidR="00EF122B">
        <w:t>1</w:t>
      </w:r>
      <w:r>
        <w:t xml:space="preserve"> is divided into three major steps.  First, offline studies are completed to compile the </w:t>
      </w:r>
      <w:r w:rsidRPr="008B73C0">
        <w:rPr>
          <w:i/>
        </w:rPr>
        <w:t>city-dependent</w:t>
      </w:r>
      <w:r>
        <w:t xml:space="preserve"> and </w:t>
      </w:r>
      <w:r w:rsidRPr="008B73C0">
        <w:rPr>
          <w:i/>
        </w:rPr>
        <w:t>city-independent</w:t>
      </w:r>
      <w:r>
        <w:t xml:space="preserve"> metadata required for this process.  Using this metadata for each city, 24-hour load shapes are generated for each of the three seasons under study.  Finally, these load shapes are translated into load composition percentages using “Rules of Association” mapping information.</w:t>
      </w:r>
    </w:p>
    <w:p w:rsidR="00EF122B" w:rsidRDefault="004B4A5E" w:rsidP="00EF122B">
      <w:pPr>
        <w:keepNext/>
        <w:jc w:val="center"/>
      </w:pPr>
      <w:r>
        <w:rPr>
          <w:noProof/>
        </w:rPr>
        <w:lastRenderedPageBreak/>
        <w:drawing>
          <wp:inline distT="0" distB="0" distL="0" distR="0" wp14:anchorId="57E1B633" wp14:editId="0917AEA7">
            <wp:extent cx="4418381" cy="25802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23638" cy="2583309"/>
                    </a:xfrm>
                    <a:prstGeom prst="rect">
                      <a:avLst/>
                    </a:prstGeom>
                    <a:noFill/>
                  </pic:spPr>
                </pic:pic>
              </a:graphicData>
            </a:graphic>
          </wp:inline>
        </w:drawing>
      </w:r>
    </w:p>
    <w:p w:rsidR="00EF122B" w:rsidRDefault="00EF122B" w:rsidP="00EF122B">
      <w:pPr>
        <w:pStyle w:val="Caption"/>
        <w:jc w:val="center"/>
      </w:pPr>
      <w:r>
        <w:t xml:space="preserve">Figure </w:t>
      </w:r>
      <w:fldSimple w:instr=" SEQ Figure \* ARABIC ">
        <w:r w:rsidR="002A7CD3">
          <w:rPr>
            <w:noProof/>
          </w:rPr>
          <w:t>1</w:t>
        </w:r>
      </w:fldSimple>
      <w:r>
        <w:t>: Load Modeling Methodology</w:t>
      </w:r>
    </w:p>
    <w:p w:rsidR="009B53E7" w:rsidRDefault="00151AFD" w:rsidP="00151AFD">
      <w:r>
        <w:t>Each city requires three</w:t>
      </w:r>
      <w:r w:rsidR="00A24244">
        <w:t xml:space="preserve"> 24-hour</w:t>
      </w:r>
      <w:r>
        <w:t xml:space="preserve"> weather profiles, identifying summer, winter, and spring days respectively.  Electrification percentages for heating, cooling, water heating, and cooking are specified for each city, as well as each type of building.  The residential and commercial buildings are modeled such that end use loads are dependent on the hour-of-day and weather conditions.  The following sections will outline the process of creating the weather profiles, building models, and</w:t>
      </w:r>
      <w:r w:rsidR="00E2693E">
        <w:t xml:space="preserve"> electrification percentages. </w:t>
      </w:r>
    </w:p>
    <w:p w:rsidR="00F277F5" w:rsidRDefault="00F277F5" w:rsidP="00F277F5">
      <w:pPr>
        <w:pStyle w:val="Heading2"/>
      </w:pPr>
      <w:r>
        <w:t>Weather Profiles</w:t>
      </w:r>
    </w:p>
    <w:p w:rsidR="00151AFD" w:rsidRDefault="00635E9A" w:rsidP="00151AFD">
      <w:r>
        <w:t xml:space="preserve">When creating weather profiles, it is important to note that both temperature </w:t>
      </w:r>
      <w:r w:rsidRPr="003E6BC6">
        <w:rPr>
          <w:i/>
        </w:rPr>
        <w:t>and</w:t>
      </w:r>
      <w:r>
        <w:t xml:space="preserve"> humidity factor gre</w:t>
      </w:r>
      <w:r w:rsidR="00677EEF">
        <w:t>atly into end use load behavior.  For this reason, a Heat Index (HI) is calculated, as defined by the National Weather Service (</w:t>
      </w:r>
      <w:hyperlink r:id="rId7" w:history="1">
        <w:r w:rsidR="00677EEF">
          <w:rPr>
            <w:rStyle w:val="Hyperlink"/>
          </w:rPr>
          <w:t>https://www.weather.gov/safety/heat-index</w:t>
        </w:r>
      </w:hyperlink>
      <w:r w:rsidR="00677EEF">
        <w:t>).  The HI provides an indication of the “feel” of the temperature</w:t>
      </w:r>
      <w:r w:rsidR="00454848">
        <w:t xml:space="preserve">, and is a better indicator of behavior than temperature alone.  </w:t>
      </w:r>
    </w:p>
    <w:p w:rsidR="00454848" w:rsidRDefault="00454848" w:rsidP="00151AFD">
      <w:r>
        <w:t xml:space="preserve">There are multiple methods for collecting weather data and deriving the 24-hour HI profiles.  Past efforts have used the Typical Meteorological Year (TMY) dataset provided by the National Renewable Energy Laboratory (NREL) to identify historical peak load days in summer and winter, as well as light load days in spring.  The NERC LMTF </w:t>
      </w:r>
      <w:r w:rsidR="00D64634">
        <w:t>team</w:t>
      </w:r>
      <w:r>
        <w:t xml:space="preserve"> has chosen to collect historical weather data and use statistical analysis to det</w:t>
      </w:r>
      <w:r w:rsidR="00DE5E8D">
        <w:t>ermine these days of interest, using the following process:</w:t>
      </w:r>
    </w:p>
    <w:p w:rsidR="00454848" w:rsidRDefault="00454848" w:rsidP="00454848">
      <w:pPr>
        <w:pStyle w:val="ListParagraph"/>
        <w:numPr>
          <w:ilvl w:val="0"/>
          <w:numId w:val="3"/>
        </w:numPr>
      </w:pPr>
      <w:r>
        <w:t xml:space="preserve">For each city in the study, 20 years of hourly temperature and humidity data were collected.   For US cities, this was retrieved from the National Oceanic and Atmospheric Administration (NOAA) website via their Local Climatological Data (LCD) set.  For Canadian cities, </w:t>
      </w:r>
      <w:r w:rsidR="00610372">
        <w:t>these data were</w:t>
      </w:r>
      <w:r>
        <w:t xml:space="preserve"> found on the website for the Government of Canada (Canada.ca)</w:t>
      </w:r>
      <w:r w:rsidR="00DE5E8D">
        <w:t>.  Both data sets provide hourly measurements, and appropriate steps were taken to interpolate or remove invalid points.</w:t>
      </w:r>
    </w:p>
    <w:p w:rsidR="00DE5E8D" w:rsidRDefault="00DE5E8D" w:rsidP="00454848">
      <w:pPr>
        <w:pStyle w:val="ListParagraph"/>
        <w:numPr>
          <w:ilvl w:val="0"/>
          <w:numId w:val="3"/>
        </w:numPr>
      </w:pPr>
      <w:r>
        <w:t>The Heat Index was calculated for each hour in the 20 year data set</w:t>
      </w:r>
      <w:r w:rsidR="006D68C1">
        <w:t>, using the NWS algorithm</w:t>
      </w:r>
      <w:r>
        <w:t>.</w:t>
      </w:r>
    </w:p>
    <w:p w:rsidR="00DE5E8D" w:rsidRDefault="00DE5E8D" w:rsidP="00454848">
      <w:pPr>
        <w:pStyle w:val="ListParagraph"/>
        <w:numPr>
          <w:ilvl w:val="0"/>
          <w:numId w:val="3"/>
        </w:numPr>
      </w:pPr>
      <w:r>
        <w:t>Daily high HI and low HI were computed for each day in the 20 year data set.</w:t>
      </w:r>
    </w:p>
    <w:p w:rsidR="00DE5E8D" w:rsidRDefault="00DE5E8D" w:rsidP="00454848">
      <w:pPr>
        <w:pStyle w:val="ListParagraph"/>
        <w:numPr>
          <w:ilvl w:val="0"/>
          <w:numId w:val="3"/>
        </w:numPr>
      </w:pPr>
      <w:r>
        <w:lastRenderedPageBreak/>
        <w:t>A data range was defined for each season, providing bounds for summer, winter, and spring.  Only measurements within the specified date range were considered during the remainder of the process.</w:t>
      </w:r>
    </w:p>
    <w:p w:rsidR="00EF297F" w:rsidRDefault="00DE5E8D" w:rsidP="00EF297F">
      <w:pPr>
        <w:pStyle w:val="ListParagraph"/>
        <w:numPr>
          <w:ilvl w:val="0"/>
          <w:numId w:val="3"/>
        </w:numPr>
      </w:pPr>
      <w:r>
        <w:t>For the 20 years of summer days, calculate the 90</w:t>
      </w:r>
      <w:r w:rsidRPr="00EF297F">
        <w:rPr>
          <w:vertAlign w:val="superscript"/>
        </w:rPr>
        <w:t>th</w:t>
      </w:r>
      <w:r>
        <w:t xml:space="preserve"> percentile for the high Heat Index.  This will identify a “hot” or “peak” summer day, </w:t>
      </w:r>
      <w:r w:rsidR="000C79B7">
        <w:t>while avoiding</w:t>
      </w:r>
      <w:r>
        <w:t xml:space="preserve"> the record high or “super-peak”.   </w:t>
      </w:r>
      <w:r w:rsidR="00EF297F">
        <w:t xml:space="preserve">Figure </w:t>
      </w:r>
      <w:r w:rsidR="00EF122B">
        <w:t>2</w:t>
      </w:r>
      <w:r w:rsidR="00EF297F">
        <w:t xml:space="preserve"> shows a sample histogram for this information, with a dashed line indicating the 90</w:t>
      </w:r>
      <w:r w:rsidR="00EF297F" w:rsidRPr="00EF297F">
        <w:rPr>
          <w:vertAlign w:val="superscript"/>
        </w:rPr>
        <w:t>th</w:t>
      </w:r>
      <w:r w:rsidR="00EF297F">
        <w:t xml:space="preserve"> percentile high for this city.</w:t>
      </w:r>
      <w:r w:rsidR="005A0C83">
        <w:t xml:space="preserve">  </w:t>
      </w:r>
      <w:r w:rsidR="00BA318C">
        <w:t>F</w:t>
      </w:r>
      <w:r w:rsidR="005A0C83">
        <w:t xml:space="preserve">ive summer dates </w:t>
      </w:r>
      <w:r w:rsidR="00BA318C">
        <w:t xml:space="preserve">were recorded </w:t>
      </w:r>
      <w:r w:rsidR="005A0C83">
        <w:t xml:space="preserve">when the high Heat Index reached this value. </w:t>
      </w:r>
    </w:p>
    <w:p w:rsidR="00F05B83" w:rsidRDefault="00EF297F" w:rsidP="00F05B83">
      <w:pPr>
        <w:pStyle w:val="ListParagraph"/>
        <w:keepNext/>
        <w:jc w:val="center"/>
      </w:pPr>
      <w:r>
        <w:rPr>
          <w:noProof/>
        </w:rPr>
        <w:drawing>
          <wp:inline distT="0" distB="0" distL="0" distR="0" wp14:anchorId="58461922" wp14:editId="143F19A0">
            <wp:extent cx="4923735" cy="2468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3735" cy="2468880"/>
                    </a:xfrm>
                    <a:prstGeom prst="rect">
                      <a:avLst/>
                    </a:prstGeom>
                    <a:noFill/>
                    <a:ln>
                      <a:noFill/>
                    </a:ln>
                  </pic:spPr>
                </pic:pic>
              </a:graphicData>
            </a:graphic>
          </wp:inline>
        </w:drawing>
      </w:r>
    </w:p>
    <w:p w:rsidR="00EF122B" w:rsidRDefault="00F05B83" w:rsidP="00F05B83">
      <w:pPr>
        <w:pStyle w:val="Caption"/>
        <w:jc w:val="center"/>
      </w:pPr>
      <w:r>
        <w:t xml:space="preserve">Figure </w:t>
      </w:r>
      <w:fldSimple w:instr=" SEQ Figure \* ARABIC ">
        <w:r w:rsidR="002A7CD3">
          <w:rPr>
            <w:noProof/>
          </w:rPr>
          <w:t>2</w:t>
        </w:r>
      </w:fldSimple>
      <w:r>
        <w:t xml:space="preserve">: </w:t>
      </w:r>
      <w:r w:rsidRPr="007F3329">
        <w:t>Sample Summer Heat Index Histogram</w:t>
      </w:r>
    </w:p>
    <w:p w:rsidR="00104173" w:rsidRDefault="00D33A75" w:rsidP="00104173">
      <w:pPr>
        <w:pStyle w:val="ListParagraph"/>
        <w:numPr>
          <w:ilvl w:val="0"/>
          <w:numId w:val="3"/>
        </w:numPr>
      </w:pPr>
      <w:r>
        <w:t>The</w:t>
      </w:r>
      <w:r w:rsidR="00EF297F">
        <w:t xml:space="preserve"> previous step </w:t>
      </w:r>
      <w:r>
        <w:t xml:space="preserve">was repeated </w:t>
      </w:r>
      <w:r w:rsidR="00EF297F">
        <w:t xml:space="preserve">for winter, calculating the </w:t>
      </w:r>
      <w:r w:rsidR="005A0C83">
        <w:t>1</w:t>
      </w:r>
      <w:r w:rsidR="00EF297F">
        <w:t>0</w:t>
      </w:r>
      <w:r w:rsidR="00EF297F" w:rsidRPr="00EF297F">
        <w:rPr>
          <w:vertAlign w:val="superscript"/>
        </w:rPr>
        <w:t>th</w:t>
      </w:r>
      <w:r w:rsidR="00EF297F">
        <w:t xml:space="preserve"> percentile low Heat Index.  </w:t>
      </w:r>
      <w:r>
        <w:t>Five</w:t>
      </w:r>
      <w:r w:rsidR="005A0C83">
        <w:t xml:space="preserve"> winter dates </w:t>
      </w:r>
      <w:r>
        <w:t xml:space="preserve">were recorded </w:t>
      </w:r>
      <w:r w:rsidR="005A0C83">
        <w:t xml:space="preserve">when the low Heat Index reached this value. </w:t>
      </w:r>
      <w:r w:rsidR="005A0C83" w:rsidRPr="005A0C83">
        <w:t xml:space="preserve"> </w:t>
      </w:r>
      <w:r w:rsidR="005A0C83">
        <w:t xml:space="preserve">Figure </w:t>
      </w:r>
      <w:r w:rsidR="00BA318C">
        <w:t>3</w:t>
      </w:r>
      <w:r w:rsidR="005A0C83">
        <w:t xml:space="preserve"> shows a sample histogram for this case.  </w:t>
      </w:r>
    </w:p>
    <w:p w:rsidR="00EF122B" w:rsidRDefault="00104173" w:rsidP="00EF122B">
      <w:pPr>
        <w:pStyle w:val="ListParagraph"/>
        <w:keepNext/>
        <w:jc w:val="center"/>
      </w:pPr>
      <w:r>
        <w:rPr>
          <w:noProof/>
        </w:rPr>
        <w:drawing>
          <wp:inline distT="0" distB="0" distL="0" distR="0" wp14:anchorId="6A383206" wp14:editId="08E40E83">
            <wp:extent cx="4923734" cy="2468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3734" cy="2468880"/>
                    </a:xfrm>
                    <a:prstGeom prst="rect">
                      <a:avLst/>
                    </a:prstGeom>
                    <a:noFill/>
                    <a:ln>
                      <a:noFill/>
                    </a:ln>
                  </pic:spPr>
                </pic:pic>
              </a:graphicData>
            </a:graphic>
          </wp:inline>
        </w:drawing>
      </w:r>
    </w:p>
    <w:p w:rsidR="00104173" w:rsidRDefault="00EF122B" w:rsidP="00EF122B">
      <w:pPr>
        <w:pStyle w:val="Caption"/>
        <w:jc w:val="center"/>
      </w:pPr>
      <w:r>
        <w:t xml:space="preserve">Figure </w:t>
      </w:r>
      <w:fldSimple w:instr=" SEQ Figure \* ARABIC ">
        <w:r w:rsidR="002A7CD3">
          <w:rPr>
            <w:noProof/>
          </w:rPr>
          <w:t>3</w:t>
        </w:r>
      </w:fldSimple>
      <w:r>
        <w:t>: Sample Winter Heat Index Histogram</w:t>
      </w:r>
    </w:p>
    <w:p w:rsidR="00104173" w:rsidRDefault="00104173" w:rsidP="00104173">
      <w:pPr>
        <w:pStyle w:val="ListParagraph"/>
        <w:numPr>
          <w:ilvl w:val="0"/>
          <w:numId w:val="3"/>
        </w:numPr>
      </w:pPr>
      <w:r>
        <w:lastRenderedPageBreak/>
        <w:t xml:space="preserve">For spring, </w:t>
      </w:r>
      <w:r w:rsidR="009866E2">
        <w:t>it was assumed</w:t>
      </w:r>
      <w:r>
        <w:t xml:space="preserve"> that the minimum amount of cooling and heating occurs when the Heat Index is bound between 68 and 72 degrees.  From the 20 year highs and lows, the day where HI was most tightly bound in that range</w:t>
      </w:r>
      <w:r w:rsidR="009866E2">
        <w:t xml:space="preserve"> was selected as the representative spring day</w:t>
      </w:r>
      <w:r>
        <w:t>.</w:t>
      </w:r>
    </w:p>
    <w:p w:rsidR="00104173" w:rsidRDefault="003C1367" w:rsidP="00104173">
      <w:pPr>
        <w:pStyle w:val="ListParagraph"/>
        <w:numPr>
          <w:ilvl w:val="0"/>
          <w:numId w:val="3"/>
        </w:numPr>
      </w:pPr>
      <w:r>
        <w:t>In reality, end use load behavior (i.e., duty cycle for heating and cooling) lags behind current temperature/HI.  Therefore, an adjusted HI is calculated using a weighted average of the “current” HI and the HI recorded during the previous two hours by the following equation:</w:t>
      </w:r>
    </w:p>
    <w:p w:rsidR="00A5337C" w:rsidRDefault="003C1367" w:rsidP="0058275E">
      <w:pPr>
        <w:jc w:val="center"/>
        <w:rPr>
          <w:b/>
          <w:i/>
        </w:rPr>
      </w:pPr>
      <w:proofErr w:type="spellStart"/>
      <w:r w:rsidRPr="005403AD">
        <w:rPr>
          <w:b/>
          <w:i/>
        </w:rPr>
        <w:t>HI</w:t>
      </w:r>
      <w:r w:rsidRPr="005403AD">
        <w:rPr>
          <w:b/>
          <w:i/>
          <w:vertAlign w:val="subscript"/>
        </w:rPr>
        <w:t>adj</w:t>
      </w:r>
      <w:proofErr w:type="spellEnd"/>
      <w:r w:rsidRPr="005403AD">
        <w:rPr>
          <w:b/>
          <w:i/>
        </w:rPr>
        <w:t xml:space="preserve"> = </w:t>
      </w:r>
      <w:r w:rsidR="00EA26B4" w:rsidRPr="005403AD">
        <w:rPr>
          <w:b/>
          <w:i/>
        </w:rPr>
        <w:t xml:space="preserve">(0.6 * </w:t>
      </w:r>
      <w:proofErr w:type="spellStart"/>
      <w:r w:rsidRPr="005403AD">
        <w:rPr>
          <w:b/>
          <w:i/>
        </w:rPr>
        <w:t>H</w:t>
      </w:r>
      <w:r w:rsidR="00EA26B4" w:rsidRPr="005403AD">
        <w:rPr>
          <w:b/>
          <w:i/>
        </w:rPr>
        <w:t>I</w:t>
      </w:r>
      <w:r w:rsidR="00EA26B4" w:rsidRPr="005403AD">
        <w:rPr>
          <w:b/>
          <w:i/>
          <w:vertAlign w:val="subscript"/>
        </w:rPr>
        <w:t>t</w:t>
      </w:r>
      <w:proofErr w:type="spellEnd"/>
      <w:r w:rsidR="00EA26B4" w:rsidRPr="005403AD">
        <w:rPr>
          <w:b/>
          <w:i/>
        </w:rPr>
        <w:t>) + (0.3 * HI</w:t>
      </w:r>
      <w:r w:rsidR="00EA26B4" w:rsidRPr="005403AD">
        <w:rPr>
          <w:b/>
          <w:i/>
          <w:vertAlign w:val="subscript"/>
        </w:rPr>
        <w:t>t-1</w:t>
      </w:r>
      <w:r w:rsidR="00EA26B4" w:rsidRPr="005403AD">
        <w:rPr>
          <w:b/>
          <w:i/>
        </w:rPr>
        <w:t>) + (</w:t>
      </w:r>
      <w:r w:rsidR="005403AD" w:rsidRPr="005403AD">
        <w:rPr>
          <w:b/>
          <w:i/>
        </w:rPr>
        <w:t>0.1 * HI</w:t>
      </w:r>
      <w:r w:rsidR="005403AD" w:rsidRPr="005403AD">
        <w:rPr>
          <w:b/>
          <w:i/>
          <w:vertAlign w:val="subscript"/>
        </w:rPr>
        <w:t>t-2</w:t>
      </w:r>
      <w:r w:rsidR="005403AD" w:rsidRPr="005403AD">
        <w:rPr>
          <w:b/>
          <w:i/>
        </w:rPr>
        <w:t>)</w:t>
      </w:r>
    </w:p>
    <w:p w:rsidR="00A5337C" w:rsidRPr="00A5337C" w:rsidRDefault="00A5337C" w:rsidP="00A5337C">
      <w:pPr>
        <w:pStyle w:val="ListParagraph"/>
      </w:pPr>
      <w:r>
        <w:t>This adjusted HI value is used for all steps forward.</w:t>
      </w:r>
    </w:p>
    <w:p w:rsidR="00ED1818" w:rsidRDefault="00804951" w:rsidP="00ED1818">
      <w:pPr>
        <w:pStyle w:val="ListParagraph"/>
        <w:numPr>
          <w:ilvl w:val="0"/>
          <w:numId w:val="3"/>
        </w:numPr>
      </w:pPr>
      <w:r>
        <w:t>Two days with the same high HI may exhibit widely different 24-hour profiles.  For example, the ideal summer day for study contains a peak H</w:t>
      </w:r>
      <w:r w:rsidR="00C34C06">
        <w:t xml:space="preserve">eat Index </w:t>
      </w:r>
      <w:r>
        <w:t xml:space="preserve">in the late afternoon (4:00 to 6:00 pm).  Also, the HI at the end of the day (11:00 pm) will be roughly equal to the HI at the beginning of the day (12:00 midnight).  However, not all days display this behavior, as weather events throughout the day may </w:t>
      </w:r>
      <w:r w:rsidR="00ED1818">
        <w:t xml:space="preserve">affect the 24-hour HI profile.  </w:t>
      </w:r>
      <w:r w:rsidR="00CD63A3">
        <w:t xml:space="preserve">To account for this, plots are created for the 24-hour HI measurements for the five recorded dates described in steps 5 (for summer) and 6 (for winter).  An example is shown in Figure </w:t>
      </w:r>
      <w:r w:rsidR="00F05B83">
        <w:t>4</w:t>
      </w:r>
      <w:r w:rsidR="00CD63A3">
        <w:t>:</w:t>
      </w:r>
    </w:p>
    <w:p w:rsidR="00F05B83" w:rsidRDefault="00CD63A3" w:rsidP="00F05B83">
      <w:pPr>
        <w:pStyle w:val="ListParagraph"/>
        <w:keepNext/>
        <w:jc w:val="center"/>
      </w:pPr>
      <w:r>
        <w:rPr>
          <w:noProof/>
        </w:rPr>
        <w:drawing>
          <wp:inline distT="0" distB="0" distL="0" distR="0" wp14:anchorId="07268F39" wp14:editId="6D513DC5">
            <wp:extent cx="4923734" cy="2468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3734" cy="2468880"/>
                    </a:xfrm>
                    <a:prstGeom prst="rect">
                      <a:avLst/>
                    </a:prstGeom>
                    <a:noFill/>
                    <a:ln>
                      <a:noFill/>
                    </a:ln>
                  </pic:spPr>
                </pic:pic>
              </a:graphicData>
            </a:graphic>
          </wp:inline>
        </w:drawing>
      </w:r>
    </w:p>
    <w:p w:rsidR="00CD63A3" w:rsidRDefault="00F05B83" w:rsidP="00F05B83">
      <w:pPr>
        <w:pStyle w:val="Caption"/>
        <w:jc w:val="center"/>
      </w:pPr>
      <w:r>
        <w:t xml:space="preserve">Figure </w:t>
      </w:r>
      <w:fldSimple w:instr=" SEQ Figure \* ARABIC ">
        <w:r w:rsidR="002A7CD3">
          <w:rPr>
            <w:noProof/>
          </w:rPr>
          <w:t>4</w:t>
        </w:r>
      </w:fldSimple>
      <w:r>
        <w:t>: Sample 24-Hour Heat Index Profiles</w:t>
      </w:r>
    </w:p>
    <w:p w:rsidR="00CD63A3" w:rsidRDefault="00CD63A3" w:rsidP="00CD63A3">
      <w:pPr>
        <w:pStyle w:val="ListParagraph"/>
      </w:pPr>
      <w:r>
        <w:t>From the plot, it’s clear that Day 1 reaches a peak at an atypical time, and would be a poor choice for a representative weather profile.  However, Day 3 reaches a peak in late afternoon and “completes a cycle”, with the HI at the end of the day similar to the HI at the beginning.  Therefore, Day 3 is a more appropriate choice for a representative weather profile for this city.  The 24-hour HI values are recorded, and the process is repeated for winter.</w:t>
      </w:r>
    </w:p>
    <w:p w:rsidR="00CD63A3" w:rsidRDefault="00CD63A3" w:rsidP="00CD63A3">
      <w:pPr>
        <w:pStyle w:val="ListParagraph"/>
        <w:numPr>
          <w:ilvl w:val="0"/>
          <w:numId w:val="3"/>
        </w:numPr>
      </w:pPr>
      <w:r>
        <w:t>Steps 1-9</w:t>
      </w:r>
      <w:r w:rsidR="00B11B21">
        <w:t xml:space="preserve"> are repeated for every city in the study.  These 24-hour Heat Index profiles are recorded for all three seasons.</w:t>
      </w:r>
    </w:p>
    <w:p w:rsidR="00105999" w:rsidRDefault="00105999">
      <w:pPr>
        <w:rPr>
          <w:rFonts w:asciiTheme="majorHAnsi" w:eastAsiaTheme="majorEastAsia" w:hAnsiTheme="majorHAnsi" w:cstheme="majorBidi"/>
          <w:b/>
          <w:bCs/>
          <w:color w:val="4F81BD" w:themeColor="accent1"/>
          <w:sz w:val="26"/>
          <w:szCs w:val="26"/>
        </w:rPr>
      </w:pPr>
      <w:r>
        <w:br w:type="page"/>
      </w:r>
    </w:p>
    <w:p w:rsidR="00F277F5" w:rsidRDefault="00F277F5" w:rsidP="00F277F5">
      <w:pPr>
        <w:pStyle w:val="Heading2"/>
      </w:pPr>
      <w:r>
        <w:lastRenderedPageBreak/>
        <w:t>Building Models</w:t>
      </w:r>
    </w:p>
    <w:p w:rsidR="00EB7325" w:rsidRDefault="00E6010A" w:rsidP="00EB7325">
      <w:r>
        <w:t xml:space="preserve">Both residential and commercial models are generated using a </w:t>
      </w:r>
      <w:r w:rsidR="008442A7">
        <w:t>collection</w:t>
      </w:r>
      <w:r>
        <w:t xml:space="preserve"> of end use load types</w:t>
      </w:r>
      <w:r w:rsidR="008442A7">
        <w:t>.  For r</w:t>
      </w:r>
      <w:r w:rsidR="006D4FBE">
        <w:t xml:space="preserve">esidential buildings, these end </w:t>
      </w:r>
      <w:r w:rsidR="008442A7">
        <w:t xml:space="preserve">uses are defined by the Residential Building Stock Assessment (RBSA) created by the Northwest Energy Efficiency Alliance (NEEA).  For </w:t>
      </w:r>
      <w:r w:rsidR="006D4FBE">
        <w:t xml:space="preserve">commercial buildings, these end </w:t>
      </w:r>
      <w:r w:rsidR="008442A7">
        <w:t>uses are defined by the California Commercial End-Use Survey (CEUS).</w:t>
      </w:r>
      <w:r w:rsidR="000E6AD0">
        <w:t xml:space="preserve">  Each end use is categorized by its dependence on weather (temperature/humidity) and hour-of-day.  Table </w:t>
      </w:r>
      <w:r w:rsidR="00301587">
        <w:t>1</w:t>
      </w:r>
      <w:r w:rsidR="00FE201B">
        <w:t xml:space="preserve"> </w:t>
      </w:r>
      <w:proofErr w:type="gramStart"/>
      <w:r w:rsidR="00FE201B">
        <w:t>lists</w:t>
      </w:r>
      <w:proofErr w:type="gramEnd"/>
      <w:r w:rsidR="00FE201B">
        <w:t xml:space="preserve"> all the end </w:t>
      </w:r>
      <w:r w:rsidR="000E6AD0">
        <w:t>uses, as well as their application to building types and</w:t>
      </w:r>
      <w:r w:rsidR="00D82D1C">
        <w:t xml:space="preserve"> their</w:t>
      </w:r>
      <w:r w:rsidR="000E6AD0">
        <w:t xml:space="preserve"> dependencies.</w:t>
      </w:r>
    </w:p>
    <w:p w:rsidR="00301587" w:rsidRDefault="00301587" w:rsidP="00301587">
      <w:pPr>
        <w:pStyle w:val="Caption"/>
        <w:keepNext/>
      </w:pPr>
      <w:r>
        <w:t xml:space="preserve">Table </w:t>
      </w:r>
      <w:fldSimple w:instr=" SEQ Table \* ARABIC ">
        <w:r>
          <w:rPr>
            <w:noProof/>
          </w:rPr>
          <w:t>1</w:t>
        </w:r>
      </w:fldSimple>
      <w:r>
        <w:t>: Residential and Commercial End Uses and Categories</w:t>
      </w:r>
    </w:p>
    <w:tbl>
      <w:tblPr>
        <w:tblStyle w:val="LightList-Accent5"/>
        <w:tblW w:w="0" w:type="auto"/>
        <w:tblLook w:val="04A0" w:firstRow="1" w:lastRow="0" w:firstColumn="1" w:lastColumn="0" w:noHBand="0" w:noVBand="1"/>
      </w:tblPr>
      <w:tblGrid>
        <w:gridCol w:w="2358"/>
        <w:gridCol w:w="1485"/>
        <w:gridCol w:w="1485"/>
        <w:gridCol w:w="2160"/>
        <w:gridCol w:w="2088"/>
      </w:tblGrid>
      <w:tr w:rsidR="00214BB5" w:rsidTr="00334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14BB5" w:rsidRPr="00334211" w:rsidRDefault="00214BB5" w:rsidP="00EB7325">
            <w:pPr>
              <w:rPr>
                <w:b w:val="0"/>
              </w:rPr>
            </w:pPr>
            <w:r w:rsidRPr="00334211">
              <w:rPr>
                <w:b w:val="0"/>
              </w:rPr>
              <w:t>End Use</w:t>
            </w:r>
          </w:p>
        </w:tc>
        <w:tc>
          <w:tcPr>
            <w:tcW w:w="1485" w:type="dxa"/>
          </w:tcPr>
          <w:p w:rsidR="00214BB5" w:rsidRPr="00334211" w:rsidRDefault="00214BB5" w:rsidP="00EB7325">
            <w:pPr>
              <w:cnfStyle w:val="100000000000" w:firstRow="1" w:lastRow="0" w:firstColumn="0" w:lastColumn="0" w:oddVBand="0" w:evenVBand="0" w:oddHBand="0" w:evenHBand="0" w:firstRowFirstColumn="0" w:firstRowLastColumn="0" w:lastRowFirstColumn="0" w:lastRowLastColumn="0"/>
              <w:rPr>
                <w:b w:val="0"/>
              </w:rPr>
            </w:pPr>
            <w:r w:rsidRPr="00334211">
              <w:rPr>
                <w:b w:val="0"/>
              </w:rPr>
              <w:t>Residential</w:t>
            </w:r>
          </w:p>
        </w:tc>
        <w:tc>
          <w:tcPr>
            <w:tcW w:w="1485" w:type="dxa"/>
          </w:tcPr>
          <w:p w:rsidR="00214BB5" w:rsidRPr="00334211" w:rsidRDefault="00214BB5" w:rsidP="00EB7325">
            <w:pPr>
              <w:cnfStyle w:val="100000000000" w:firstRow="1" w:lastRow="0" w:firstColumn="0" w:lastColumn="0" w:oddVBand="0" w:evenVBand="0" w:oddHBand="0" w:evenHBand="0" w:firstRowFirstColumn="0" w:firstRowLastColumn="0" w:lastRowFirstColumn="0" w:lastRowLastColumn="0"/>
              <w:rPr>
                <w:b w:val="0"/>
              </w:rPr>
            </w:pPr>
            <w:r w:rsidRPr="00334211">
              <w:rPr>
                <w:b w:val="0"/>
              </w:rPr>
              <w:t>Commercial</w:t>
            </w:r>
          </w:p>
        </w:tc>
        <w:tc>
          <w:tcPr>
            <w:tcW w:w="2160" w:type="dxa"/>
          </w:tcPr>
          <w:p w:rsidR="00214BB5" w:rsidRPr="00334211" w:rsidRDefault="00214BB5" w:rsidP="00EB7325">
            <w:pPr>
              <w:cnfStyle w:val="100000000000" w:firstRow="1" w:lastRow="0" w:firstColumn="0" w:lastColumn="0" w:oddVBand="0" w:evenVBand="0" w:oddHBand="0" w:evenHBand="0" w:firstRowFirstColumn="0" w:firstRowLastColumn="0" w:lastRowFirstColumn="0" w:lastRowLastColumn="0"/>
              <w:rPr>
                <w:b w:val="0"/>
              </w:rPr>
            </w:pPr>
            <w:r w:rsidRPr="00334211">
              <w:rPr>
                <w:b w:val="0"/>
              </w:rPr>
              <w:t>Weather-Dependent</w:t>
            </w:r>
          </w:p>
        </w:tc>
        <w:tc>
          <w:tcPr>
            <w:tcW w:w="2088" w:type="dxa"/>
          </w:tcPr>
          <w:p w:rsidR="00214BB5" w:rsidRPr="00334211" w:rsidRDefault="00214BB5" w:rsidP="00EB7325">
            <w:pPr>
              <w:cnfStyle w:val="100000000000" w:firstRow="1" w:lastRow="0" w:firstColumn="0" w:lastColumn="0" w:oddVBand="0" w:evenVBand="0" w:oddHBand="0" w:evenHBand="0" w:firstRowFirstColumn="0" w:firstRowLastColumn="0" w:lastRowFirstColumn="0" w:lastRowLastColumn="0"/>
              <w:rPr>
                <w:b w:val="0"/>
              </w:rPr>
            </w:pPr>
            <w:r w:rsidRPr="00334211">
              <w:rPr>
                <w:b w:val="0"/>
              </w:rPr>
              <w:t>Time-Dependent</w:t>
            </w:r>
          </w:p>
        </w:tc>
      </w:tr>
      <w:tr w:rsidR="00214BB5" w:rsidTr="0033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Resistive Heating</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2160"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2088"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r>
      <w:tr w:rsidR="00214BB5" w:rsidTr="00334211">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Heat Pump</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2160"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2088"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r>
      <w:tr w:rsidR="00214BB5" w:rsidTr="0033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Cooling</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2160"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2088"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r>
      <w:tr w:rsidR="00214BB5" w:rsidTr="00334211">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Air Compressor</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2160"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088"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r>
      <w:tr w:rsidR="00214BB5" w:rsidTr="0033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Computer</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088"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r>
      <w:tr w:rsidR="00214BB5" w:rsidTr="00334211">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Cooking</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2160"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088"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r>
      <w:tr w:rsidR="00214BB5" w:rsidTr="0033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Dryer</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088"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r>
      <w:tr w:rsidR="00214BB5" w:rsidTr="00334211">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Entertainment</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088"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r>
      <w:tr w:rsidR="00214BB5" w:rsidTr="0033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Freezer</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088"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r>
      <w:tr w:rsidR="00214BB5" w:rsidTr="00334211">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Lighting</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2160"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088"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r>
      <w:tr w:rsidR="00214BB5" w:rsidTr="0033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14BB5" w:rsidRDefault="00E45AF7" w:rsidP="00EB7325">
            <w:r>
              <w:t>“</w:t>
            </w:r>
            <w:r w:rsidR="00214BB5">
              <w:t>Miscellaneous</w:t>
            </w:r>
            <w:r>
              <w:t>”</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2160"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088"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r>
      <w:tr w:rsidR="00214BB5" w:rsidTr="00334211">
        <w:tc>
          <w:tcPr>
            <w:cnfStyle w:val="001000000000" w:firstRow="0" w:lastRow="0" w:firstColumn="1" w:lastColumn="0" w:oddVBand="0" w:evenVBand="0" w:oddHBand="0" w:evenHBand="0" w:firstRowFirstColumn="0" w:firstRowLastColumn="0" w:lastRowFirstColumn="0" w:lastRowLastColumn="0"/>
            <w:tcW w:w="2358" w:type="dxa"/>
          </w:tcPr>
          <w:p w:rsidR="00214BB5" w:rsidRDefault="0094502D" w:rsidP="0094502D">
            <w:r>
              <w:t xml:space="preserve">Motor </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2160"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088"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r>
      <w:tr w:rsidR="00214BB5" w:rsidTr="0033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14BB5" w:rsidRDefault="0094502D" w:rsidP="00EB7325">
            <w:r>
              <w:t>Office Equipment</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2160"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088"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r>
      <w:tr w:rsidR="00214BB5" w:rsidTr="00334211">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“Other”</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088"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r>
      <w:tr w:rsidR="00214BB5" w:rsidTr="0033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Oven</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160"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088"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r>
      <w:tr w:rsidR="00214BB5" w:rsidTr="00334211">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Plugs</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088"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r>
      <w:tr w:rsidR="00214BB5" w:rsidTr="0033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Process</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2160"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088"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r>
      <w:tr w:rsidR="00214BB5" w:rsidTr="00334211">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Refrigeration</w:t>
            </w:r>
          </w:p>
        </w:tc>
        <w:tc>
          <w:tcPr>
            <w:tcW w:w="1485"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2160"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088"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r>
      <w:tr w:rsidR="00214BB5" w:rsidTr="0033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Ventilation</w:t>
            </w:r>
          </w:p>
        </w:tc>
        <w:tc>
          <w:tcPr>
            <w:tcW w:w="1485"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1485"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2160"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088"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r>
      <w:tr w:rsidR="00214BB5" w:rsidTr="00334211">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Washer</w:t>
            </w:r>
          </w:p>
        </w:tc>
        <w:tc>
          <w:tcPr>
            <w:tcW w:w="1485"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c>
          <w:tcPr>
            <w:tcW w:w="1485"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160" w:type="dxa"/>
          </w:tcPr>
          <w:p w:rsidR="00214BB5" w:rsidRDefault="00214BB5" w:rsidP="00334211">
            <w:pPr>
              <w:jc w:val="center"/>
              <w:cnfStyle w:val="000000000000" w:firstRow="0" w:lastRow="0" w:firstColumn="0" w:lastColumn="0" w:oddVBand="0" w:evenVBand="0" w:oddHBand="0" w:evenHBand="0" w:firstRowFirstColumn="0" w:firstRowLastColumn="0" w:lastRowFirstColumn="0" w:lastRowLastColumn="0"/>
            </w:pPr>
          </w:p>
        </w:tc>
        <w:tc>
          <w:tcPr>
            <w:tcW w:w="2088" w:type="dxa"/>
          </w:tcPr>
          <w:p w:rsidR="00214BB5" w:rsidRDefault="00334211" w:rsidP="00334211">
            <w:pPr>
              <w:jc w:val="center"/>
              <w:cnfStyle w:val="000000000000" w:firstRow="0" w:lastRow="0" w:firstColumn="0" w:lastColumn="0" w:oddVBand="0" w:evenVBand="0" w:oddHBand="0" w:evenHBand="0" w:firstRowFirstColumn="0" w:firstRowLastColumn="0" w:lastRowFirstColumn="0" w:lastRowLastColumn="0"/>
            </w:pPr>
            <w:r>
              <w:t>X</w:t>
            </w:r>
          </w:p>
        </w:tc>
      </w:tr>
      <w:tr w:rsidR="00214BB5" w:rsidTr="00334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14BB5" w:rsidRDefault="00214BB5" w:rsidP="00EB7325">
            <w:r>
              <w:t>Water Heating</w:t>
            </w:r>
          </w:p>
        </w:tc>
        <w:tc>
          <w:tcPr>
            <w:tcW w:w="1485"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1485"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c>
          <w:tcPr>
            <w:tcW w:w="2160" w:type="dxa"/>
          </w:tcPr>
          <w:p w:rsidR="00214BB5" w:rsidRDefault="00214BB5" w:rsidP="00334211">
            <w:pPr>
              <w:jc w:val="center"/>
              <w:cnfStyle w:val="000000100000" w:firstRow="0" w:lastRow="0" w:firstColumn="0" w:lastColumn="0" w:oddVBand="0" w:evenVBand="0" w:oddHBand="1" w:evenHBand="0" w:firstRowFirstColumn="0" w:firstRowLastColumn="0" w:lastRowFirstColumn="0" w:lastRowLastColumn="0"/>
            </w:pPr>
          </w:p>
        </w:tc>
        <w:tc>
          <w:tcPr>
            <w:tcW w:w="2088" w:type="dxa"/>
          </w:tcPr>
          <w:p w:rsidR="00214BB5" w:rsidRDefault="00334211" w:rsidP="00334211">
            <w:pPr>
              <w:jc w:val="center"/>
              <w:cnfStyle w:val="000000100000" w:firstRow="0" w:lastRow="0" w:firstColumn="0" w:lastColumn="0" w:oddVBand="0" w:evenVBand="0" w:oddHBand="1" w:evenHBand="0" w:firstRowFirstColumn="0" w:firstRowLastColumn="0" w:lastRowFirstColumn="0" w:lastRowLastColumn="0"/>
            </w:pPr>
            <w:r>
              <w:t>X</w:t>
            </w:r>
          </w:p>
        </w:tc>
      </w:tr>
    </w:tbl>
    <w:p w:rsidR="00214BB5" w:rsidRDefault="00214BB5" w:rsidP="00EB7325"/>
    <w:p w:rsidR="00214BB5" w:rsidRDefault="00601044" w:rsidP="00EB7325">
      <w:r>
        <w:t>Weather-dependent end uses (heating and cooling) are assigned an hourly slope and intercept dependent on the Heat Index for that given hour.  All model parameters are defined on a kW-per-square foot basis.  For example, residential resistive heating, heat pump, and AC load (in kW/</w:t>
      </w:r>
      <w:proofErr w:type="spellStart"/>
      <w:r>
        <w:t>sqFt</w:t>
      </w:r>
      <w:proofErr w:type="spellEnd"/>
      <w:r>
        <w:t xml:space="preserve">) for hour 0 </w:t>
      </w:r>
      <w:r w:rsidR="00CD10C9">
        <w:t xml:space="preserve">and hour 1 </w:t>
      </w:r>
      <w:r>
        <w:t>are defined as:</w:t>
      </w:r>
    </w:p>
    <w:p w:rsidR="00601044" w:rsidRPr="00601044" w:rsidRDefault="00601044" w:rsidP="00F845DF">
      <w:pPr>
        <w:jc w:val="center"/>
        <w:rPr>
          <w:i/>
        </w:rPr>
      </w:pPr>
      <w:proofErr w:type="gramStart"/>
      <w:r w:rsidRPr="00601044">
        <w:rPr>
          <w:i/>
        </w:rPr>
        <w:t>RH(</w:t>
      </w:r>
      <w:proofErr w:type="gramEnd"/>
      <w:r w:rsidRPr="00601044">
        <w:rPr>
          <w:i/>
        </w:rPr>
        <w:t xml:space="preserve">t=0) = </w:t>
      </w:r>
      <w:proofErr w:type="spellStart"/>
      <w:r w:rsidRPr="00601044">
        <w:rPr>
          <w:i/>
        </w:rPr>
        <w:t>Slope</w:t>
      </w:r>
      <w:r w:rsidRPr="00601044">
        <w:rPr>
          <w:i/>
          <w:vertAlign w:val="subscript"/>
        </w:rPr>
        <w:t>RH</w:t>
      </w:r>
      <w:proofErr w:type="spellEnd"/>
      <w:r w:rsidRPr="00601044">
        <w:rPr>
          <w:i/>
        </w:rPr>
        <w:t xml:space="preserve">(t=0) x HI + </w:t>
      </w:r>
      <w:proofErr w:type="spellStart"/>
      <w:r w:rsidRPr="00601044">
        <w:rPr>
          <w:i/>
        </w:rPr>
        <w:t>Int</w:t>
      </w:r>
      <w:r w:rsidRPr="00601044">
        <w:rPr>
          <w:i/>
          <w:vertAlign w:val="subscript"/>
        </w:rPr>
        <w:t>RH</w:t>
      </w:r>
      <w:proofErr w:type="spellEnd"/>
      <w:r w:rsidRPr="00601044">
        <w:rPr>
          <w:i/>
        </w:rPr>
        <w:t>(t=0)</w:t>
      </w:r>
      <w:r w:rsidR="00AB2022">
        <w:rPr>
          <w:i/>
        </w:rPr>
        <w:tab/>
      </w:r>
      <w:r>
        <w:rPr>
          <w:i/>
        </w:rPr>
        <w:tab/>
      </w:r>
      <w:r w:rsidR="00CD10C9" w:rsidRPr="00601044">
        <w:rPr>
          <w:i/>
        </w:rPr>
        <w:t>RH(t=</w:t>
      </w:r>
      <w:r w:rsidR="00CD10C9">
        <w:rPr>
          <w:i/>
        </w:rPr>
        <w:t>1</w:t>
      </w:r>
      <w:r w:rsidR="00CD10C9" w:rsidRPr="00601044">
        <w:rPr>
          <w:i/>
        </w:rPr>
        <w:t xml:space="preserve">) = </w:t>
      </w:r>
      <w:proofErr w:type="spellStart"/>
      <w:r w:rsidR="00CD10C9" w:rsidRPr="00601044">
        <w:rPr>
          <w:i/>
        </w:rPr>
        <w:t>Slope</w:t>
      </w:r>
      <w:r w:rsidR="00CD10C9" w:rsidRPr="00601044">
        <w:rPr>
          <w:i/>
          <w:vertAlign w:val="subscript"/>
        </w:rPr>
        <w:t>RH</w:t>
      </w:r>
      <w:proofErr w:type="spellEnd"/>
      <w:r w:rsidR="00CD10C9" w:rsidRPr="00601044">
        <w:rPr>
          <w:i/>
        </w:rPr>
        <w:t>(t=</w:t>
      </w:r>
      <w:r w:rsidR="00CD10C9">
        <w:rPr>
          <w:i/>
        </w:rPr>
        <w:t>1</w:t>
      </w:r>
      <w:r w:rsidR="00CD10C9" w:rsidRPr="00601044">
        <w:rPr>
          <w:i/>
        </w:rPr>
        <w:t xml:space="preserve">) x HI + </w:t>
      </w:r>
      <w:proofErr w:type="spellStart"/>
      <w:r w:rsidR="00CD10C9" w:rsidRPr="00601044">
        <w:rPr>
          <w:i/>
        </w:rPr>
        <w:t>Int</w:t>
      </w:r>
      <w:r w:rsidR="00CD10C9" w:rsidRPr="00601044">
        <w:rPr>
          <w:i/>
          <w:vertAlign w:val="subscript"/>
        </w:rPr>
        <w:t>RH</w:t>
      </w:r>
      <w:proofErr w:type="spellEnd"/>
      <w:r w:rsidR="00CD10C9" w:rsidRPr="00601044">
        <w:rPr>
          <w:i/>
        </w:rPr>
        <w:t>(t=</w:t>
      </w:r>
      <w:r w:rsidR="00CD10C9">
        <w:rPr>
          <w:i/>
        </w:rPr>
        <w:t>1</w:t>
      </w:r>
      <w:r w:rsidR="00CD10C9" w:rsidRPr="00601044">
        <w:rPr>
          <w:i/>
        </w:rPr>
        <w:t>)</w:t>
      </w:r>
    </w:p>
    <w:p w:rsidR="00601044" w:rsidRDefault="00601044" w:rsidP="00F845DF">
      <w:pPr>
        <w:jc w:val="center"/>
        <w:rPr>
          <w:i/>
        </w:rPr>
      </w:pPr>
      <w:proofErr w:type="gramStart"/>
      <w:r w:rsidRPr="00601044">
        <w:rPr>
          <w:i/>
        </w:rPr>
        <w:t>HP(</w:t>
      </w:r>
      <w:proofErr w:type="gramEnd"/>
      <w:r w:rsidRPr="00601044">
        <w:rPr>
          <w:i/>
        </w:rPr>
        <w:t xml:space="preserve">t=0) = </w:t>
      </w:r>
      <w:proofErr w:type="spellStart"/>
      <w:r w:rsidRPr="00601044">
        <w:rPr>
          <w:i/>
        </w:rPr>
        <w:t>Slope</w:t>
      </w:r>
      <w:r w:rsidRPr="00601044">
        <w:rPr>
          <w:i/>
          <w:vertAlign w:val="subscript"/>
        </w:rPr>
        <w:t>HP</w:t>
      </w:r>
      <w:proofErr w:type="spellEnd"/>
      <w:r w:rsidRPr="00601044">
        <w:rPr>
          <w:i/>
        </w:rPr>
        <w:t xml:space="preserve">(t=0) X HI + </w:t>
      </w:r>
      <w:proofErr w:type="spellStart"/>
      <w:r w:rsidRPr="00601044">
        <w:rPr>
          <w:i/>
        </w:rPr>
        <w:t>Int</w:t>
      </w:r>
      <w:r w:rsidRPr="00601044">
        <w:rPr>
          <w:i/>
          <w:vertAlign w:val="subscript"/>
        </w:rPr>
        <w:t>HP</w:t>
      </w:r>
      <w:proofErr w:type="spellEnd"/>
      <w:r w:rsidRPr="00601044">
        <w:rPr>
          <w:i/>
        </w:rPr>
        <w:t>(t=0)</w:t>
      </w:r>
      <w:r w:rsidR="00AB2022">
        <w:rPr>
          <w:i/>
        </w:rPr>
        <w:tab/>
      </w:r>
      <w:r w:rsidR="00CD10C9">
        <w:rPr>
          <w:i/>
        </w:rPr>
        <w:tab/>
      </w:r>
      <w:r w:rsidR="00CD10C9" w:rsidRPr="00601044">
        <w:rPr>
          <w:i/>
        </w:rPr>
        <w:t>HP(t=</w:t>
      </w:r>
      <w:r w:rsidR="00CD10C9">
        <w:rPr>
          <w:i/>
        </w:rPr>
        <w:t>1</w:t>
      </w:r>
      <w:r w:rsidR="00CD10C9" w:rsidRPr="00601044">
        <w:rPr>
          <w:i/>
        </w:rPr>
        <w:t xml:space="preserve">) = </w:t>
      </w:r>
      <w:proofErr w:type="spellStart"/>
      <w:r w:rsidR="00CD10C9" w:rsidRPr="00601044">
        <w:rPr>
          <w:i/>
        </w:rPr>
        <w:t>Slope</w:t>
      </w:r>
      <w:r w:rsidR="00CD10C9" w:rsidRPr="00601044">
        <w:rPr>
          <w:i/>
          <w:vertAlign w:val="subscript"/>
        </w:rPr>
        <w:t>HP</w:t>
      </w:r>
      <w:proofErr w:type="spellEnd"/>
      <w:r w:rsidR="00CD10C9" w:rsidRPr="00601044">
        <w:rPr>
          <w:i/>
        </w:rPr>
        <w:t>(t=</w:t>
      </w:r>
      <w:r w:rsidR="00CD10C9">
        <w:rPr>
          <w:i/>
        </w:rPr>
        <w:t>1</w:t>
      </w:r>
      <w:r w:rsidR="00CD10C9" w:rsidRPr="00601044">
        <w:rPr>
          <w:i/>
        </w:rPr>
        <w:t xml:space="preserve">) X HI + </w:t>
      </w:r>
      <w:proofErr w:type="spellStart"/>
      <w:r w:rsidR="00CD10C9" w:rsidRPr="00601044">
        <w:rPr>
          <w:i/>
        </w:rPr>
        <w:t>Int</w:t>
      </w:r>
      <w:r w:rsidR="00CD10C9" w:rsidRPr="00601044">
        <w:rPr>
          <w:i/>
          <w:vertAlign w:val="subscript"/>
        </w:rPr>
        <w:t>HP</w:t>
      </w:r>
      <w:proofErr w:type="spellEnd"/>
      <w:r w:rsidR="00CD10C9" w:rsidRPr="00601044">
        <w:rPr>
          <w:i/>
        </w:rPr>
        <w:t>(t=</w:t>
      </w:r>
      <w:r w:rsidR="00CD10C9">
        <w:rPr>
          <w:i/>
        </w:rPr>
        <w:t>1</w:t>
      </w:r>
      <w:r w:rsidR="00CD10C9" w:rsidRPr="00601044">
        <w:rPr>
          <w:i/>
        </w:rPr>
        <w:t>)</w:t>
      </w:r>
    </w:p>
    <w:p w:rsidR="00601044" w:rsidRDefault="00601044" w:rsidP="00F845DF">
      <w:pPr>
        <w:jc w:val="center"/>
        <w:rPr>
          <w:i/>
        </w:rPr>
      </w:pPr>
      <w:proofErr w:type="gramStart"/>
      <w:r>
        <w:rPr>
          <w:i/>
        </w:rPr>
        <w:t>AC(</w:t>
      </w:r>
      <w:proofErr w:type="gramEnd"/>
      <w:r w:rsidRPr="00601044">
        <w:rPr>
          <w:i/>
        </w:rPr>
        <w:t xml:space="preserve">t=0) = </w:t>
      </w:r>
      <w:proofErr w:type="spellStart"/>
      <w:r w:rsidRPr="00601044">
        <w:rPr>
          <w:i/>
        </w:rPr>
        <w:t>Slope</w:t>
      </w:r>
      <w:r>
        <w:rPr>
          <w:i/>
          <w:vertAlign w:val="subscript"/>
        </w:rPr>
        <w:t>AC</w:t>
      </w:r>
      <w:proofErr w:type="spellEnd"/>
      <w:r w:rsidRPr="00601044">
        <w:rPr>
          <w:i/>
        </w:rPr>
        <w:t xml:space="preserve">(t=0) X HI + </w:t>
      </w:r>
      <w:proofErr w:type="spellStart"/>
      <w:r w:rsidRPr="00601044">
        <w:rPr>
          <w:i/>
        </w:rPr>
        <w:t>Int</w:t>
      </w:r>
      <w:r>
        <w:rPr>
          <w:i/>
          <w:vertAlign w:val="subscript"/>
        </w:rPr>
        <w:t>AC</w:t>
      </w:r>
      <w:proofErr w:type="spellEnd"/>
      <w:r w:rsidRPr="00601044">
        <w:rPr>
          <w:i/>
        </w:rPr>
        <w:t>(t=0)</w:t>
      </w:r>
      <w:r w:rsidR="00CD10C9" w:rsidRPr="00CD10C9">
        <w:rPr>
          <w:i/>
        </w:rPr>
        <w:t xml:space="preserve"> </w:t>
      </w:r>
      <w:r w:rsidR="00AB2022">
        <w:rPr>
          <w:i/>
        </w:rPr>
        <w:tab/>
      </w:r>
      <w:r w:rsidR="00CD10C9">
        <w:rPr>
          <w:i/>
        </w:rPr>
        <w:tab/>
        <w:t>AC(</w:t>
      </w:r>
      <w:r w:rsidR="00CD10C9" w:rsidRPr="00601044">
        <w:rPr>
          <w:i/>
        </w:rPr>
        <w:t>t=</w:t>
      </w:r>
      <w:r w:rsidR="00CD10C9">
        <w:rPr>
          <w:i/>
        </w:rPr>
        <w:t>1)</w:t>
      </w:r>
      <w:r w:rsidR="00CD10C9" w:rsidRPr="00601044">
        <w:rPr>
          <w:i/>
        </w:rPr>
        <w:t xml:space="preserve"> = </w:t>
      </w:r>
      <w:proofErr w:type="spellStart"/>
      <w:r w:rsidR="00CD10C9" w:rsidRPr="00601044">
        <w:rPr>
          <w:i/>
        </w:rPr>
        <w:t>Slope</w:t>
      </w:r>
      <w:r w:rsidR="00CD10C9">
        <w:rPr>
          <w:i/>
          <w:vertAlign w:val="subscript"/>
        </w:rPr>
        <w:t>AC</w:t>
      </w:r>
      <w:proofErr w:type="spellEnd"/>
      <w:r w:rsidR="00CD10C9" w:rsidRPr="00601044">
        <w:rPr>
          <w:i/>
        </w:rPr>
        <w:t>(t=</w:t>
      </w:r>
      <w:r w:rsidR="00CD10C9">
        <w:rPr>
          <w:i/>
        </w:rPr>
        <w:t>1</w:t>
      </w:r>
      <w:r w:rsidR="00CD10C9" w:rsidRPr="00601044">
        <w:rPr>
          <w:i/>
        </w:rPr>
        <w:t xml:space="preserve">) X HI + </w:t>
      </w:r>
      <w:proofErr w:type="spellStart"/>
      <w:r w:rsidR="00CD10C9" w:rsidRPr="00601044">
        <w:rPr>
          <w:i/>
        </w:rPr>
        <w:t>Int</w:t>
      </w:r>
      <w:r w:rsidR="00CD10C9">
        <w:rPr>
          <w:i/>
          <w:vertAlign w:val="subscript"/>
        </w:rPr>
        <w:t>AC</w:t>
      </w:r>
      <w:proofErr w:type="spellEnd"/>
      <w:r w:rsidR="00CD10C9" w:rsidRPr="00601044">
        <w:rPr>
          <w:i/>
        </w:rPr>
        <w:t>(t=</w:t>
      </w:r>
      <w:r w:rsidR="00CD10C9">
        <w:rPr>
          <w:i/>
        </w:rPr>
        <w:t>1</w:t>
      </w:r>
      <w:r w:rsidR="00CD10C9" w:rsidRPr="00601044">
        <w:rPr>
          <w:i/>
        </w:rPr>
        <w:t>)</w:t>
      </w:r>
    </w:p>
    <w:p w:rsidR="00606B79" w:rsidRDefault="00606B79" w:rsidP="00EB7325">
      <w:r>
        <w:lastRenderedPageBreak/>
        <w:t xml:space="preserve">Similarly, weather-independent end uses (e.g. lighting, cooking, etc.) are assigned an hourly kW per square foot, which varies by hour of day.  However, since Heat </w:t>
      </w:r>
      <w:r w:rsidR="000662D5">
        <w:t xml:space="preserve">Index does not impact these end </w:t>
      </w:r>
      <w:r>
        <w:t>uses, no linear coefficients are necessary.</w:t>
      </w:r>
    </w:p>
    <w:p w:rsidR="00F845DF" w:rsidRPr="00CD10C9" w:rsidRDefault="00F845DF" w:rsidP="00EB7325">
      <w:r>
        <w:t>With these values defined, the residential and commercial building models are essentially lookup tables, defining hourly kW/</w:t>
      </w:r>
      <w:proofErr w:type="spellStart"/>
      <w:r>
        <w:t>sqFt</w:t>
      </w:r>
      <w:proofErr w:type="spellEnd"/>
      <w:r>
        <w:t xml:space="preserve"> for each end use, or the weather-dependent linear coefficients used to generate kW/</w:t>
      </w:r>
      <w:proofErr w:type="spellStart"/>
      <w:r>
        <w:t>sqFt</w:t>
      </w:r>
      <w:proofErr w:type="spellEnd"/>
      <w:r>
        <w:t>.  The following sections describe the process of determining the values to populate the lookup tables.</w:t>
      </w:r>
    </w:p>
    <w:p w:rsidR="00F277F5" w:rsidRDefault="00F277F5" w:rsidP="00F277F5">
      <w:pPr>
        <w:pStyle w:val="Heading3"/>
      </w:pPr>
      <w:r>
        <w:t>Residential Building Model</w:t>
      </w:r>
    </w:p>
    <w:p w:rsidR="00F845DF" w:rsidRDefault="00DE34A1" w:rsidP="00F845DF">
      <w:r>
        <w:t>As part of their RBSA study, NEEA compiled one year of hourly end-use measurements from roughly 100 homes in the Northwest.  This “8760” data was delivered to the NERC LMTF team, and was used as the basis for generating the residential building model.</w:t>
      </w:r>
      <w:r w:rsidR="00757402">
        <w:t xml:space="preserve">  Using the square footage given for each home, an</w:t>
      </w:r>
      <w:r w:rsidR="00ED1C0C">
        <w:t xml:space="preserve"> hourly</w:t>
      </w:r>
      <w:r w:rsidR="00757402">
        <w:t xml:space="preserve"> estimate of kW/</w:t>
      </w:r>
      <w:proofErr w:type="spellStart"/>
      <w:r w:rsidR="00757402">
        <w:t>sqFt</w:t>
      </w:r>
      <w:proofErr w:type="spellEnd"/>
      <w:r w:rsidR="00757402">
        <w:t xml:space="preserve"> for each </w:t>
      </w:r>
      <w:r w:rsidR="00757402" w:rsidRPr="00757402">
        <w:rPr>
          <w:i/>
        </w:rPr>
        <w:t>weather-independent</w:t>
      </w:r>
      <w:r w:rsidR="00757402" w:rsidRPr="00757402">
        <w:t xml:space="preserve"> </w:t>
      </w:r>
      <w:r w:rsidR="00757402">
        <w:t>end-use was calculated as the mean across all buildings in the study.</w:t>
      </w:r>
      <w:r w:rsidR="00ED1C0C">
        <w:t xml:space="preserve">  These hourly kW/</w:t>
      </w:r>
      <w:proofErr w:type="spellStart"/>
      <w:r w:rsidR="00ED1C0C">
        <w:t>sqFt</w:t>
      </w:r>
      <w:proofErr w:type="spellEnd"/>
      <w:r w:rsidR="00ED1C0C">
        <w:t xml:space="preserve"> values were entered into the lookup tables for the residential model.</w:t>
      </w:r>
    </w:p>
    <w:p w:rsidR="004A77E5" w:rsidRDefault="00ED1C0C" w:rsidP="004A77E5">
      <w:r>
        <w:t>Limited heating and cooling information in the RBSA 8760 data set required a different process for determining the hourly kW/</w:t>
      </w:r>
      <w:proofErr w:type="spellStart"/>
      <w:r>
        <w:t>sqFt</w:t>
      </w:r>
      <w:proofErr w:type="spellEnd"/>
      <w:r>
        <w:t xml:space="preserve"> for </w:t>
      </w:r>
      <w:r w:rsidRPr="006F209C">
        <w:rPr>
          <w:i/>
        </w:rPr>
        <w:t>weather-dependent</w:t>
      </w:r>
      <w:r>
        <w:t xml:space="preserve"> end uses.  To calculate the linear coefficients, three years of historical SCADA data was pulled for a largely residential distribution substation in the Vancouver, WA area</w:t>
      </w:r>
      <w:r w:rsidR="005A4BD0">
        <w:t xml:space="preserve">. </w:t>
      </w:r>
      <w:r w:rsidR="00D35D71">
        <w:t xml:space="preserve"> </w:t>
      </w:r>
      <w:r w:rsidR="005A4BD0">
        <w:t>T</w:t>
      </w:r>
      <w:r w:rsidR="00D35D71">
        <w:t>he corresponding Heat Index values for the same time period</w:t>
      </w:r>
      <w:r w:rsidR="005A4BD0">
        <w:t xml:space="preserve"> were also collected</w:t>
      </w:r>
      <w:r w:rsidR="00EE2115">
        <w:t>, and the following process was completed:</w:t>
      </w:r>
    </w:p>
    <w:p w:rsidR="00D35D71" w:rsidRDefault="00D35D71" w:rsidP="004A77E5">
      <w:pPr>
        <w:pStyle w:val="ListParagraph"/>
        <w:numPr>
          <w:ilvl w:val="0"/>
          <w:numId w:val="4"/>
        </w:numPr>
      </w:pPr>
      <w:r>
        <w:t>Based on historical weather information</w:t>
      </w:r>
      <w:r w:rsidR="00EE2115">
        <w:t>,</w:t>
      </w:r>
      <w:r>
        <w:t xml:space="preserve"> plot the substation load for a </w:t>
      </w:r>
      <w:r w:rsidR="00927EE0">
        <w:t>mild summer</w:t>
      </w:r>
      <w:r>
        <w:t xml:space="preserve"> day and a relatively warm summer day.  Assume only base load is present for the </w:t>
      </w:r>
      <w:r w:rsidR="00927EE0">
        <w:t>mild</w:t>
      </w:r>
      <w:r>
        <w:t xml:space="preserve"> day, while base </w:t>
      </w:r>
      <w:r w:rsidR="00927EE0">
        <w:t>load and AC is present for the warmer</w:t>
      </w:r>
      <w:r>
        <w:t xml:space="preserve"> day.</w:t>
      </w:r>
      <w:r w:rsidR="00105999">
        <w:t xml:space="preserve"> </w:t>
      </w:r>
      <w:r w:rsidR="003921E4">
        <w:t xml:space="preserve"> </w:t>
      </w:r>
      <w:r w:rsidR="00105999">
        <w:t>Figure 5 shows the observed Heat Index for these two days, and Figure 6 shows the corresponding measured load.</w:t>
      </w:r>
    </w:p>
    <w:p w:rsidR="00105999" w:rsidRDefault="00105999" w:rsidP="00105999">
      <w:pPr>
        <w:pStyle w:val="ListParagraph"/>
      </w:pPr>
    </w:p>
    <w:p w:rsidR="00105999" w:rsidRDefault="000378F2" w:rsidP="00105999">
      <w:pPr>
        <w:pStyle w:val="ListParagraph"/>
        <w:keepNext/>
        <w:jc w:val="center"/>
      </w:pPr>
      <w:r>
        <w:rPr>
          <w:noProof/>
        </w:rPr>
        <w:drawing>
          <wp:inline distT="0" distB="0" distL="0" distR="0" wp14:anchorId="5F7EEC97" wp14:editId="23474F46">
            <wp:extent cx="359484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840" cy="2286000"/>
                    </a:xfrm>
                    <a:prstGeom prst="rect">
                      <a:avLst/>
                    </a:prstGeom>
                    <a:noFill/>
                    <a:ln>
                      <a:noFill/>
                    </a:ln>
                  </pic:spPr>
                </pic:pic>
              </a:graphicData>
            </a:graphic>
          </wp:inline>
        </w:drawing>
      </w:r>
    </w:p>
    <w:p w:rsidR="00105999" w:rsidRDefault="00105999" w:rsidP="00105999">
      <w:pPr>
        <w:pStyle w:val="Caption"/>
        <w:jc w:val="center"/>
      </w:pPr>
      <w:r>
        <w:t xml:space="preserve">Figure </w:t>
      </w:r>
      <w:fldSimple w:instr=" SEQ Figure \* ARABIC ">
        <w:r w:rsidR="002A7CD3">
          <w:rPr>
            <w:noProof/>
          </w:rPr>
          <w:t>5</w:t>
        </w:r>
      </w:fldSimple>
      <w:r>
        <w:t>: Heat Index for Mild and Warm Summer Days</w:t>
      </w:r>
    </w:p>
    <w:p w:rsidR="00105999" w:rsidRDefault="000378F2" w:rsidP="00105999">
      <w:pPr>
        <w:pStyle w:val="ListParagraph"/>
        <w:keepNext/>
        <w:jc w:val="center"/>
      </w:pPr>
      <w:r>
        <w:rPr>
          <w:noProof/>
        </w:rPr>
        <w:lastRenderedPageBreak/>
        <w:drawing>
          <wp:inline distT="0" distB="0" distL="0" distR="0" wp14:anchorId="344534FB" wp14:editId="5E0E5819">
            <wp:extent cx="3594841"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4841" cy="2286000"/>
                    </a:xfrm>
                    <a:prstGeom prst="rect">
                      <a:avLst/>
                    </a:prstGeom>
                    <a:noFill/>
                    <a:ln>
                      <a:noFill/>
                    </a:ln>
                  </pic:spPr>
                </pic:pic>
              </a:graphicData>
            </a:graphic>
          </wp:inline>
        </w:drawing>
      </w:r>
    </w:p>
    <w:p w:rsidR="00927EE0" w:rsidRDefault="00105999" w:rsidP="00105999">
      <w:pPr>
        <w:pStyle w:val="Caption"/>
        <w:jc w:val="center"/>
      </w:pPr>
      <w:r>
        <w:t xml:space="preserve">Figure </w:t>
      </w:r>
      <w:fldSimple w:instr=" SEQ Figure \* ARABIC ">
        <w:r w:rsidR="002A7CD3">
          <w:rPr>
            <w:noProof/>
          </w:rPr>
          <w:t>6</w:t>
        </w:r>
      </w:fldSimple>
      <w:r>
        <w:t>: Substation Load for Mild and Warm Summer Days</w:t>
      </w:r>
    </w:p>
    <w:p w:rsidR="00927EE0" w:rsidRPr="004A77E5" w:rsidRDefault="00927EE0" w:rsidP="00927EE0">
      <w:pPr>
        <w:pStyle w:val="ListParagraph"/>
      </w:pPr>
    </w:p>
    <w:p w:rsidR="00D35D71" w:rsidRDefault="00D35D71" w:rsidP="00D35D71">
      <w:pPr>
        <w:pStyle w:val="ListParagraph"/>
        <w:numPr>
          <w:ilvl w:val="0"/>
          <w:numId w:val="4"/>
        </w:numPr>
      </w:pPr>
      <w:r>
        <w:t xml:space="preserve">Using </w:t>
      </w:r>
      <w:r w:rsidR="00927EE0">
        <w:t>warm summer day</w:t>
      </w:r>
      <w:r>
        <w:t xml:space="preserve"> feeder load, divide by the total </w:t>
      </w:r>
      <w:r w:rsidRPr="00760C97">
        <w:rPr>
          <w:i/>
        </w:rPr>
        <w:t>weather-independent</w:t>
      </w:r>
      <w:r>
        <w:t xml:space="preserve"> end use kW/</w:t>
      </w:r>
      <w:proofErr w:type="spellStart"/>
      <w:r>
        <w:t>sqFt</w:t>
      </w:r>
      <w:proofErr w:type="spellEnd"/>
      <w:r>
        <w:t xml:space="preserve"> determined from the RBSA data for each hour.</w:t>
      </w:r>
      <w:r w:rsidRPr="00D35D71">
        <w:t xml:space="preserve"> </w:t>
      </w:r>
      <w:r>
        <w:t xml:space="preserve"> The mean across 24 hours provides an estimate for the residential square footage sourced by the feeder under study.  </w:t>
      </w:r>
    </w:p>
    <w:p w:rsidR="00D35D71" w:rsidRDefault="00D35D71" w:rsidP="00D35D71">
      <w:pPr>
        <w:pStyle w:val="ListParagraph"/>
        <w:numPr>
          <w:ilvl w:val="0"/>
          <w:numId w:val="4"/>
        </w:numPr>
      </w:pPr>
      <w:r>
        <w:t xml:space="preserve">Determine the hourly difference between the load on the </w:t>
      </w:r>
      <w:r w:rsidR="000378F2">
        <w:t>warm</w:t>
      </w:r>
      <w:r>
        <w:t xml:space="preserve"> day and the load on the </w:t>
      </w:r>
      <w:r w:rsidR="000378F2">
        <w:t>mild</w:t>
      </w:r>
      <w:r>
        <w:t xml:space="preserve"> day.  This provides an estimate of th</w:t>
      </w:r>
      <w:r w:rsidR="00105999">
        <w:t>e hourly kW of air conditioning, shown in Figure 7.</w:t>
      </w:r>
    </w:p>
    <w:p w:rsidR="00105999" w:rsidRDefault="00105999" w:rsidP="00105999">
      <w:pPr>
        <w:pStyle w:val="ListParagraph"/>
      </w:pPr>
    </w:p>
    <w:p w:rsidR="00105999" w:rsidRDefault="00052639" w:rsidP="00105999">
      <w:pPr>
        <w:pStyle w:val="ListParagraph"/>
        <w:keepNext/>
        <w:jc w:val="center"/>
      </w:pPr>
      <w:r>
        <w:rPr>
          <w:noProof/>
        </w:rPr>
        <w:drawing>
          <wp:inline distT="0" distB="0" distL="0" distR="0" wp14:anchorId="49EAA457" wp14:editId="49AF6BE8">
            <wp:extent cx="3593592"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3592" cy="2286000"/>
                    </a:xfrm>
                    <a:prstGeom prst="rect">
                      <a:avLst/>
                    </a:prstGeom>
                    <a:noFill/>
                    <a:ln>
                      <a:noFill/>
                    </a:ln>
                  </pic:spPr>
                </pic:pic>
              </a:graphicData>
            </a:graphic>
          </wp:inline>
        </w:drawing>
      </w:r>
    </w:p>
    <w:p w:rsidR="00052639" w:rsidRDefault="00105999" w:rsidP="00105999">
      <w:pPr>
        <w:pStyle w:val="Caption"/>
        <w:jc w:val="center"/>
      </w:pPr>
      <w:r>
        <w:t xml:space="preserve">Figure </w:t>
      </w:r>
      <w:fldSimple w:instr=" SEQ Figure \* ARABIC ">
        <w:r w:rsidR="002A7CD3">
          <w:rPr>
            <w:noProof/>
          </w:rPr>
          <w:t>7</w:t>
        </w:r>
      </w:fldSimple>
      <w:r>
        <w:t>: Estimated Residential Cooling for Substation</w:t>
      </w:r>
    </w:p>
    <w:p w:rsidR="00052639" w:rsidRDefault="00D35D71" w:rsidP="00D35D71">
      <w:pPr>
        <w:pStyle w:val="ListParagraph"/>
        <w:numPr>
          <w:ilvl w:val="0"/>
          <w:numId w:val="4"/>
        </w:numPr>
      </w:pPr>
      <w:r>
        <w:t>Assuming linearity relative to Heat Index, calculate the slope and intercept of AC load per square foot.</w:t>
      </w:r>
      <w:r w:rsidR="003921E4">
        <w:t xml:space="preserve">  Repeat for each hour in the 24-hour period under study.</w:t>
      </w:r>
      <w:r w:rsidR="00105999">
        <w:t xml:space="preserve">  The slope across the full 24 hours is shown in Figure 8.</w:t>
      </w:r>
    </w:p>
    <w:p w:rsidR="00105999" w:rsidRDefault="00052639" w:rsidP="00105999">
      <w:pPr>
        <w:pStyle w:val="ListParagraph"/>
        <w:keepNext/>
        <w:jc w:val="center"/>
      </w:pPr>
      <w:r>
        <w:rPr>
          <w:noProof/>
        </w:rPr>
        <w:lastRenderedPageBreak/>
        <w:drawing>
          <wp:inline distT="0" distB="0" distL="0" distR="0" wp14:anchorId="78C8F3A5" wp14:editId="503801F8">
            <wp:extent cx="359484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4840" cy="2286000"/>
                    </a:xfrm>
                    <a:prstGeom prst="rect">
                      <a:avLst/>
                    </a:prstGeom>
                    <a:noFill/>
                    <a:ln>
                      <a:noFill/>
                    </a:ln>
                  </pic:spPr>
                </pic:pic>
              </a:graphicData>
            </a:graphic>
          </wp:inline>
        </w:drawing>
      </w:r>
    </w:p>
    <w:p w:rsidR="00052639" w:rsidRDefault="00105999" w:rsidP="00105999">
      <w:pPr>
        <w:pStyle w:val="Caption"/>
        <w:jc w:val="center"/>
      </w:pPr>
      <w:r>
        <w:t xml:space="preserve">Figure </w:t>
      </w:r>
      <w:fldSimple w:instr=" SEQ Figure \* ARABIC ">
        <w:r w:rsidR="002A7CD3">
          <w:rPr>
            <w:noProof/>
          </w:rPr>
          <w:t>8</w:t>
        </w:r>
      </w:fldSimple>
      <w:r>
        <w:t>: Slope of Residential Cooling, Relative to kW/</w:t>
      </w:r>
      <w:proofErr w:type="spellStart"/>
      <w:r>
        <w:t>SqFt</w:t>
      </w:r>
      <w:proofErr w:type="spellEnd"/>
    </w:p>
    <w:p w:rsidR="003921E4" w:rsidRDefault="003921E4" w:rsidP="00D35D71">
      <w:pPr>
        <w:pStyle w:val="ListParagraph"/>
        <w:numPr>
          <w:ilvl w:val="0"/>
          <w:numId w:val="4"/>
        </w:numPr>
      </w:pPr>
      <w:r>
        <w:t>Repeat steps 1-4 for heating in winter relative to spring base load day.  Assume only base load and heating (no AC) in winter.</w:t>
      </w:r>
    </w:p>
    <w:p w:rsidR="003921E4" w:rsidRDefault="003921E4" w:rsidP="00193A2B">
      <w:pPr>
        <w:pStyle w:val="ListParagraph"/>
        <w:numPr>
          <w:ilvl w:val="0"/>
          <w:numId w:val="4"/>
        </w:numPr>
      </w:pPr>
      <w:r>
        <w:t xml:space="preserve">When hourly </w:t>
      </w:r>
      <w:r w:rsidRPr="00193A2B">
        <w:rPr>
          <w:i/>
        </w:rPr>
        <w:t>weather-dependent</w:t>
      </w:r>
      <w:r>
        <w:t xml:space="preserve"> linear coefficients are determined, input them into the lookup table.  For the summer building model, assume coefficients of 0 for heating.  Similarly, assume coefficients of 0 for AC in the winter building model.  For spring, use both the summer AC and winter heating coefficients as calculated.  </w:t>
      </w:r>
    </w:p>
    <w:p w:rsidR="003921E4" w:rsidRDefault="003921E4" w:rsidP="003921E4">
      <w:r>
        <w:t>Note that the analysis software provides a cutoff that will limit heating and cooling loads to positive values only.  If the linear equation for heating or cooling produces a negative value based on a given Heat Index, the load for that end use is fixed to zero.</w:t>
      </w:r>
    </w:p>
    <w:p w:rsidR="003921E4" w:rsidRDefault="00F277F5" w:rsidP="003921E4">
      <w:pPr>
        <w:pStyle w:val="Heading3"/>
      </w:pPr>
      <w:r>
        <w:t>Commercial Building Model</w:t>
      </w:r>
    </w:p>
    <w:p w:rsidR="00170D1D" w:rsidRDefault="0003567E" w:rsidP="0003567E">
      <w:r>
        <w:t>Similar to the RBSA, the CEUS provides</w:t>
      </w:r>
      <w:r w:rsidR="00F02736">
        <w:t xml:space="preserve"> an</w:t>
      </w:r>
      <w:r>
        <w:t xml:space="preserve"> 8760 hourly end-use data</w:t>
      </w:r>
      <w:r w:rsidR="00F02736">
        <w:t>set</w:t>
      </w:r>
      <w:r>
        <w:t xml:space="preserve"> based on metering and simulations for </w:t>
      </w:r>
      <w:r w:rsidR="00B86545">
        <w:t>fifteen climate zones</w:t>
      </w:r>
      <w:r>
        <w:t xml:space="preserve"> across California.  </w:t>
      </w:r>
      <w:r w:rsidR="00105999">
        <w:t>Figure 9 shows a map of these climate zones.</w:t>
      </w:r>
      <w:r w:rsidR="00170D1D">
        <w:t xml:space="preserve"> </w:t>
      </w:r>
    </w:p>
    <w:p w:rsidR="00105999" w:rsidRDefault="00170D1D" w:rsidP="00105999">
      <w:pPr>
        <w:keepNext/>
        <w:jc w:val="center"/>
      </w:pPr>
      <w:r>
        <w:rPr>
          <w:noProof/>
        </w:rPr>
        <w:drawing>
          <wp:inline distT="0" distB="0" distL="0" distR="0" wp14:anchorId="430DB379" wp14:editId="7FAB0E2E">
            <wp:extent cx="1896924" cy="2238451"/>
            <wp:effectExtent l="0" t="0" r="8255" b="0"/>
            <wp:docPr id="2" name="Picture 2" descr="http://capabilities.itron.com/ceusweb/images/CACZMzp_ForecastingCZ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apabilities.itron.com/ceusweb/images/CACZMzp_ForecastingCZs.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1680" cy="2244064"/>
                    </a:xfrm>
                    <a:prstGeom prst="rect">
                      <a:avLst/>
                    </a:prstGeom>
                    <a:noFill/>
                    <a:ln>
                      <a:noFill/>
                    </a:ln>
                  </pic:spPr>
                </pic:pic>
              </a:graphicData>
            </a:graphic>
          </wp:inline>
        </w:drawing>
      </w:r>
    </w:p>
    <w:p w:rsidR="00170D1D" w:rsidRDefault="00105999" w:rsidP="00105999">
      <w:pPr>
        <w:pStyle w:val="Caption"/>
        <w:jc w:val="center"/>
      </w:pPr>
      <w:r>
        <w:t xml:space="preserve">Figure </w:t>
      </w:r>
      <w:fldSimple w:instr=" SEQ Figure \* ARABIC ">
        <w:r w:rsidR="002A7CD3">
          <w:rPr>
            <w:noProof/>
          </w:rPr>
          <w:t>9</w:t>
        </w:r>
      </w:fldSimple>
      <w:r>
        <w:t>: California Climate Zones Used in CEUS</w:t>
      </w:r>
    </w:p>
    <w:p w:rsidR="002D213B" w:rsidRDefault="006D46D6" w:rsidP="0003567E">
      <w:r>
        <w:lastRenderedPageBreak/>
        <w:t xml:space="preserve">Information </w:t>
      </w:r>
      <w:r w:rsidR="00170D1D">
        <w:t xml:space="preserve">in the CEUS </w:t>
      </w:r>
      <w:r>
        <w:t>is categorized by commercial building type, including: college, grocery, health, lodging, large office, miscellaneous, refrigerated warehouse, restaurant, retail, school, small office, and warehouse.</w:t>
      </w:r>
      <w:r w:rsidR="002D213B">
        <w:t xml:space="preserve">  The CEUS provides the square footage for each building type for each </w:t>
      </w:r>
      <w:r w:rsidR="00932BD2">
        <w:t>zone</w:t>
      </w:r>
      <w:r w:rsidR="002D213B">
        <w:t>, as well as the square footage of building area for each end use.  For example, the CEUS lists the number of square feet of restaurant</w:t>
      </w:r>
      <w:r w:rsidR="00B66192">
        <w:t>s</w:t>
      </w:r>
      <w:r w:rsidR="002D213B">
        <w:t xml:space="preserve"> with air conditioning</w:t>
      </w:r>
      <w:r w:rsidR="00B66192">
        <w:t xml:space="preserve"> for each climate zone in the study</w:t>
      </w:r>
      <w:r w:rsidR="002D213B">
        <w:t>.</w:t>
      </w:r>
    </w:p>
    <w:p w:rsidR="0003567E" w:rsidRDefault="002D213B" w:rsidP="0003567E">
      <w:r>
        <w:t>For the purposes of this study, region 6 (Sacramento area) was primarily used to develop the commercial building models.  However, a similar process can be followed for other regions to further refine the model.  The methodology for developing the model is as follows:</w:t>
      </w:r>
    </w:p>
    <w:p w:rsidR="002D213B" w:rsidRDefault="002D213B" w:rsidP="002D213B">
      <w:pPr>
        <w:pStyle w:val="ListParagraph"/>
        <w:numPr>
          <w:ilvl w:val="0"/>
          <w:numId w:val="5"/>
        </w:numPr>
      </w:pPr>
      <w:r>
        <w:t>Collect hourly historical weather data for the selected region for the time period reported by the CEUS.  Compute the corresponding Heat Index.</w:t>
      </w:r>
    </w:p>
    <w:p w:rsidR="00C92FD2" w:rsidRDefault="00C92FD2" w:rsidP="002D213B">
      <w:pPr>
        <w:pStyle w:val="ListParagraph"/>
        <w:numPr>
          <w:ilvl w:val="0"/>
          <w:numId w:val="5"/>
        </w:numPr>
      </w:pPr>
      <w:r>
        <w:t xml:space="preserve">Retrieve historical weather for </w:t>
      </w:r>
      <w:r w:rsidR="00FB6F14">
        <w:t xml:space="preserve">the </w:t>
      </w:r>
      <w:r>
        <w:t>summer time period.</w:t>
      </w:r>
    </w:p>
    <w:p w:rsidR="002D213B" w:rsidRDefault="002D213B" w:rsidP="002D213B">
      <w:pPr>
        <w:pStyle w:val="ListParagraph"/>
        <w:numPr>
          <w:ilvl w:val="0"/>
          <w:numId w:val="5"/>
        </w:numPr>
      </w:pPr>
      <w:r>
        <w:t>Select a building type (e.g., grocery or restaurant)</w:t>
      </w:r>
      <w:r w:rsidR="00CE78DF">
        <w:t xml:space="preserve"> and retrieve the hourly end use kW and square footage information for that building type</w:t>
      </w:r>
      <w:r w:rsidR="00C92FD2">
        <w:t xml:space="preserve"> for summer</w:t>
      </w:r>
      <w:r w:rsidR="00CE78DF">
        <w:t>.</w:t>
      </w:r>
    </w:p>
    <w:p w:rsidR="002D213B" w:rsidRDefault="00CE78DF" w:rsidP="002D213B">
      <w:pPr>
        <w:pStyle w:val="ListParagraph"/>
        <w:numPr>
          <w:ilvl w:val="0"/>
          <w:numId w:val="5"/>
        </w:numPr>
      </w:pPr>
      <w:r>
        <w:t>Calculate</w:t>
      </w:r>
      <w:r w:rsidR="002D213B">
        <w:t xml:space="preserve"> the hourly kW/</w:t>
      </w:r>
      <w:proofErr w:type="spellStart"/>
      <w:r w:rsidR="002D213B">
        <w:t>sqFt</w:t>
      </w:r>
      <w:proofErr w:type="spellEnd"/>
      <w:r w:rsidR="002D213B">
        <w:t xml:space="preserve"> for each end use</w:t>
      </w:r>
      <w:r>
        <w:t>.</w:t>
      </w:r>
    </w:p>
    <w:p w:rsidR="00CE78DF" w:rsidRDefault="00CE78DF" w:rsidP="002D213B">
      <w:pPr>
        <w:pStyle w:val="ListParagraph"/>
        <w:numPr>
          <w:ilvl w:val="0"/>
          <w:numId w:val="5"/>
        </w:numPr>
      </w:pPr>
      <w:r>
        <w:t xml:space="preserve">Generate hourly scatter plots for each recorded end use, including both weather-independent and weather-dependent loads. </w:t>
      </w:r>
      <w:r w:rsidR="00844E3F">
        <w:t>Figures 10 and 11 show examples of interior lighting load observed at 4:00 am and 4:00 pm during summer days</w:t>
      </w:r>
      <w:r w:rsidR="00FF4A16">
        <w:t xml:space="preserve"> at grocery stores</w:t>
      </w:r>
      <w:r w:rsidR="00844E3F">
        <w:t>.  Note the values are relatively constant across all days, but as expected, lighting load is nearly double in the afternoon relative to the early morning.</w:t>
      </w:r>
    </w:p>
    <w:p w:rsidR="005B4CEE" w:rsidRDefault="005B4CEE" w:rsidP="005B4CEE">
      <w:pPr>
        <w:pStyle w:val="ListParagraph"/>
      </w:pPr>
    </w:p>
    <w:p w:rsidR="00844E3F" w:rsidRDefault="00CF3273" w:rsidP="00844E3F">
      <w:pPr>
        <w:pStyle w:val="ListParagraph"/>
        <w:keepNext/>
        <w:jc w:val="center"/>
      </w:pPr>
      <w:r>
        <w:rPr>
          <w:noProof/>
        </w:rPr>
        <w:drawing>
          <wp:inline distT="0" distB="0" distL="0" distR="0" wp14:anchorId="24AB2263" wp14:editId="5453090E">
            <wp:extent cx="3593592"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3592" cy="2286000"/>
                    </a:xfrm>
                    <a:prstGeom prst="rect">
                      <a:avLst/>
                    </a:prstGeom>
                    <a:noFill/>
                    <a:ln>
                      <a:noFill/>
                    </a:ln>
                  </pic:spPr>
                </pic:pic>
              </a:graphicData>
            </a:graphic>
          </wp:inline>
        </w:drawing>
      </w:r>
    </w:p>
    <w:p w:rsidR="00BC24DB" w:rsidRDefault="00844E3F" w:rsidP="00844E3F">
      <w:pPr>
        <w:pStyle w:val="Caption"/>
        <w:jc w:val="center"/>
      </w:pPr>
      <w:r>
        <w:t xml:space="preserve">Figure </w:t>
      </w:r>
      <w:fldSimple w:instr=" SEQ Figure \* ARABIC ">
        <w:r w:rsidR="002A7CD3">
          <w:rPr>
            <w:noProof/>
          </w:rPr>
          <w:t>10</w:t>
        </w:r>
      </w:fldSimple>
      <w:r>
        <w:t>: Grocery Store Lighting Load at 4:00 am</w:t>
      </w:r>
    </w:p>
    <w:p w:rsidR="00844E3F" w:rsidRDefault="00CF3273" w:rsidP="00844E3F">
      <w:pPr>
        <w:pStyle w:val="ListParagraph"/>
        <w:keepNext/>
        <w:jc w:val="center"/>
      </w:pPr>
      <w:r>
        <w:rPr>
          <w:noProof/>
        </w:rPr>
        <w:lastRenderedPageBreak/>
        <w:drawing>
          <wp:inline distT="0" distB="0" distL="0" distR="0" wp14:anchorId="317CFC94" wp14:editId="22F2879E">
            <wp:extent cx="3593592"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3592" cy="2286000"/>
                    </a:xfrm>
                    <a:prstGeom prst="rect">
                      <a:avLst/>
                    </a:prstGeom>
                    <a:noFill/>
                    <a:ln>
                      <a:noFill/>
                    </a:ln>
                  </pic:spPr>
                </pic:pic>
              </a:graphicData>
            </a:graphic>
          </wp:inline>
        </w:drawing>
      </w:r>
    </w:p>
    <w:p w:rsidR="00D10682" w:rsidRDefault="00844E3F" w:rsidP="00844E3F">
      <w:pPr>
        <w:pStyle w:val="Caption"/>
        <w:jc w:val="center"/>
      </w:pPr>
      <w:r>
        <w:t xml:space="preserve">Figure </w:t>
      </w:r>
      <w:fldSimple w:instr=" SEQ Figure \* ARABIC ">
        <w:r w:rsidR="002A7CD3">
          <w:rPr>
            <w:noProof/>
          </w:rPr>
          <w:t>11</w:t>
        </w:r>
      </w:fldSimple>
      <w:r w:rsidRPr="00880D74">
        <w:t>: Groce</w:t>
      </w:r>
      <w:r>
        <w:t>ry Store Lighting Load at 4:00 p</w:t>
      </w:r>
      <w:r w:rsidRPr="00880D74">
        <w:t>m</w:t>
      </w:r>
    </w:p>
    <w:p w:rsidR="00C92FD2" w:rsidRDefault="00C92FD2" w:rsidP="00D10682">
      <w:pPr>
        <w:pStyle w:val="ListParagraph"/>
      </w:pPr>
    </w:p>
    <w:p w:rsidR="00CE78DF" w:rsidRDefault="00CE78DF" w:rsidP="002D213B">
      <w:pPr>
        <w:pStyle w:val="ListParagraph"/>
        <w:numPr>
          <w:ilvl w:val="0"/>
          <w:numId w:val="5"/>
        </w:numPr>
      </w:pPr>
      <w:r>
        <w:t xml:space="preserve">For </w:t>
      </w:r>
      <w:r w:rsidRPr="00230563">
        <w:rPr>
          <w:i/>
        </w:rPr>
        <w:t>weather-independent</w:t>
      </w:r>
      <w:r>
        <w:t xml:space="preserve"> loads, calculate the hour</w:t>
      </w:r>
      <w:r w:rsidR="00230563">
        <w:t>ly</w:t>
      </w:r>
      <w:r>
        <w:t xml:space="preserve"> mean of kW/</w:t>
      </w:r>
      <w:proofErr w:type="spellStart"/>
      <w:r>
        <w:t>sqFt</w:t>
      </w:r>
      <w:proofErr w:type="spellEnd"/>
      <w:r>
        <w:t>.  Insert these values into lookup table for the selected building.</w:t>
      </w:r>
    </w:p>
    <w:p w:rsidR="00CE78DF" w:rsidRDefault="00CE78DF" w:rsidP="002D213B">
      <w:pPr>
        <w:pStyle w:val="ListParagraph"/>
        <w:numPr>
          <w:ilvl w:val="0"/>
          <w:numId w:val="5"/>
        </w:numPr>
      </w:pPr>
      <w:r>
        <w:t xml:space="preserve">For </w:t>
      </w:r>
      <w:r w:rsidRPr="00C6487E">
        <w:rPr>
          <w:i/>
        </w:rPr>
        <w:t>weather-dependent</w:t>
      </w:r>
      <w:r>
        <w:t xml:space="preserve"> loads, perform a linear regression fit to determine the coefficients for hourly kW/</w:t>
      </w:r>
      <w:proofErr w:type="spellStart"/>
      <w:r>
        <w:t>sqFt</w:t>
      </w:r>
      <w:proofErr w:type="spellEnd"/>
      <w:r>
        <w:t>.  Insert these values into the lookup table for the selected building.</w:t>
      </w:r>
      <w:r w:rsidR="00FF4A16">
        <w:t xml:space="preserve">  Figures 12 and 13 show cooling load for grocery store</w:t>
      </w:r>
      <w:r w:rsidR="003511C7">
        <w:t>s</w:t>
      </w:r>
      <w:r w:rsidR="00FF4A16">
        <w:t xml:space="preserve"> at 4:00 am and </w:t>
      </w:r>
      <w:r w:rsidR="004058F0">
        <w:t xml:space="preserve">4:00 pm respectively.  Note </w:t>
      </w:r>
      <w:r w:rsidR="00FF4A16">
        <w:t>the higher overall load, a</w:t>
      </w:r>
      <w:r w:rsidR="006E729E">
        <w:t>s well as</w:t>
      </w:r>
      <w:r w:rsidR="00FF4A16">
        <w:t xml:space="preserve"> greater sensitivity to Heat Index (larger slope of the regression fit) for the afternoon when compared to the early morning.</w:t>
      </w:r>
    </w:p>
    <w:p w:rsidR="00FF4A16" w:rsidRDefault="00FF4A16" w:rsidP="00FF4A16">
      <w:pPr>
        <w:pStyle w:val="ListParagraph"/>
      </w:pPr>
    </w:p>
    <w:p w:rsidR="00FF4A16" w:rsidRDefault="00C471E0" w:rsidP="00FF4A16">
      <w:pPr>
        <w:pStyle w:val="ListParagraph"/>
        <w:keepNext/>
        <w:jc w:val="center"/>
      </w:pPr>
      <w:r>
        <w:rPr>
          <w:noProof/>
        </w:rPr>
        <w:drawing>
          <wp:inline distT="0" distB="0" distL="0" distR="0" wp14:anchorId="22B9DAC0" wp14:editId="4F09ABAD">
            <wp:extent cx="359484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4840" cy="2286000"/>
                    </a:xfrm>
                    <a:prstGeom prst="rect">
                      <a:avLst/>
                    </a:prstGeom>
                    <a:noFill/>
                    <a:ln>
                      <a:noFill/>
                    </a:ln>
                  </pic:spPr>
                </pic:pic>
              </a:graphicData>
            </a:graphic>
          </wp:inline>
        </w:drawing>
      </w:r>
    </w:p>
    <w:p w:rsidR="00CF3273" w:rsidRDefault="00FF4A16" w:rsidP="00FF4A16">
      <w:pPr>
        <w:pStyle w:val="Caption"/>
        <w:jc w:val="center"/>
      </w:pPr>
      <w:r>
        <w:t xml:space="preserve">Figure </w:t>
      </w:r>
      <w:fldSimple w:instr=" SEQ Figure \* ARABIC ">
        <w:r w:rsidR="002A7CD3">
          <w:rPr>
            <w:noProof/>
          </w:rPr>
          <w:t>12</w:t>
        </w:r>
      </w:fldSimple>
      <w:r>
        <w:t>: Grocery Store Cooling Load at 4:00 am</w:t>
      </w:r>
    </w:p>
    <w:p w:rsidR="00C471E0" w:rsidRDefault="00C471E0" w:rsidP="00CF3273">
      <w:pPr>
        <w:pStyle w:val="ListParagraph"/>
      </w:pPr>
    </w:p>
    <w:p w:rsidR="00FF4A16" w:rsidRDefault="00C471E0" w:rsidP="00FF4A16">
      <w:pPr>
        <w:pStyle w:val="ListParagraph"/>
        <w:keepNext/>
        <w:jc w:val="center"/>
      </w:pPr>
      <w:r>
        <w:rPr>
          <w:noProof/>
        </w:rPr>
        <w:lastRenderedPageBreak/>
        <w:drawing>
          <wp:inline distT="0" distB="0" distL="0" distR="0" wp14:anchorId="04DB0D8F" wp14:editId="62A3E211">
            <wp:extent cx="3594838"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4838" cy="2286000"/>
                    </a:xfrm>
                    <a:prstGeom prst="rect">
                      <a:avLst/>
                    </a:prstGeom>
                    <a:noFill/>
                    <a:ln>
                      <a:noFill/>
                    </a:ln>
                  </pic:spPr>
                </pic:pic>
              </a:graphicData>
            </a:graphic>
          </wp:inline>
        </w:drawing>
      </w:r>
    </w:p>
    <w:p w:rsidR="00C471E0" w:rsidRDefault="00FF4A16" w:rsidP="00FF4A16">
      <w:pPr>
        <w:pStyle w:val="Caption"/>
        <w:jc w:val="center"/>
      </w:pPr>
      <w:r>
        <w:t xml:space="preserve">Figure </w:t>
      </w:r>
      <w:fldSimple w:instr=" SEQ Figure \* ARABIC ">
        <w:r w:rsidR="002A7CD3">
          <w:rPr>
            <w:noProof/>
          </w:rPr>
          <w:t>13</w:t>
        </w:r>
      </w:fldSimple>
      <w:r w:rsidRPr="0042633F">
        <w:t>: Groce</w:t>
      </w:r>
      <w:r>
        <w:t>ry Store Cooling Load at 4:00 pm</w:t>
      </w:r>
    </w:p>
    <w:p w:rsidR="00CE78DF" w:rsidRDefault="00CE78DF" w:rsidP="00F277F5">
      <w:pPr>
        <w:pStyle w:val="ListParagraph"/>
        <w:numPr>
          <w:ilvl w:val="0"/>
          <w:numId w:val="5"/>
        </w:numPr>
      </w:pPr>
      <w:r>
        <w:t xml:space="preserve">Repeat steps </w:t>
      </w:r>
      <w:r w:rsidR="004103D5">
        <w:t>3</w:t>
      </w:r>
      <w:r>
        <w:t>-6 for all building types in the CEUS.</w:t>
      </w:r>
    </w:p>
    <w:p w:rsidR="00C92FD2" w:rsidRDefault="00C92FD2" w:rsidP="00F277F5">
      <w:pPr>
        <w:pStyle w:val="ListParagraph"/>
        <w:numPr>
          <w:ilvl w:val="0"/>
          <w:numId w:val="5"/>
        </w:numPr>
      </w:pPr>
      <w:r>
        <w:t>Repeat steps 2-8 for spring and winter time periods.</w:t>
      </w:r>
    </w:p>
    <w:p w:rsidR="00EB4142" w:rsidRDefault="00EB4142" w:rsidP="00F277F5">
      <w:pPr>
        <w:pStyle w:val="Heading2"/>
      </w:pPr>
      <w:r>
        <w:t>Feeder composition</w:t>
      </w:r>
    </w:p>
    <w:p w:rsidR="000C16E9" w:rsidRDefault="00FB2191" w:rsidP="00FB2191">
      <w:r>
        <w:t>Load composition can vary greatly depe</w:t>
      </w:r>
      <w:r w:rsidR="000C16E9">
        <w:t xml:space="preserve">nding on the number of each building type supported by a given feeder.  For this study, feeder composition is </w:t>
      </w:r>
      <w:r w:rsidR="007A75E0">
        <w:t>classified into</w:t>
      </w:r>
      <w:r w:rsidR="000C16E9">
        <w:t xml:space="preserve"> four categories:</w:t>
      </w:r>
    </w:p>
    <w:p w:rsidR="000C16E9" w:rsidRDefault="000C16E9" w:rsidP="000C16E9">
      <w:pPr>
        <w:ind w:left="720"/>
      </w:pPr>
      <w:r w:rsidRPr="000C16E9">
        <w:rPr>
          <w:b/>
          <w:i/>
        </w:rPr>
        <w:t>Residential/Suburban (RES):</w:t>
      </w:r>
      <w:r>
        <w:t xml:space="preserve"> Mostly single family residential homes, with smaller commercial buildings, including schools, retail, restaurants, etc.</w:t>
      </w:r>
    </w:p>
    <w:p w:rsidR="000C16E9" w:rsidRDefault="000C16E9" w:rsidP="000C16E9">
      <w:pPr>
        <w:ind w:left="720"/>
      </w:pPr>
      <w:r w:rsidRPr="000C16E9">
        <w:rPr>
          <w:b/>
          <w:i/>
        </w:rPr>
        <w:t>Commercial (COM):</w:t>
      </w:r>
      <w:r>
        <w:t xml:space="preserve"> Downtown </w:t>
      </w:r>
      <w:r w:rsidR="007A75E0">
        <w:t>areas</w:t>
      </w:r>
      <w:r>
        <w:t xml:space="preserve"> primarily made up of large office buildings and condominiums</w:t>
      </w:r>
    </w:p>
    <w:p w:rsidR="000C16E9" w:rsidRDefault="000C16E9" w:rsidP="000C16E9">
      <w:pPr>
        <w:ind w:left="720"/>
      </w:pPr>
      <w:r w:rsidRPr="000C16E9">
        <w:rPr>
          <w:b/>
          <w:i/>
        </w:rPr>
        <w:t>Mixed residential and commercial (MIX):</w:t>
      </w:r>
      <w:r>
        <w:t xml:space="preserve"> Areas comprised of single family residential homes with small offices and shopping centers.</w:t>
      </w:r>
    </w:p>
    <w:p w:rsidR="000C16E9" w:rsidRDefault="000C16E9" w:rsidP="000C16E9">
      <w:pPr>
        <w:ind w:left="720"/>
      </w:pPr>
      <w:r w:rsidRPr="000C16E9">
        <w:rPr>
          <w:b/>
          <w:i/>
        </w:rPr>
        <w:t>Rural/agricultural (RAG):</w:t>
      </w:r>
      <w:r>
        <w:t xml:space="preserve"> Rural areas, with farms, small restaurants</w:t>
      </w:r>
      <w:r w:rsidR="008C45C3">
        <w:t>,</w:t>
      </w:r>
      <w:r>
        <w:t xml:space="preserve"> and retail.</w:t>
      </w:r>
    </w:p>
    <w:p w:rsidR="00F84EA7" w:rsidRDefault="00D47890" w:rsidP="000C16E9">
      <w:r>
        <w:t xml:space="preserve">For each </w:t>
      </w:r>
      <w:r w:rsidR="00DF4A95">
        <w:t>city in the study, a set of city/feeder pairs are created, combining the city with the each of the fou</w:t>
      </w:r>
      <w:r w:rsidR="00F84EA7">
        <w:t>r feeder types.  For example, Boston is assigned four city/feeder pairs: BOS_RES, BOS_COM, BOS_MIX, an</w:t>
      </w:r>
      <w:r w:rsidR="009B2898">
        <w:t>d B</w:t>
      </w:r>
      <w:r w:rsidR="007E0218">
        <w:t xml:space="preserve">OX_RAG.  Each pair is provided a feeder composition, listing an estimate of the number of square foot of each commercial building type (as provided by CEUS), as well as a single family residential.  Table </w:t>
      </w:r>
      <w:r w:rsidR="00301587">
        <w:t>2</w:t>
      </w:r>
      <w:r w:rsidR="007E0218">
        <w:t xml:space="preserve"> shows the default feeder composition initially applied to all cities, though these values are user-definable per city/feeder pair</w:t>
      </w:r>
      <w:r w:rsidR="007E0218" w:rsidRPr="007E0218">
        <w:t xml:space="preserve">.  </w:t>
      </w:r>
    </w:p>
    <w:p w:rsidR="00301587" w:rsidRDefault="00301587" w:rsidP="00301587">
      <w:pPr>
        <w:pStyle w:val="Caption"/>
        <w:keepNext/>
      </w:pPr>
      <w:r>
        <w:t xml:space="preserve">Table </w:t>
      </w:r>
      <w:fldSimple w:instr=" SEQ Table \* ARABIC ">
        <w:r>
          <w:rPr>
            <w:noProof/>
          </w:rPr>
          <w:t>2</w:t>
        </w:r>
      </w:fldSimple>
      <w:r>
        <w:t>: Default Feeder Composition</w:t>
      </w:r>
    </w:p>
    <w:tbl>
      <w:tblPr>
        <w:tblStyle w:val="LightList-Accent5"/>
        <w:tblW w:w="0" w:type="auto"/>
        <w:tblLook w:val="04A0" w:firstRow="1" w:lastRow="0" w:firstColumn="1" w:lastColumn="0" w:noHBand="0" w:noVBand="1"/>
      </w:tblPr>
      <w:tblGrid>
        <w:gridCol w:w="2538"/>
        <w:gridCol w:w="1744"/>
        <w:gridCol w:w="1745"/>
        <w:gridCol w:w="1745"/>
        <w:gridCol w:w="1745"/>
      </w:tblGrid>
      <w:tr w:rsidR="004E63BB" w:rsidTr="004E6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4E63BB" w:rsidRPr="00334211" w:rsidRDefault="004E63BB" w:rsidP="00EF122B">
            <w:pPr>
              <w:rPr>
                <w:b w:val="0"/>
              </w:rPr>
            </w:pPr>
            <w:r>
              <w:rPr>
                <w:b w:val="0"/>
              </w:rPr>
              <w:t>Building Type</w:t>
            </w:r>
          </w:p>
        </w:tc>
        <w:tc>
          <w:tcPr>
            <w:tcW w:w="1744" w:type="dxa"/>
          </w:tcPr>
          <w:p w:rsidR="004E63BB" w:rsidRPr="00334211" w:rsidRDefault="004E63BB" w:rsidP="004E63BB">
            <w:pPr>
              <w:jc w:val="center"/>
              <w:cnfStyle w:val="100000000000" w:firstRow="1" w:lastRow="0" w:firstColumn="0" w:lastColumn="0" w:oddVBand="0" w:evenVBand="0" w:oddHBand="0" w:evenHBand="0" w:firstRowFirstColumn="0" w:firstRowLastColumn="0" w:lastRowFirstColumn="0" w:lastRowLastColumn="0"/>
              <w:rPr>
                <w:b w:val="0"/>
              </w:rPr>
            </w:pPr>
            <w:r>
              <w:rPr>
                <w:b w:val="0"/>
              </w:rPr>
              <w:t>RES Square Ft.</w:t>
            </w:r>
          </w:p>
        </w:tc>
        <w:tc>
          <w:tcPr>
            <w:tcW w:w="1745" w:type="dxa"/>
          </w:tcPr>
          <w:p w:rsidR="004E63BB" w:rsidRPr="00334211" w:rsidRDefault="004E63BB" w:rsidP="004E63BB">
            <w:pPr>
              <w:jc w:val="center"/>
              <w:cnfStyle w:val="100000000000" w:firstRow="1" w:lastRow="0" w:firstColumn="0" w:lastColumn="0" w:oddVBand="0" w:evenVBand="0" w:oddHBand="0" w:evenHBand="0" w:firstRowFirstColumn="0" w:firstRowLastColumn="0" w:lastRowFirstColumn="0" w:lastRowLastColumn="0"/>
              <w:rPr>
                <w:b w:val="0"/>
              </w:rPr>
            </w:pPr>
            <w:r>
              <w:rPr>
                <w:b w:val="0"/>
              </w:rPr>
              <w:t>COM Square Ft.</w:t>
            </w:r>
          </w:p>
        </w:tc>
        <w:tc>
          <w:tcPr>
            <w:tcW w:w="1745" w:type="dxa"/>
          </w:tcPr>
          <w:p w:rsidR="004E63BB" w:rsidRPr="00334211" w:rsidRDefault="004E63BB" w:rsidP="004E63BB">
            <w:pPr>
              <w:jc w:val="center"/>
              <w:cnfStyle w:val="100000000000" w:firstRow="1" w:lastRow="0" w:firstColumn="0" w:lastColumn="0" w:oddVBand="0" w:evenVBand="0" w:oddHBand="0" w:evenHBand="0" w:firstRowFirstColumn="0" w:firstRowLastColumn="0" w:lastRowFirstColumn="0" w:lastRowLastColumn="0"/>
              <w:rPr>
                <w:b w:val="0"/>
              </w:rPr>
            </w:pPr>
            <w:r>
              <w:rPr>
                <w:b w:val="0"/>
              </w:rPr>
              <w:t>MIX Square Ft.</w:t>
            </w:r>
          </w:p>
        </w:tc>
        <w:tc>
          <w:tcPr>
            <w:tcW w:w="1745" w:type="dxa"/>
          </w:tcPr>
          <w:p w:rsidR="004E63BB" w:rsidRPr="004E63BB" w:rsidRDefault="004E63BB" w:rsidP="004E63BB">
            <w:pPr>
              <w:jc w:val="center"/>
              <w:cnfStyle w:val="100000000000" w:firstRow="1" w:lastRow="0" w:firstColumn="0" w:lastColumn="0" w:oddVBand="0" w:evenVBand="0" w:oddHBand="0" w:evenHBand="0" w:firstRowFirstColumn="0" w:firstRowLastColumn="0" w:lastRowFirstColumn="0" w:lastRowLastColumn="0"/>
            </w:pPr>
            <w:r>
              <w:rPr>
                <w:b w:val="0"/>
              </w:rPr>
              <w:t>RAG Square Ft.</w:t>
            </w:r>
          </w:p>
        </w:tc>
      </w:tr>
      <w:tr w:rsidR="004E63BB"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t>Residential Home</w:t>
            </w:r>
          </w:p>
        </w:tc>
        <w:tc>
          <w:tcPr>
            <w:tcW w:w="1744"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6000000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3000000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600000</w:t>
            </w:r>
          </w:p>
        </w:tc>
      </w:tr>
      <w:tr w:rsidR="004E63BB" w:rsidTr="00EF122B">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t>College</w:t>
            </w:r>
          </w:p>
        </w:tc>
        <w:tc>
          <w:tcPr>
            <w:tcW w:w="1744"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r>
      <w:tr w:rsidR="004E63BB"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t>Grocery</w:t>
            </w:r>
          </w:p>
        </w:tc>
        <w:tc>
          <w:tcPr>
            <w:tcW w:w="1744"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135000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45000</w:t>
            </w:r>
          </w:p>
        </w:tc>
      </w:tr>
      <w:tr w:rsidR="004E63BB" w:rsidTr="00EF122B">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lastRenderedPageBreak/>
              <w:t>Health</w:t>
            </w:r>
          </w:p>
        </w:tc>
        <w:tc>
          <w:tcPr>
            <w:tcW w:w="1744"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40000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40000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60000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r>
      <w:tr w:rsidR="004E63BB"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t>Large Office</w:t>
            </w:r>
          </w:p>
        </w:tc>
        <w:tc>
          <w:tcPr>
            <w:tcW w:w="1744"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4200000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r>
      <w:tr w:rsidR="004E63BB" w:rsidTr="00EF122B">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t>Lodging</w:t>
            </w:r>
          </w:p>
        </w:tc>
        <w:tc>
          <w:tcPr>
            <w:tcW w:w="1744"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1000000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300000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50000</w:t>
            </w:r>
          </w:p>
        </w:tc>
      </w:tr>
      <w:tr w:rsidR="004E63BB"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t>Miscellaneous</w:t>
            </w:r>
          </w:p>
        </w:tc>
        <w:tc>
          <w:tcPr>
            <w:tcW w:w="1744"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r>
      <w:tr w:rsidR="004E63BB" w:rsidTr="00EF122B">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t>Refrigerated Warehouse</w:t>
            </w:r>
          </w:p>
        </w:tc>
        <w:tc>
          <w:tcPr>
            <w:tcW w:w="1744"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r>
      <w:tr w:rsidR="004E63BB"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t>Restaurant</w:t>
            </w:r>
          </w:p>
        </w:tc>
        <w:tc>
          <w:tcPr>
            <w:tcW w:w="1744"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125000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25000</w:t>
            </w:r>
          </w:p>
        </w:tc>
      </w:tr>
      <w:tr w:rsidR="004E63BB" w:rsidTr="00EF122B">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t>Retail</w:t>
            </w:r>
          </w:p>
        </w:tc>
        <w:tc>
          <w:tcPr>
            <w:tcW w:w="1744"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600000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600000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800000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60000</w:t>
            </w:r>
          </w:p>
        </w:tc>
      </w:tr>
      <w:tr w:rsidR="004E63BB"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t>School</w:t>
            </w:r>
          </w:p>
        </w:tc>
        <w:tc>
          <w:tcPr>
            <w:tcW w:w="1744"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100000</w:t>
            </w:r>
          </w:p>
        </w:tc>
      </w:tr>
      <w:tr w:rsidR="004E63BB" w:rsidTr="00EF122B">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t>Small Office</w:t>
            </w:r>
          </w:p>
        </w:tc>
        <w:tc>
          <w:tcPr>
            <w:tcW w:w="1744"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600000</w:t>
            </w:r>
          </w:p>
        </w:tc>
        <w:tc>
          <w:tcPr>
            <w:tcW w:w="1745" w:type="dxa"/>
            <w:vAlign w:val="bottom"/>
          </w:tcPr>
          <w:p w:rsidR="004E63BB" w:rsidRDefault="004E63B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r>
      <w:tr w:rsidR="004E63BB"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4E63BB" w:rsidRDefault="004E63BB" w:rsidP="00EF122B">
            <w:r>
              <w:t>Warehouse</w:t>
            </w:r>
          </w:p>
        </w:tc>
        <w:tc>
          <w:tcPr>
            <w:tcW w:w="1744"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400000</w:t>
            </w:r>
          </w:p>
        </w:tc>
        <w:tc>
          <w:tcPr>
            <w:tcW w:w="1745" w:type="dxa"/>
            <w:vAlign w:val="bottom"/>
          </w:tcPr>
          <w:p w:rsidR="004E63BB" w:rsidRDefault="004E63B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500000</w:t>
            </w:r>
          </w:p>
        </w:tc>
      </w:tr>
    </w:tbl>
    <w:p w:rsidR="004E63BB" w:rsidRPr="007E0218" w:rsidRDefault="004E63BB" w:rsidP="000C16E9"/>
    <w:p w:rsidR="00107555" w:rsidRDefault="00085A68" w:rsidP="00F277F5">
      <w:pPr>
        <w:pStyle w:val="Heading2"/>
      </w:pPr>
      <w:r>
        <w:t>Electrification</w:t>
      </w:r>
    </w:p>
    <w:p w:rsidR="003921E4" w:rsidRDefault="00441DCE" w:rsidP="003921E4">
      <w:r>
        <w:t>To determine end use load shapes</w:t>
      </w:r>
      <w:r w:rsidR="00C268D4">
        <w:t>, electrification percentages for heating, cooling, water heating, a</w:t>
      </w:r>
      <w:r>
        <w:t xml:space="preserve">nd cooking are required for each building type, both residential and commercial.  </w:t>
      </w:r>
      <w:r w:rsidR="007B2651">
        <w:t xml:space="preserve">Individual electrification values are difficult to acquire for each city, so default percentages are estimated using the Residential Energy Consumption Survey (RECS) and Commercial Energy Consumption Survey (CBECS), provided by the U.S. Energy Information Administration (EIA).  These sample surveys use the U.S. census regions and divisions (Figure </w:t>
      </w:r>
      <w:r w:rsidR="00301587">
        <w:t>14</w:t>
      </w:r>
      <w:r w:rsidR="007B2651">
        <w:t xml:space="preserve">) and provide estimates of total square footage for each building type within a region.  They also list the square footage serviced by electric heating, cooling, water heating, and cooking.  From this information, electrification percentages are </w:t>
      </w:r>
      <w:r w:rsidR="004D7161">
        <w:t>estimated</w:t>
      </w:r>
      <w:r w:rsidR="007B2651">
        <w:t xml:space="preserve"> for each of these four end uses on a per-region basis.</w:t>
      </w:r>
    </w:p>
    <w:p w:rsidR="00301587" w:rsidRDefault="007B2651" w:rsidP="00301587">
      <w:pPr>
        <w:keepNext/>
        <w:jc w:val="center"/>
      </w:pPr>
      <w:r>
        <w:rPr>
          <w:noProof/>
        </w:rPr>
        <w:drawing>
          <wp:inline distT="0" distB="0" distL="0" distR="0" wp14:anchorId="090F27CA" wp14:editId="25762B47">
            <wp:extent cx="3397969" cy="2721255"/>
            <wp:effectExtent l="0" t="0" r="0" b="3175"/>
            <wp:docPr id="5" name="Picture 5" descr="U.S. Census Regions and Divisio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 Census Regions and Divisions M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8143" cy="2721395"/>
                    </a:xfrm>
                    <a:prstGeom prst="rect">
                      <a:avLst/>
                    </a:prstGeom>
                    <a:noFill/>
                    <a:ln>
                      <a:noFill/>
                    </a:ln>
                  </pic:spPr>
                </pic:pic>
              </a:graphicData>
            </a:graphic>
          </wp:inline>
        </w:drawing>
      </w:r>
    </w:p>
    <w:p w:rsidR="007B2651" w:rsidRDefault="00301587" w:rsidP="00301587">
      <w:pPr>
        <w:pStyle w:val="Caption"/>
        <w:jc w:val="center"/>
      </w:pPr>
      <w:r>
        <w:t xml:space="preserve">Figure </w:t>
      </w:r>
      <w:fldSimple w:instr=" SEQ Figure \* ARABIC ">
        <w:r w:rsidR="002A7CD3">
          <w:rPr>
            <w:noProof/>
          </w:rPr>
          <w:t>14</w:t>
        </w:r>
      </w:fldSimple>
      <w:r>
        <w:t>: U.S. Census Regions Used for RECS and CBECS</w:t>
      </w:r>
    </w:p>
    <w:p w:rsidR="00C27FB2" w:rsidRDefault="007B2651" w:rsidP="007B2651">
      <w:pPr>
        <w:rPr>
          <w:b/>
        </w:rPr>
      </w:pPr>
      <w:r>
        <w:t xml:space="preserve">Based on the location (region) of each city, a lookup table is created with these electrification percentages for all city/feeder pairs.  The values </w:t>
      </w:r>
      <w:r w:rsidR="00301587">
        <w:t>in Tables 3 and 4 are</w:t>
      </w:r>
      <w:r>
        <w:t xml:space="preserve"> defaults, and can be user-defined if more accurate informatio</w:t>
      </w:r>
      <w:r w:rsidR="00301587">
        <w:t>n is acquired for a given city.</w:t>
      </w:r>
    </w:p>
    <w:p w:rsidR="00301587" w:rsidRDefault="00301587" w:rsidP="00301587">
      <w:pPr>
        <w:pStyle w:val="Caption"/>
        <w:keepNext/>
      </w:pPr>
      <w:r>
        <w:lastRenderedPageBreak/>
        <w:t xml:space="preserve">Table </w:t>
      </w:r>
      <w:fldSimple w:instr=" SEQ Table \* ARABIC ">
        <w:r>
          <w:rPr>
            <w:noProof/>
          </w:rPr>
          <w:t>3</w:t>
        </w:r>
      </w:fldSimple>
      <w:r>
        <w:t>: Default Residential Electrification Percentages</w:t>
      </w:r>
    </w:p>
    <w:tbl>
      <w:tblPr>
        <w:tblStyle w:val="LightList-Accent5"/>
        <w:tblW w:w="0" w:type="auto"/>
        <w:tblLook w:val="04A0" w:firstRow="1" w:lastRow="0" w:firstColumn="1" w:lastColumn="0" w:noHBand="0" w:noVBand="1"/>
      </w:tblPr>
      <w:tblGrid>
        <w:gridCol w:w="2143"/>
        <w:gridCol w:w="1486"/>
        <w:gridCol w:w="1487"/>
        <w:gridCol w:w="1486"/>
        <w:gridCol w:w="1487"/>
        <w:gridCol w:w="1487"/>
      </w:tblGrid>
      <w:tr w:rsidR="00EC7EF3" w:rsidTr="00EC7E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EC7EF3" w:rsidRPr="00334211" w:rsidRDefault="00EC7EF3" w:rsidP="00EF122B">
            <w:pPr>
              <w:rPr>
                <w:b w:val="0"/>
              </w:rPr>
            </w:pPr>
            <w:r>
              <w:rPr>
                <w:b w:val="0"/>
              </w:rPr>
              <w:t>Region</w:t>
            </w:r>
          </w:p>
        </w:tc>
        <w:tc>
          <w:tcPr>
            <w:tcW w:w="1486" w:type="dxa"/>
          </w:tcPr>
          <w:p w:rsidR="00EC7EF3" w:rsidRPr="00334211" w:rsidRDefault="00EC7EF3" w:rsidP="00EF122B">
            <w:pPr>
              <w:jc w:val="center"/>
              <w:cnfStyle w:val="100000000000" w:firstRow="1" w:lastRow="0" w:firstColumn="0" w:lastColumn="0" w:oddVBand="0" w:evenVBand="0" w:oddHBand="0" w:evenHBand="0" w:firstRowFirstColumn="0" w:firstRowLastColumn="0" w:lastRowFirstColumn="0" w:lastRowLastColumn="0"/>
              <w:rPr>
                <w:b w:val="0"/>
              </w:rPr>
            </w:pPr>
            <w:r>
              <w:rPr>
                <w:b w:val="0"/>
              </w:rPr>
              <w:t>Heat Pump</w:t>
            </w:r>
          </w:p>
        </w:tc>
        <w:tc>
          <w:tcPr>
            <w:tcW w:w="1487" w:type="dxa"/>
          </w:tcPr>
          <w:p w:rsidR="00EC7EF3" w:rsidRPr="00334211" w:rsidRDefault="00EC7EF3" w:rsidP="00EC7EF3">
            <w:pPr>
              <w:jc w:val="center"/>
              <w:cnfStyle w:val="100000000000" w:firstRow="1" w:lastRow="0" w:firstColumn="0" w:lastColumn="0" w:oddVBand="0" w:evenVBand="0" w:oddHBand="0" w:evenHBand="0" w:firstRowFirstColumn="0" w:firstRowLastColumn="0" w:lastRowFirstColumn="0" w:lastRowLastColumn="0"/>
              <w:rPr>
                <w:b w:val="0"/>
              </w:rPr>
            </w:pPr>
            <w:r>
              <w:rPr>
                <w:b w:val="0"/>
              </w:rPr>
              <w:t>Other Electric Heat</w:t>
            </w:r>
          </w:p>
        </w:tc>
        <w:tc>
          <w:tcPr>
            <w:tcW w:w="1486" w:type="dxa"/>
          </w:tcPr>
          <w:p w:rsidR="00EC7EF3" w:rsidRPr="00334211" w:rsidRDefault="00EC7EF3" w:rsidP="00EF122B">
            <w:pPr>
              <w:jc w:val="center"/>
              <w:cnfStyle w:val="100000000000" w:firstRow="1" w:lastRow="0" w:firstColumn="0" w:lastColumn="0" w:oddVBand="0" w:evenVBand="0" w:oddHBand="0" w:evenHBand="0" w:firstRowFirstColumn="0" w:firstRowLastColumn="0" w:lastRowFirstColumn="0" w:lastRowLastColumn="0"/>
              <w:rPr>
                <w:b w:val="0"/>
              </w:rPr>
            </w:pPr>
            <w:r>
              <w:rPr>
                <w:b w:val="0"/>
              </w:rPr>
              <w:t>Cooling</w:t>
            </w:r>
          </w:p>
        </w:tc>
        <w:tc>
          <w:tcPr>
            <w:tcW w:w="1487" w:type="dxa"/>
          </w:tcPr>
          <w:p w:rsidR="00EC7EF3" w:rsidRPr="004E63BB" w:rsidRDefault="00EC7EF3" w:rsidP="00EF122B">
            <w:pPr>
              <w:jc w:val="center"/>
              <w:cnfStyle w:val="100000000000" w:firstRow="1" w:lastRow="0" w:firstColumn="0" w:lastColumn="0" w:oddVBand="0" w:evenVBand="0" w:oddHBand="0" w:evenHBand="0" w:firstRowFirstColumn="0" w:firstRowLastColumn="0" w:lastRowFirstColumn="0" w:lastRowLastColumn="0"/>
            </w:pPr>
            <w:r>
              <w:rPr>
                <w:b w:val="0"/>
              </w:rPr>
              <w:t>Water Heating</w:t>
            </w:r>
          </w:p>
        </w:tc>
        <w:tc>
          <w:tcPr>
            <w:tcW w:w="1487" w:type="dxa"/>
          </w:tcPr>
          <w:p w:rsidR="00EC7EF3" w:rsidRDefault="00EC7EF3" w:rsidP="00EF122B">
            <w:pPr>
              <w:jc w:val="center"/>
              <w:cnfStyle w:val="100000000000" w:firstRow="1" w:lastRow="0" w:firstColumn="0" w:lastColumn="0" w:oddVBand="0" w:evenVBand="0" w:oddHBand="0" w:evenHBand="0" w:firstRowFirstColumn="0" w:firstRowLastColumn="0" w:lastRowFirstColumn="0" w:lastRowLastColumn="0"/>
              <w:rPr>
                <w:b w:val="0"/>
              </w:rPr>
            </w:pPr>
            <w:r>
              <w:rPr>
                <w:b w:val="0"/>
              </w:rPr>
              <w:t>Cooking</w:t>
            </w:r>
          </w:p>
        </w:tc>
      </w:tr>
      <w:tr w:rsidR="00EC7EF3"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New England</w:t>
            </w:r>
          </w:p>
        </w:tc>
        <w:tc>
          <w:tcPr>
            <w:tcW w:w="1486"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486"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75%</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36%</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59%</w:t>
            </w:r>
          </w:p>
        </w:tc>
      </w:tr>
      <w:tr w:rsidR="00EC7EF3" w:rsidTr="00EF122B">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Middle Atlantic</w:t>
            </w:r>
          </w:p>
        </w:tc>
        <w:tc>
          <w:tcPr>
            <w:tcW w:w="1486"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487"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w:t>
            </w:r>
          </w:p>
        </w:tc>
        <w:tc>
          <w:tcPr>
            <w:tcW w:w="1486"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w:t>
            </w:r>
          </w:p>
        </w:tc>
        <w:tc>
          <w:tcPr>
            <w:tcW w:w="1487"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w:t>
            </w:r>
          </w:p>
        </w:tc>
        <w:tc>
          <w:tcPr>
            <w:tcW w:w="1487"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43%</w:t>
            </w:r>
          </w:p>
        </w:tc>
      </w:tr>
      <w:tr w:rsidR="00EC7EF3"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East North Central</w:t>
            </w:r>
          </w:p>
        </w:tc>
        <w:tc>
          <w:tcPr>
            <w:tcW w:w="1486"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w:t>
            </w:r>
          </w:p>
        </w:tc>
        <w:tc>
          <w:tcPr>
            <w:tcW w:w="1486"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92%</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34%</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57%</w:t>
            </w:r>
          </w:p>
        </w:tc>
      </w:tr>
      <w:tr w:rsidR="00EC7EF3" w:rsidTr="00EF122B">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West North Central</w:t>
            </w:r>
          </w:p>
        </w:tc>
        <w:tc>
          <w:tcPr>
            <w:tcW w:w="1486"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487"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w:t>
            </w:r>
          </w:p>
        </w:tc>
        <w:tc>
          <w:tcPr>
            <w:tcW w:w="1486"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92%</w:t>
            </w:r>
          </w:p>
        </w:tc>
        <w:tc>
          <w:tcPr>
            <w:tcW w:w="1487"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40%</w:t>
            </w:r>
          </w:p>
        </w:tc>
        <w:tc>
          <w:tcPr>
            <w:tcW w:w="1487"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75%</w:t>
            </w:r>
          </w:p>
        </w:tc>
      </w:tr>
      <w:tr w:rsidR="00EC7EF3"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South Atlantic</w:t>
            </w:r>
          </w:p>
        </w:tc>
        <w:tc>
          <w:tcPr>
            <w:tcW w:w="1486"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486"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95%</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72%</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78%</w:t>
            </w:r>
          </w:p>
        </w:tc>
      </w:tr>
      <w:tr w:rsidR="00EC7EF3" w:rsidTr="00EF122B">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East South Central</w:t>
            </w:r>
          </w:p>
        </w:tc>
        <w:tc>
          <w:tcPr>
            <w:tcW w:w="1486"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w:t>
            </w:r>
          </w:p>
        </w:tc>
        <w:tc>
          <w:tcPr>
            <w:tcW w:w="1487"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39%</w:t>
            </w:r>
          </w:p>
        </w:tc>
        <w:tc>
          <w:tcPr>
            <w:tcW w:w="1486"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w:t>
            </w:r>
          </w:p>
        </w:tc>
        <w:tc>
          <w:tcPr>
            <w:tcW w:w="1487"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w:t>
            </w:r>
          </w:p>
        </w:tc>
        <w:tc>
          <w:tcPr>
            <w:tcW w:w="1487"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75%</w:t>
            </w:r>
          </w:p>
        </w:tc>
      </w:tr>
      <w:tr w:rsidR="00EC7EF3"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West South Central</w:t>
            </w:r>
          </w:p>
        </w:tc>
        <w:tc>
          <w:tcPr>
            <w:tcW w:w="1486"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45%</w:t>
            </w:r>
          </w:p>
        </w:tc>
        <w:tc>
          <w:tcPr>
            <w:tcW w:w="1486"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95%</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58%</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71%</w:t>
            </w:r>
          </w:p>
        </w:tc>
      </w:tr>
      <w:tr w:rsidR="00EC7EF3" w:rsidTr="00EF122B">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Mountain</w:t>
            </w:r>
          </w:p>
        </w:tc>
        <w:tc>
          <w:tcPr>
            <w:tcW w:w="1486"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w:t>
            </w:r>
          </w:p>
        </w:tc>
        <w:tc>
          <w:tcPr>
            <w:tcW w:w="1487"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w:t>
            </w:r>
          </w:p>
        </w:tc>
        <w:tc>
          <w:tcPr>
            <w:tcW w:w="1486"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78%</w:t>
            </w:r>
          </w:p>
        </w:tc>
        <w:tc>
          <w:tcPr>
            <w:tcW w:w="1487"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w:t>
            </w:r>
          </w:p>
        </w:tc>
        <w:tc>
          <w:tcPr>
            <w:tcW w:w="1487" w:type="dxa"/>
            <w:vAlign w:val="bottom"/>
          </w:tcPr>
          <w:p w:rsidR="00EC7EF3" w:rsidRDefault="00EC7EF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67%</w:t>
            </w:r>
          </w:p>
        </w:tc>
      </w:tr>
      <w:tr w:rsidR="00EC7EF3"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Pacific</w:t>
            </w:r>
          </w:p>
        </w:tc>
        <w:tc>
          <w:tcPr>
            <w:tcW w:w="1486"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w:t>
            </w:r>
          </w:p>
        </w:tc>
        <w:tc>
          <w:tcPr>
            <w:tcW w:w="1486"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66%</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487" w:type="dxa"/>
            <w:vAlign w:val="bottom"/>
          </w:tcPr>
          <w:p w:rsidR="00EC7EF3" w:rsidRDefault="00EC7EF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53%</w:t>
            </w:r>
          </w:p>
        </w:tc>
      </w:tr>
    </w:tbl>
    <w:p w:rsidR="00EC7EF3" w:rsidRDefault="00EC7EF3" w:rsidP="007B2651"/>
    <w:p w:rsidR="00301587" w:rsidRDefault="00301587" w:rsidP="00301587">
      <w:pPr>
        <w:pStyle w:val="Caption"/>
        <w:keepNext/>
      </w:pPr>
      <w:r>
        <w:t xml:space="preserve">Table </w:t>
      </w:r>
      <w:fldSimple w:instr=" SEQ Table \* ARABIC ">
        <w:r>
          <w:rPr>
            <w:noProof/>
          </w:rPr>
          <w:t>4</w:t>
        </w:r>
      </w:fldSimple>
      <w:r>
        <w:t>: Default Commercial Electrification Percentages</w:t>
      </w:r>
    </w:p>
    <w:tbl>
      <w:tblPr>
        <w:tblStyle w:val="LightList-Accent5"/>
        <w:tblW w:w="0" w:type="auto"/>
        <w:tblLook w:val="04A0" w:firstRow="1" w:lastRow="0" w:firstColumn="1" w:lastColumn="0" w:noHBand="0" w:noVBand="1"/>
      </w:tblPr>
      <w:tblGrid>
        <w:gridCol w:w="2143"/>
        <w:gridCol w:w="1486"/>
        <w:gridCol w:w="1487"/>
        <w:gridCol w:w="1486"/>
        <w:gridCol w:w="1487"/>
        <w:gridCol w:w="1487"/>
      </w:tblGrid>
      <w:tr w:rsidR="00EC7EF3" w:rsidTr="00EF12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EC7EF3" w:rsidRPr="00334211" w:rsidRDefault="00EC7EF3" w:rsidP="00EF122B">
            <w:pPr>
              <w:rPr>
                <w:b w:val="0"/>
              </w:rPr>
            </w:pPr>
            <w:r>
              <w:rPr>
                <w:b w:val="0"/>
              </w:rPr>
              <w:t>Region</w:t>
            </w:r>
          </w:p>
        </w:tc>
        <w:tc>
          <w:tcPr>
            <w:tcW w:w="1486" w:type="dxa"/>
          </w:tcPr>
          <w:p w:rsidR="00EC7EF3" w:rsidRPr="00334211" w:rsidRDefault="00EC7EF3" w:rsidP="00EF122B">
            <w:pPr>
              <w:jc w:val="center"/>
              <w:cnfStyle w:val="100000000000" w:firstRow="1" w:lastRow="0" w:firstColumn="0" w:lastColumn="0" w:oddVBand="0" w:evenVBand="0" w:oddHBand="0" w:evenHBand="0" w:firstRowFirstColumn="0" w:firstRowLastColumn="0" w:lastRowFirstColumn="0" w:lastRowLastColumn="0"/>
              <w:rPr>
                <w:b w:val="0"/>
              </w:rPr>
            </w:pPr>
            <w:r>
              <w:rPr>
                <w:b w:val="0"/>
              </w:rPr>
              <w:t>Heat Pump</w:t>
            </w:r>
          </w:p>
        </w:tc>
        <w:tc>
          <w:tcPr>
            <w:tcW w:w="1487" w:type="dxa"/>
          </w:tcPr>
          <w:p w:rsidR="00EC7EF3" w:rsidRPr="00334211" w:rsidRDefault="00EC7EF3" w:rsidP="00EF122B">
            <w:pPr>
              <w:jc w:val="center"/>
              <w:cnfStyle w:val="100000000000" w:firstRow="1" w:lastRow="0" w:firstColumn="0" w:lastColumn="0" w:oddVBand="0" w:evenVBand="0" w:oddHBand="0" w:evenHBand="0" w:firstRowFirstColumn="0" w:firstRowLastColumn="0" w:lastRowFirstColumn="0" w:lastRowLastColumn="0"/>
              <w:rPr>
                <w:b w:val="0"/>
              </w:rPr>
            </w:pPr>
            <w:r>
              <w:rPr>
                <w:b w:val="0"/>
              </w:rPr>
              <w:t>Other Electric Heat</w:t>
            </w:r>
          </w:p>
        </w:tc>
        <w:tc>
          <w:tcPr>
            <w:tcW w:w="1486" w:type="dxa"/>
          </w:tcPr>
          <w:p w:rsidR="00EC7EF3" w:rsidRPr="00334211" w:rsidRDefault="00EC7EF3" w:rsidP="00EF122B">
            <w:pPr>
              <w:jc w:val="center"/>
              <w:cnfStyle w:val="100000000000" w:firstRow="1" w:lastRow="0" w:firstColumn="0" w:lastColumn="0" w:oddVBand="0" w:evenVBand="0" w:oddHBand="0" w:evenHBand="0" w:firstRowFirstColumn="0" w:firstRowLastColumn="0" w:lastRowFirstColumn="0" w:lastRowLastColumn="0"/>
              <w:rPr>
                <w:b w:val="0"/>
              </w:rPr>
            </w:pPr>
            <w:r>
              <w:rPr>
                <w:b w:val="0"/>
              </w:rPr>
              <w:t>Cooling</w:t>
            </w:r>
          </w:p>
        </w:tc>
        <w:tc>
          <w:tcPr>
            <w:tcW w:w="1487" w:type="dxa"/>
          </w:tcPr>
          <w:p w:rsidR="00EC7EF3" w:rsidRPr="004E63BB" w:rsidRDefault="00EC7EF3" w:rsidP="00EF122B">
            <w:pPr>
              <w:jc w:val="center"/>
              <w:cnfStyle w:val="100000000000" w:firstRow="1" w:lastRow="0" w:firstColumn="0" w:lastColumn="0" w:oddVBand="0" w:evenVBand="0" w:oddHBand="0" w:evenHBand="0" w:firstRowFirstColumn="0" w:firstRowLastColumn="0" w:lastRowFirstColumn="0" w:lastRowLastColumn="0"/>
            </w:pPr>
            <w:r>
              <w:rPr>
                <w:b w:val="0"/>
              </w:rPr>
              <w:t>Water Heating</w:t>
            </w:r>
          </w:p>
        </w:tc>
        <w:tc>
          <w:tcPr>
            <w:tcW w:w="1487" w:type="dxa"/>
          </w:tcPr>
          <w:p w:rsidR="00EC7EF3" w:rsidRDefault="00EC7EF3" w:rsidP="00EF122B">
            <w:pPr>
              <w:jc w:val="center"/>
              <w:cnfStyle w:val="100000000000" w:firstRow="1" w:lastRow="0" w:firstColumn="0" w:lastColumn="0" w:oddVBand="0" w:evenVBand="0" w:oddHBand="0" w:evenHBand="0" w:firstRowFirstColumn="0" w:firstRowLastColumn="0" w:lastRowFirstColumn="0" w:lastRowLastColumn="0"/>
              <w:rPr>
                <w:b w:val="0"/>
              </w:rPr>
            </w:pPr>
            <w:r>
              <w:rPr>
                <w:b w:val="0"/>
              </w:rPr>
              <w:t>Cooking</w:t>
            </w:r>
          </w:p>
        </w:tc>
      </w:tr>
      <w:tr w:rsidR="00EC7EF3"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New England</w:t>
            </w:r>
          </w:p>
        </w:tc>
        <w:tc>
          <w:tcPr>
            <w:tcW w:w="1486"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486"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77%</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45%</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w:t>
            </w:r>
          </w:p>
        </w:tc>
      </w:tr>
      <w:tr w:rsidR="00EC7EF3" w:rsidTr="00EF122B">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Middle Atlantic</w:t>
            </w:r>
          </w:p>
        </w:tc>
        <w:tc>
          <w:tcPr>
            <w:tcW w:w="1486"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w:t>
            </w:r>
          </w:p>
        </w:tc>
        <w:tc>
          <w:tcPr>
            <w:tcW w:w="1487"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1486"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89%</w:t>
            </w:r>
          </w:p>
        </w:tc>
        <w:tc>
          <w:tcPr>
            <w:tcW w:w="1487"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41%</w:t>
            </w:r>
          </w:p>
        </w:tc>
        <w:tc>
          <w:tcPr>
            <w:tcW w:w="1487"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w:t>
            </w:r>
          </w:p>
        </w:tc>
      </w:tr>
      <w:tr w:rsidR="00EC7EF3"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East North Central</w:t>
            </w:r>
          </w:p>
        </w:tc>
        <w:tc>
          <w:tcPr>
            <w:tcW w:w="1486"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w:t>
            </w:r>
          </w:p>
        </w:tc>
        <w:tc>
          <w:tcPr>
            <w:tcW w:w="1486"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90%</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39%</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w:t>
            </w:r>
          </w:p>
        </w:tc>
      </w:tr>
      <w:tr w:rsidR="00EC7EF3" w:rsidTr="00EF122B">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West North Central</w:t>
            </w:r>
          </w:p>
        </w:tc>
        <w:tc>
          <w:tcPr>
            <w:tcW w:w="1486"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487"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w:t>
            </w:r>
          </w:p>
        </w:tc>
        <w:tc>
          <w:tcPr>
            <w:tcW w:w="1486"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87%</w:t>
            </w:r>
          </w:p>
        </w:tc>
        <w:tc>
          <w:tcPr>
            <w:tcW w:w="1487"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49%</w:t>
            </w:r>
          </w:p>
        </w:tc>
        <w:tc>
          <w:tcPr>
            <w:tcW w:w="1487"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r>
      <w:tr w:rsidR="00EC7EF3"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South Atlantic</w:t>
            </w:r>
          </w:p>
        </w:tc>
        <w:tc>
          <w:tcPr>
            <w:tcW w:w="1486"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w:t>
            </w:r>
          </w:p>
        </w:tc>
        <w:tc>
          <w:tcPr>
            <w:tcW w:w="1486"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91%</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62%</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w:t>
            </w:r>
          </w:p>
        </w:tc>
      </w:tr>
      <w:tr w:rsidR="00EC7EF3" w:rsidTr="00EF122B">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East South Central</w:t>
            </w:r>
          </w:p>
        </w:tc>
        <w:tc>
          <w:tcPr>
            <w:tcW w:w="1486"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17%</w:t>
            </w:r>
          </w:p>
        </w:tc>
        <w:tc>
          <w:tcPr>
            <w:tcW w:w="1487"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23%</w:t>
            </w:r>
          </w:p>
        </w:tc>
        <w:tc>
          <w:tcPr>
            <w:tcW w:w="1486"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w:t>
            </w:r>
          </w:p>
        </w:tc>
        <w:tc>
          <w:tcPr>
            <w:tcW w:w="1487"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w:t>
            </w:r>
          </w:p>
        </w:tc>
        <w:tc>
          <w:tcPr>
            <w:tcW w:w="1487"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w:t>
            </w:r>
          </w:p>
        </w:tc>
      </w:tr>
      <w:tr w:rsidR="00EC7EF3"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West South Central</w:t>
            </w:r>
          </w:p>
        </w:tc>
        <w:tc>
          <w:tcPr>
            <w:tcW w:w="1486"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w:t>
            </w:r>
          </w:p>
        </w:tc>
        <w:tc>
          <w:tcPr>
            <w:tcW w:w="1486"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81%</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47%</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w:t>
            </w:r>
          </w:p>
        </w:tc>
      </w:tr>
      <w:tr w:rsidR="00EC7EF3" w:rsidTr="00EF122B">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Mountain</w:t>
            </w:r>
          </w:p>
        </w:tc>
        <w:tc>
          <w:tcPr>
            <w:tcW w:w="1486"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487"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13%</w:t>
            </w:r>
          </w:p>
        </w:tc>
        <w:tc>
          <w:tcPr>
            <w:tcW w:w="1486"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84%</w:t>
            </w:r>
          </w:p>
        </w:tc>
        <w:tc>
          <w:tcPr>
            <w:tcW w:w="1487"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40%</w:t>
            </w:r>
          </w:p>
        </w:tc>
        <w:tc>
          <w:tcPr>
            <w:tcW w:w="1487" w:type="dxa"/>
            <w:vAlign w:val="bottom"/>
          </w:tcPr>
          <w:p w:rsidR="00EC7EF3" w:rsidRDefault="00EC7EF3" w:rsidP="00EF122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w:t>
            </w:r>
          </w:p>
        </w:tc>
      </w:tr>
      <w:tr w:rsidR="00EC7EF3" w:rsidTr="00EF1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00EC7EF3" w:rsidRDefault="00EC7EF3" w:rsidP="00EF122B">
            <w:r>
              <w:t>Pacific</w:t>
            </w:r>
          </w:p>
        </w:tc>
        <w:tc>
          <w:tcPr>
            <w:tcW w:w="1486"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w:t>
            </w:r>
          </w:p>
        </w:tc>
        <w:tc>
          <w:tcPr>
            <w:tcW w:w="1486"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88%</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51%</w:t>
            </w:r>
          </w:p>
        </w:tc>
        <w:tc>
          <w:tcPr>
            <w:tcW w:w="1487" w:type="dxa"/>
            <w:vAlign w:val="bottom"/>
          </w:tcPr>
          <w:p w:rsidR="00EC7EF3" w:rsidRDefault="00EC7EF3" w:rsidP="00EF122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w:t>
            </w:r>
          </w:p>
        </w:tc>
      </w:tr>
    </w:tbl>
    <w:p w:rsidR="00EC7EF3" w:rsidRDefault="00EC7EF3" w:rsidP="007B2651"/>
    <w:p w:rsidR="00B966C2" w:rsidRDefault="00E9632A" w:rsidP="00F277F5">
      <w:pPr>
        <w:pStyle w:val="Heading2"/>
      </w:pPr>
      <w:r>
        <w:t>Software data flow</w:t>
      </w:r>
    </w:p>
    <w:p w:rsidR="00252717" w:rsidRDefault="00252717" w:rsidP="00252717">
      <w:r>
        <w:t>Once all metadata is compiled, the algorithm can be run to compute load composition.  This process is divided into two main stages: calculating load shapes and applying the rules of association.</w:t>
      </w:r>
    </w:p>
    <w:p w:rsidR="00F277F5" w:rsidRDefault="00252717" w:rsidP="00F277F5">
      <w:pPr>
        <w:pStyle w:val="Heading3"/>
      </w:pPr>
      <w:r>
        <w:t xml:space="preserve">Calculating </w:t>
      </w:r>
      <w:r w:rsidR="00F277F5">
        <w:t>Load Shapes</w:t>
      </w:r>
    </w:p>
    <w:p w:rsidR="00397076" w:rsidRDefault="00F7105A" w:rsidP="00397076">
      <w:r>
        <w:t>The process for calculating load shapes is as follows:</w:t>
      </w:r>
    </w:p>
    <w:p w:rsidR="00F7105A" w:rsidRDefault="00F7105A" w:rsidP="00F7105A">
      <w:pPr>
        <w:pStyle w:val="ListParagraph"/>
        <w:numPr>
          <w:ilvl w:val="0"/>
          <w:numId w:val="6"/>
        </w:numPr>
      </w:pPr>
      <w:r>
        <w:t>Select a city/feeder pair.</w:t>
      </w:r>
    </w:p>
    <w:p w:rsidR="00F7105A" w:rsidRPr="00E27E90" w:rsidRDefault="00666F34" w:rsidP="00F7105A">
      <w:pPr>
        <w:pStyle w:val="ListParagraph"/>
        <w:numPr>
          <w:ilvl w:val="0"/>
          <w:numId w:val="6"/>
        </w:numPr>
      </w:pPr>
      <w:r>
        <w:t xml:space="preserve">Retrieve the 24 hour Heat Index </w:t>
      </w:r>
      <w:r w:rsidR="00301587">
        <w:t xml:space="preserve">profile </w:t>
      </w:r>
      <w:r>
        <w:t>for the given city for summer.</w:t>
      </w:r>
      <w:r w:rsidR="00301587">
        <w:t xml:space="preserve">  A sample plot is given in Figure 15.</w:t>
      </w:r>
    </w:p>
    <w:p w:rsidR="00301587" w:rsidRDefault="00634BE5" w:rsidP="00301587">
      <w:pPr>
        <w:pStyle w:val="ListParagraph"/>
        <w:keepNext/>
        <w:jc w:val="center"/>
      </w:pPr>
      <w:r>
        <w:rPr>
          <w:noProof/>
        </w:rPr>
        <w:lastRenderedPageBreak/>
        <w:drawing>
          <wp:inline distT="0" distB="0" distL="0" distR="0" wp14:anchorId="524640D4" wp14:editId="6C31E838">
            <wp:extent cx="3594838"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4838" cy="2286000"/>
                    </a:xfrm>
                    <a:prstGeom prst="rect">
                      <a:avLst/>
                    </a:prstGeom>
                    <a:noFill/>
                    <a:ln>
                      <a:noFill/>
                    </a:ln>
                  </pic:spPr>
                </pic:pic>
              </a:graphicData>
            </a:graphic>
          </wp:inline>
        </w:drawing>
      </w:r>
    </w:p>
    <w:p w:rsidR="00E27E90" w:rsidRDefault="00301587" w:rsidP="00301587">
      <w:pPr>
        <w:pStyle w:val="Caption"/>
        <w:jc w:val="center"/>
      </w:pPr>
      <w:proofErr w:type="gramStart"/>
      <w:r>
        <w:t xml:space="preserve">Figure </w:t>
      </w:r>
      <w:proofErr w:type="gramEnd"/>
      <w:r>
        <w:fldChar w:fldCharType="begin"/>
      </w:r>
      <w:r>
        <w:instrText xml:space="preserve"> SEQ Figure \* ARABIC </w:instrText>
      </w:r>
      <w:r>
        <w:fldChar w:fldCharType="separate"/>
      </w:r>
      <w:r w:rsidR="002A7CD3">
        <w:rPr>
          <w:noProof/>
        </w:rPr>
        <w:t>15</w:t>
      </w:r>
      <w:r>
        <w:fldChar w:fldCharType="end"/>
      </w:r>
      <w:proofErr w:type="gramStart"/>
      <w:r>
        <w:t>.</w:t>
      </w:r>
      <w:proofErr w:type="gramEnd"/>
      <w:r>
        <w:t xml:space="preserve"> Heat Index Profile for Portland, </w:t>
      </w:r>
      <w:proofErr w:type="gramStart"/>
      <w:r>
        <w:t>Summer</w:t>
      </w:r>
      <w:proofErr w:type="gramEnd"/>
    </w:p>
    <w:p w:rsidR="00666F34" w:rsidRDefault="00666F34" w:rsidP="00F7105A">
      <w:pPr>
        <w:pStyle w:val="ListParagraph"/>
        <w:numPr>
          <w:ilvl w:val="0"/>
          <w:numId w:val="6"/>
        </w:numPr>
      </w:pPr>
      <w:r>
        <w:t xml:space="preserve">For each </w:t>
      </w:r>
      <w:r w:rsidR="00431FBF">
        <w:t>building type, retrieve electrification percentages for heating, cooling, water heating, and cooking.</w:t>
      </w:r>
    </w:p>
    <w:p w:rsidR="00431FBF" w:rsidRDefault="00E71A5F" w:rsidP="00F7105A">
      <w:pPr>
        <w:pStyle w:val="ListParagraph"/>
        <w:numPr>
          <w:ilvl w:val="0"/>
          <w:numId w:val="6"/>
        </w:numPr>
      </w:pPr>
      <w:r>
        <w:t>Cycle through all the end uses for each building type, referencing the lookup table for hourly building model coefficients.  For heating and cooling, this will be a slope and intercept.  For other end uses, this will be a single value for a given hour.</w:t>
      </w:r>
    </w:p>
    <w:p w:rsidR="00E71A5F" w:rsidRDefault="00E71A5F" w:rsidP="00F7105A">
      <w:pPr>
        <w:pStyle w:val="ListParagraph"/>
        <w:numPr>
          <w:ilvl w:val="0"/>
          <w:numId w:val="6"/>
        </w:numPr>
      </w:pPr>
      <w:r>
        <w:t xml:space="preserve">Apply the 24 hour Heat Index profile to the </w:t>
      </w:r>
      <w:r w:rsidRPr="00515E06">
        <w:rPr>
          <w:i/>
        </w:rPr>
        <w:t>weather-dependent</w:t>
      </w:r>
      <w:r>
        <w:t xml:space="preserve"> end uses.</w:t>
      </w:r>
      <w:r w:rsidR="00FD1C5F">
        <w:t xml:space="preserve"> This will create a 24-hour kW/</w:t>
      </w:r>
      <w:proofErr w:type="spellStart"/>
      <w:r w:rsidR="00FD1C5F">
        <w:t>sqFt</w:t>
      </w:r>
      <w:proofErr w:type="spellEnd"/>
      <w:r w:rsidR="00FD1C5F">
        <w:t xml:space="preserve"> value for each end use, per building.  </w:t>
      </w:r>
    </w:p>
    <w:p w:rsidR="00FD1C5F" w:rsidRPr="00301587" w:rsidRDefault="00890AA7" w:rsidP="00F7105A">
      <w:pPr>
        <w:pStyle w:val="ListParagraph"/>
        <w:numPr>
          <w:ilvl w:val="0"/>
          <w:numId w:val="6"/>
        </w:numPr>
      </w:pPr>
      <w:r>
        <w:t>Apply electrification percentages and feeder composition to each end use.</w:t>
      </w:r>
      <w:r w:rsidR="00D92DF6">
        <w:t xml:space="preserve">  This creates the final load shapes, per end use for each building type.  </w:t>
      </w:r>
      <w:r w:rsidR="00301587">
        <w:t>As an example, Figure 16 shows a plot of three end use load shapes for restaurants in a Portland Mixed feeder during summer.</w:t>
      </w:r>
      <w:r w:rsidR="00F300D4">
        <w:t xml:space="preserve">  Note that refrigeration is relatively constant throughout the day, cooking is highest during business hours, and cooling reaches a peak at a time corresponding to the peak Heat Index for the day.</w:t>
      </w:r>
    </w:p>
    <w:p w:rsidR="00301587" w:rsidRPr="00F17382" w:rsidRDefault="00301587" w:rsidP="00301587">
      <w:pPr>
        <w:pStyle w:val="ListParagraph"/>
      </w:pPr>
    </w:p>
    <w:p w:rsidR="00301587" w:rsidRDefault="00F17382" w:rsidP="00301587">
      <w:pPr>
        <w:pStyle w:val="ListParagraph"/>
        <w:keepNext/>
        <w:jc w:val="center"/>
      </w:pPr>
      <w:r>
        <w:rPr>
          <w:noProof/>
        </w:rPr>
        <w:drawing>
          <wp:inline distT="0" distB="0" distL="0" distR="0" wp14:anchorId="1D87D3F4" wp14:editId="7EDAF0CF">
            <wp:extent cx="3593592"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3592" cy="2286000"/>
                    </a:xfrm>
                    <a:prstGeom prst="rect">
                      <a:avLst/>
                    </a:prstGeom>
                    <a:noFill/>
                    <a:ln>
                      <a:noFill/>
                    </a:ln>
                  </pic:spPr>
                </pic:pic>
              </a:graphicData>
            </a:graphic>
          </wp:inline>
        </w:drawing>
      </w:r>
    </w:p>
    <w:p w:rsidR="00F17382" w:rsidRDefault="00301587" w:rsidP="00301587">
      <w:pPr>
        <w:pStyle w:val="Caption"/>
        <w:jc w:val="center"/>
      </w:pPr>
      <w:r>
        <w:t xml:space="preserve">Figure </w:t>
      </w:r>
      <w:fldSimple w:instr=" SEQ Figure \* ARABIC ">
        <w:r w:rsidR="002A7CD3">
          <w:rPr>
            <w:noProof/>
          </w:rPr>
          <w:t>16</w:t>
        </w:r>
      </w:fldSimple>
      <w:r>
        <w:t>: Sample End Use Load Shapes</w:t>
      </w:r>
    </w:p>
    <w:p w:rsidR="00F17382" w:rsidRDefault="00F17382" w:rsidP="00F17382">
      <w:pPr>
        <w:pStyle w:val="ListParagraph"/>
      </w:pPr>
    </w:p>
    <w:p w:rsidR="00D92DF6" w:rsidRDefault="00D92DF6" w:rsidP="00F7105A">
      <w:pPr>
        <w:pStyle w:val="ListParagraph"/>
        <w:numPr>
          <w:ilvl w:val="0"/>
          <w:numId w:val="6"/>
        </w:numPr>
      </w:pPr>
      <w:r>
        <w:lastRenderedPageBreak/>
        <w:t>Repeat steps 2-6 for winter and spring.</w:t>
      </w:r>
    </w:p>
    <w:p w:rsidR="00D92DF6" w:rsidRDefault="00D92DF6" w:rsidP="00F7105A">
      <w:pPr>
        <w:pStyle w:val="ListParagraph"/>
        <w:numPr>
          <w:ilvl w:val="0"/>
          <w:numId w:val="6"/>
        </w:numPr>
      </w:pPr>
      <w:r>
        <w:t>Repeat steps 1-7 for all city/feeder pairs.</w:t>
      </w:r>
    </w:p>
    <w:p w:rsidR="0035418C" w:rsidRDefault="0035418C" w:rsidP="0035418C">
      <w:pPr>
        <w:rPr>
          <w:b/>
        </w:rPr>
      </w:pPr>
      <w:r>
        <w:t xml:space="preserve">For the purposes of </w:t>
      </w:r>
      <w:r w:rsidR="009D1694">
        <w:t xml:space="preserve">load composition, </w:t>
      </w:r>
      <w:r w:rsidR="00594564">
        <w:t>only end use load shapes are calculated, and remain separated by building type.  However, for confirmation and analysis</w:t>
      </w:r>
      <w:r w:rsidR="00D819B9">
        <w:t>, total end use load shapes are calcul</w:t>
      </w:r>
      <w:r w:rsidR="00632E3A">
        <w:t>ated and plotted, as required.  Figures 17, 18, and 19 show total load shapes for</w:t>
      </w:r>
      <w:r w:rsidR="002A7CD3">
        <w:t xml:space="preserve"> Portland</w:t>
      </w:r>
      <w:r w:rsidR="00632E3A">
        <w:t xml:space="preserve"> RES, COM, and </w:t>
      </w:r>
      <w:r w:rsidR="002A7CD3">
        <w:t>MIX</w:t>
      </w:r>
      <w:r w:rsidR="000E657C">
        <w:t xml:space="preserve"> feeders,</w:t>
      </w:r>
      <w:r w:rsidR="002A7CD3">
        <w:t xml:space="preserve"> respectively</w:t>
      </w:r>
      <w:r w:rsidR="000E657C">
        <w:t>,</w:t>
      </w:r>
      <w:r w:rsidR="002A7CD3">
        <w:t xml:space="preserve"> under all three seasonal conditions.</w:t>
      </w:r>
    </w:p>
    <w:p w:rsidR="002A7CD3" w:rsidRDefault="00F17382" w:rsidP="002A7CD3">
      <w:pPr>
        <w:keepNext/>
        <w:jc w:val="center"/>
      </w:pPr>
      <w:r>
        <w:rPr>
          <w:noProof/>
        </w:rPr>
        <w:drawing>
          <wp:inline distT="0" distB="0" distL="0" distR="0" wp14:anchorId="3BC69D1B" wp14:editId="4D85D8B1">
            <wp:extent cx="3594838"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4838" cy="2286000"/>
                    </a:xfrm>
                    <a:prstGeom prst="rect">
                      <a:avLst/>
                    </a:prstGeom>
                    <a:noFill/>
                    <a:ln>
                      <a:noFill/>
                    </a:ln>
                  </pic:spPr>
                </pic:pic>
              </a:graphicData>
            </a:graphic>
          </wp:inline>
        </w:drawing>
      </w:r>
    </w:p>
    <w:p w:rsidR="00F17382" w:rsidRDefault="002A7CD3" w:rsidP="002A7CD3">
      <w:pPr>
        <w:pStyle w:val="Caption"/>
        <w:jc w:val="center"/>
      </w:pPr>
      <w:r>
        <w:t xml:space="preserve">Figure </w:t>
      </w:r>
      <w:fldSimple w:instr=" SEQ Figure \* ARABIC ">
        <w:r>
          <w:rPr>
            <w:noProof/>
          </w:rPr>
          <w:t>17</w:t>
        </w:r>
      </w:fldSimple>
      <w:r>
        <w:t>: Total Load Shapes, Portland RES Feeder</w:t>
      </w:r>
    </w:p>
    <w:p w:rsidR="002A7CD3" w:rsidRDefault="002C6B44" w:rsidP="002A7CD3">
      <w:pPr>
        <w:keepNext/>
        <w:jc w:val="center"/>
      </w:pPr>
      <w:r>
        <w:rPr>
          <w:noProof/>
        </w:rPr>
        <w:drawing>
          <wp:inline distT="0" distB="0" distL="0" distR="0" wp14:anchorId="0AA3F081" wp14:editId="4E4E31E5">
            <wp:extent cx="3593592"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3592" cy="2286000"/>
                    </a:xfrm>
                    <a:prstGeom prst="rect">
                      <a:avLst/>
                    </a:prstGeom>
                    <a:noFill/>
                    <a:ln>
                      <a:noFill/>
                    </a:ln>
                  </pic:spPr>
                </pic:pic>
              </a:graphicData>
            </a:graphic>
          </wp:inline>
        </w:drawing>
      </w:r>
    </w:p>
    <w:p w:rsidR="002C6B44" w:rsidRDefault="002A7CD3" w:rsidP="002A7CD3">
      <w:pPr>
        <w:pStyle w:val="Caption"/>
        <w:jc w:val="center"/>
      </w:pPr>
      <w:r>
        <w:t xml:space="preserve">Figure </w:t>
      </w:r>
      <w:fldSimple w:instr=" SEQ Figure \* ARABIC ">
        <w:r>
          <w:rPr>
            <w:noProof/>
          </w:rPr>
          <w:t>18</w:t>
        </w:r>
      </w:fldSimple>
      <w:r>
        <w:t>: Total Load Shapes, Portland COM Feeder</w:t>
      </w:r>
    </w:p>
    <w:p w:rsidR="002A7CD3" w:rsidRDefault="00F17382" w:rsidP="002A7CD3">
      <w:pPr>
        <w:keepNext/>
        <w:jc w:val="center"/>
      </w:pPr>
      <w:r>
        <w:rPr>
          <w:noProof/>
        </w:rPr>
        <w:lastRenderedPageBreak/>
        <w:drawing>
          <wp:inline distT="0" distB="0" distL="0" distR="0" wp14:anchorId="5BE9CE45" wp14:editId="339B14FE">
            <wp:extent cx="3594838"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4838" cy="2286000"/>
                    </a:xfrm>
                    <a:prstGeom prst="rect">
                      <a:avLst/>
                    </a:prstGeom>
                    <a:noFill/>
                    <a:ln>
                      <a:noFill/>
                    </a:ln>
                  </pic:spPr>
                </pic:pic>
              </a:graphicData>
            </a:graphic>
          </wp:inline>
        </w:drawing>
      </w:r>
    </w:p>
    <w:p w:rsidR="00F17382" w:rsidRDefault="002A7CD3" w:rsidP="002A7CD3">
      <w:pPr>
        <w:pStyle w:val="Caption"/>
        <w:jc w:val="center"/>
      </w:pPr>
      <w:r>
        <w:t xml:space="preserve">Figure </w:t>
      </w:r>
      <w:fldSimple w:instr=" SEQ Figure \* ARABIC ">
        <w:r>
          <w:rPr>
            <w:noProof/>
          </w:rPr>
          <w:t>19</w:t>
        </w:r>
      </w:fldSimple>
      <w:r>
        <w:t>: Total Load Shapes, Portland MIX Feeder</w:t>
      </w:r>
    </w:p>
    <w:p w:rsidR="002C6B44" w:rsidRDefault="002C6B44" w:rsidP="0035418C"/>
    <w:p w:rsidR="00F277F5" w:rsidRDefault="00252717" w:rsidP="00F277F5">
      <w:pPr>
        <w:pStyle w:val="Heading3"/>
      </w:pPr>
      <w:r>
        <w:t xml:space="preserve">Applying </w:t>
      </w:r>
      <w:r w:rsidR="00F277F5">
        <w:t>Rules of Association</w:t>
      </w:r>
    </w:p>
    <w:p w:rsidR="006E1B79" w:rsidRDefault="004876F6" w:rsidP="00164F66">
      <w:r>
        <w:t>The rules of association provide a mapping of end use load shapes to the seven load types</w:t>
      </w:r>
      <w:r w:rsidR="009E2B25">
        <w:t xml:space="preserve"> by defining a fraction of each end use associated with each type.  For example, residential air conditioning is defined as 80% Motor D, 10% Motor B, and 10% Motor C.  </w:t>
      </w:r>
      <w:r w:rsidR="006E1B79">
        <w:t xml:space="preserve">Four individual tables have been created based on </w:t>
      </w:r>
      <w:r w:rsidR="00184BE4">
        <w:t xml:space="preserve">building types: residential, lodging/condominium, large/downtown office, and </w:t>
      </w:r>
      <w:r w:rsidR="003D3843">
        <w:t xml:space="preserve">general </w:t>
      </w:r>
      <w:r w:rsidR="00184BE4">
        <w:t xml:space="preserve">commercial.  </w:t>
      </w:r>
      <w:r w:rsidR="003D3843">
        <w:t>To calculate the total load composition factors:</w:t>
      </w:r>
    </w:p>
    <w:p w:rsidR="003D3843" w:rsidRDefault="003D3843" w:rsidP="003D3843">
      <w:pPr>
        <w:pStyle w:val="ListParagraph"/>
        <w:numPr>
          <w:ilvl w:val="0"/>
          <w:numId w:val="7"/>
        </w:numPr>
      </w:pPr>
      <w:r>
        <w:t>For each building, retrieve the corresponding rules of association table.</w:t>
      </w:r>
    </w:p>
    <w:p w:rsidR="003D3843" w:rsidRDefault="003D3843" w:rsidP="003D3843">
      <w:pPr>
        <w:pStyle w:val="ListParagraph"/>
        <w:numPr>
          <w:ilvl w:val="0"/>
          <w:numId w:val="7"/>
        </w:numPr>
      </w:pPr>
      <w:r>
        <w:t xml:space="preserve">Cycle through end uses, multiplying load shapes by percentages referenced in the rules of association.  Calculate the sum of all kW for each </w:t>
      </w:r>
      <w:r w:rsidR="00390633">
        <w:t>load type.</w:t>
      </w:r>
    </w:p>
    <w:p w:rsidR="002A7CD3" w:rsidRDefault="00C76382" w:rsidP="0071393A">
      <w:pPr>
        <w:pStyle w:val="ListParagraph"/>
        <w:numPr>
          <w:ilvl w:val="0"/>
          <w:numId w:val="7"/>
        </w:numPr>
      </w:pPr>
      <w:r>
        <w:t xml:space="preserve">Calculate the load composition as a percentage of the </w:t>
      </w:r>
      <w:r w:rsidR="002A7CD3">
        <w:t xml:space="preserve">total.  Figures 20, 21, and 22 </w:t>
      </w:r>
      <w:proofErr w:type="gramStart"/>
      <w:r w:rsidR="002A7CD3">
        <w:t>show</w:t>
      </w:r>
      <w:proofErr w:type="gramEnd"/>
      <w:r w:rsidR="002A7CD3">
        <w:t xml:space="preserve"> the 24 load composition for Portland RES, COM, and MIX feeders, respectively.</w:t>
      </w:r>
    </w:p>
    <w:p w:rsidR="002A7CD3" w:rsidRDefault="002A7CD3" w:rsidP="002A7CD3">
      <w:pPr>
        <w:pStyle w:val="ListParagraph"/>
      </w:pPr>
    </w:p>
    <w:p w:rsidR="002A7CD3" w:rsidRDefault="0071393A" w:rsidP="002A7CD3">
      <w:pPr>
        <w:pStyle w:val="ListParagraph"/>
        <w:keepNext/>
        <w:jc w:val="center"/>
      </w:pPr>
      <w:r>
        <w:rPr>
          <w:noProof/>
        </w:rPr>
        <w:drawing>
          <wp:inline distT="0" distB="0" distL="0" distR="0" wp14:anchorId="3A5D94D6" wp14:editId="33239B80">
            <wp:extent cx="3594838"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4838" cy="2286000"/>
                    </a:xfrm>
                    <a:prstGeom prst="rect">
                      <a:avLst/>
                    </a:prstGeom>
                    <a:noFill/>
                    <a:ln>
                      <a:noFill/>
                    </a:ln>
                  </pic:spPr>
                </pic:pic>
              </a:graphicData>
            </a:graphic>
          </wp:inline>
        </w:drawing>
      </w:r>
    </w:p>
    <w:p w:rsidR="0071393A" w:rsidRDefault="002A7CD3" w:rsidP="002A7CD3">
      <w:pPr>
        <w:pStyle w:val="Caption"/>
        <w:jc w:val="center"/>
      </w:pPr>
      <w:r>
        <w:t xml:space="preserve">Figure </w:t>
      </w:r>
      <w:fldSimple w:instr=" SEQ Figure \* ARABIC ">
        <w:r>
          <w:rPr>
            <w:noProof/>
          </w:rPr>
          <w:t>20</w:t>
        </w:r>
      </w:fldSimple>
      <w:r>
        <w:t>: Load Composition for Portland RES Feeder</w:t>
      </w:r>
    </w:p>
    <w:p w:rsidR="002A7CD3" w:rsidRDefault="002A7CD3" w:rsidP="002A7CD3">
      <w:pPr>
        <w:pStyle w:val="ListParagraph"/>
        <w:keepNext/>
        <w:jc w:val="center"/>
      </w:pPr>
    </w:p>
    <w:p w:rsidR="002A7CD3" w:rsidRDefault="0071393A" w:rsidP="002A7CD3">
      <w:pPr>
        <w:pStyle w:val="ListParagraph"/>
        <w:keepNext/>
        <w:jc w:val="center"/>
      </w:pPr>
      <w:r>
        <w:rPr>
          <w:noProof/>
        </w:rPr>
        <w:drawing>
          <wp:inline distT="0" distB="0" distL="0" distR="0" wp14:anchorId="28C46B12" wp14:editId="124C6670">
            <wp:extent cx="359484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4840" cy="2286000"/>
                    </a:xfrm>
                    <a:prstGeom prst="rect">
                      <a:avLst/>
                    </a:prstGeom>
                    <a:noFill/>
                    <a:ln>
                      <a:noFill/>
                    </a:ln>
                  </pic:spPr>
                </pic:pic>
              </a:graphicData>
            </a:graphic>
          </wp:inline>
        </w:drawing>
      </w:r>
    </w:p>
    <w:p w:rsidR="0071393A" w:rsidRDefault="002A7CD3" w:rsidP="002A7CD3">
      <w:pPr>
        <w:pStyle w:val="Caption"/>
        <w:jc w:val="center"/>
      </w:pPr>
      <w:r>
        <w:t xml:space="preserve">Figure </w:t>
      </w:r>
      <w:fldSimple w:instr=" SEQ Figure \* ARABIC ">
        <w:r>
          <w:rPr>
            <w:noProof/>
          </w:rPr>
          <w:t>21</w:t>
        </w:r>
      </w:fldSimple>
      <w:r>
        <w:t>: Load Composition for Portland COM Feeder</w:t>
      </w:r>
    </w:p>
    <w:p w:rsidR="002A7CD3" w:rsidRDefault="002A7CD3" w:rsidP="002A7CD3">
      <w:pPr>
        <w:pStyle w:val="ListParagraph"/>
        <w:keepNext/>
        <w:jc w:val="center"/>
      </w:pPr>
    </w:p>
    <w:p w:rsidR="002A7CD3" w:rsidRDefault="0071393A" w:rsidP="002A7CD3">
      <w:pPr>
        <w:pStyle w:val="ListParagraph"/>
        <w:keepNext/>
        <w:jc w:val="center"/>
      </w:pPr>
      <w:r>
        <w:rPr>
          <w:noProof/>
        </w:rPr>
        <w:drawing>
          <wp:inline distT="0" distB="0" distL="0" distR="0" wp14:anchorId="4ECD5670" wp14:editId="3679E5C6">
            <wp:extent cx="3593592"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93592" cy="2286000"/>
                    </a:xfrm>
                    <a:prstGeom prst="rect">
                      <a:avLst/>
                    </a:prstGeom>
                    <a:noFill/>
                    <a:ln>
                      <a:noFill/>
                    </a:ln>
                  </pic:spPr>
                </pic:pic>
              </a:graphicData>
            </a:graphic>
          </wp:inline>
        </w:drawing>
      </w:r>
    </w:p>
    <w:p w:rsidR="0071393A" w:rsidRPr="0071393A" w:rsidRDefault="002A7CD3" w:rsidP="002A7CD3">
      <w:pPr>
        <w:pStyle w:val="Caption"/>
        <w:jc w:val="center"/>
      </w:pPr>
      <w:r>
        <w:t xml:space="preserve">Figure </w:t>
      </w:r>
      <w:fldSimple w:instr=" SEQ Figure \* ARABIC ">
        <w:r>
          <w:rPr>
            <w:noProof/>
          </w:rPr>
          <w:t>22</w:t>
        </w:r>
      </w:fldSimple>
      <w:r>
        <w:t>: Load Composition for Portland MIX Feeder</w:t>
      </w:r>
    </w:p>
    <w:p w:rsidR="0017291C" w:rsidRDefault="00C76382" w:rsidP="0017291C">
      <w:pPr>
        <w:pStyle w:val="ListParagraph"/>
        <w:numPr>
          <w:ilvl w:val="0"/>
          <w:numId w:val="7"/>
        </w:numPr>
      </w:pPr>
      <w:r>
        <w:t>Repeat the process for each city/feeder pair, and for each season.</w:t>
      </w:r>
    </w:p>
    <w:p w:rsidR="00E43201" w:rsidRDefault="00E43201" w:rsidP="00F277F5">
      <w:pPr>
        <w:pStyle w:val="Heading2"/>
      </w:pPr>
      <w:r>
        <w:t>Conclusions and Next Steps</w:t>
      </w:r>
    </w:p>
    <w:p w:rsidR="00E43201" w:rsidRPr="00E43201" w:rsidRDefault="00E43201" w:rsidP="00E43201">
      <w:r>
        <w:t xml:space="preserve">The process undertaken by NERC LMTF has yielded </w:t>
      </w:r>
      <w:r w:rsidR="002D101F">
        <w:t xml:space="preserve">positive results, generally in agreement with past efforts for load modeling and composition.  </w:t>
      </w:r>
      <w:r w:rsidR="00AA244A">
        <w:t xml:space="preserve">Load composition values align with common sense expectations and trends are consistent across regions.  </w:t>
      </w:r>
      <w:r w:rsidR="002D101F">
        <w:t>However, much work remains to</w:t>
      </w:r>
      <w:r w:rsidR="00AA244A">
        <w:t xml:space="preserve"> help</w:t>
      </w:r>
      <w:r w:rsidR="002D101F">
        <w:t xml:space="preserve"> minimize assumptions</w:t>
      </w:r>
      <w:r w:rsidR="00AA244A">
        <w:t xml:space="preserve"> throughout the process, tune building models, and refine results. As of this writing, numerous metering studies are underway to increase the breadth of residential and commercial</w:t>
      </w:r>
      <w:r w:rsidR="00B51110">
        <w:t xml:space="preserve"> datasets, allowing for more accurate and modernize</w:t>
      </w:r>
      <w:r w:rsidR="001A6FB5">
        <w:t>d</w:t>
      </w:r>
      <w:r w:rsidR="00B51110">
        <w:t xml:space="preserve"> building models.  Regional entities are increasing their involvement, which will improve visibility and </w:t>
      </w:r>
      <w:r w:rsidR="002C7E25">
        <w:t>refinement</w:t>
      </w:r>
      <w:r w:rsidR="00B51110">
        <w:t xml:space="preserve"> </w:t>
      </w:r>
      <w:r w:rsidR="002C7E25">
        <w:t>of</w:t>
      </w:r>
      <w:r w:rsidR="00B51110">
        <w:t xml:space="preserve"> such factors as electrification and feeder composition.</w:t>
      </w:r>
    </w:p>
    <w:p w:rsidR="00F277F5" w:rsidRDefault="00E43201" w:rsidP="00F277F5">
      <w:pPr>
        <w:pStyle w:val="Heading2"/>
      </w:pPr>
      <w:r>
        <w:lastRenderedPageBreak/>
        <w:t xml:space="preserve">Appendix: </w:t>
      </w:r>
      <w:r w:rsidR="00F277F5">
        <w:t>Sample Results</w:t>
      </w:r>
    </w:p>
    <w:p w:rsidR="00EC7F3C" w:rsidRDefault="00E43201" w:rsidP="00E43201">
      <w:r>
        <w:t xml:space="preserve">Planning studies are primarily concerned with load composition at peak or light load times.  </w:t>
      </w:r>
      <w:r w:rsidR="00AD34EA">
        <w:t>For the initial data set, the periods of interest are defined as:</w:t>
      </w:r>
    </w:p>
    <w:p w:rsidR="00AD34EA" w:rsidRDefault="00AD34EA" w:rsidP="00E43201">
      <w:pPr>
        <w:pStyle w:val="ListParagraph"/>
        <w:numPr>
          <w:ilvl w:val="1"/>
          <w:numId w:val="2"/>
        </w:numPr>
      </w:pPr>
      <w:r>
        <w:t>Summer at 4:00 pm</w:t>
      </w:r>
    </w:p>
    <w:p w:rsidR="00AD34EA" w:rsidRDefault="00AD34EA" w:rsidP="00E43201">
      <w:pPr>
        <w:pStyle w:val="ListParagraph"/>
        <w:numPr>
          <w:ilvl w:val="1"/>
          <w:numId w:val="2"/>
        </w:numPr>
      </w:pPr>
      <w:r>
        <w:t>Winter at 8:00 am</w:t>
      </w:r>
    </w:p>
    <w:p w:rsidR="00AD34EA" w:rsidRDefault="00AD34EA" w:rsidP="00E43201">
      <w:pPr>
        <w:pStyle w:val="ListParagraph"/>
        <w:numPr>
          <w:ilvl w:val="1"/>
          <w:numId w:val="2"/>
        </w:numPr>
      </w:pPr>
      <w:r>
        <w:t>Spring at 3:00 am</w:t>
      </w:r>
    </w:p>
    <w:p w:rsidR="00AD34EA" w:rsidRDefault="00DD5601" w:rsidP="00E43201">
      <w:r>
        <w:t>Results for a particular time slice can be visualized with pie charts</w:t>
      </w:r>
      <w:r w:rsidR="000E2023">
        <w:t>.  Samples of these pie charts are provided below.</w:t>
      </w:r>
      <w:r w:rsidR="0076548F">
        <w:t xml:space="preserve">  </w:t>
      </w:r>
      <w:r w:rsidR="0076548F" w:rsidRPr="0076548F">
        <w:rPr>
          <w:b/>
        </w:rPr>
        <w:t>Note: Pie charts are available for all city/feeder pairs, and can be added if necessary.</w:t>
      </w:r>
    </w:p>
    <w:p w:rsidR="00240B79" w:rsidRDefault="00240B79" w:rsidP="00240B79">
      <w:pPr>
        <w:pStyle w:val="Heading3"/>
      </w:pPr>
      <w:r>
        <w:t>Boston</w:t>
      </w:r>
      <w:bookmarkStart w:id="0" w:name="_GoBack"/>
      <w:bookmarkEnd w:id="0"/>
    </w:p>
    <w:p w:rsidR="00240B79" w:rsidRDefault="00240B79" w:rsidP="00E43201"/>
    <w:p w:rsidR="00240B79" w:rsidRDefault="00240B79" w:rsidP="00826316">
      <w:pPr>
        <w:jc w:val="center"/>
        <w:rPr>
          <w:rFonts w:ascii="Times New Roman" w:eastAsia="Times New Roman" w:hAnsi="Times New Roman" w:cs="Times New Roman"/>
          <w:sz w:val="24"/>
          <w:szCs w:val="24"/>
        </w:rPr>
      </w:pPr>
      <w:r w:rsidRPr="00240B79">
        <w:rPr>
          <w:rFonts w:ascii="Times New Roman" w:eastAsia="Times New Roman" w:hAnsi="Times New Roman" w:cs="Times New Roman"/>
          <w:noProof/>
          <w:sz w:val="24"/>
          <w:szCs w:val="24"/>
        </w:rPr>
        <w:drawing>
          <wp:inline distT="0" distB="0" distL="0" distR="0" wp14:anchorId="5BFA893D" wp14:editId="356FCBEB">
            <wp:extent cx="3656145" cy="2743200"/>
            <wp:effectExtent l="0" t="0" r="1905" b="0"/>
            <wp:docPr id="28" name="Picture 28" descr="C:\Users\Tony\AppData\Local\Temp\ConnectorClipboard6316831190965338276\image15829271332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AppData\Local\Temp\ConnectorClipboard6316831190965338276\image1582927133296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6145" cy="2743200"/>
                    </a:xfrm>
                    <a:prstGeom prst="rect">
                      <a:avLst/>
                    </a:prstGeom>
                    <a:noFill/>
                    <a:ln>
                      <a:noFill/>
                    </a:ln>
                  </pic:spPr>
                </pic:pic>
              </a:graphicData>
            </a:graphic>
          </wp:inline>
        </w:drawing>
      </w:r>
    </w:p>
    <w:p w:rsidR="00240B79" w:rsidRDefault="00240B79" w:rsidP="00826316">
      <w:pPr>
        <w:jc w:val="center"/>
        <w:rPr>
          <w:rFonts w:ascii="Times New Roman" w:eastAsia="Times New Roman" w:hAnsi="Times New Roman" w:cs="Times New Roman"/>
          <w:sz w:val="24"/>
          <w:szCs w:val="24"/>
        </w:rPr>
      </w:pPr>
      <w:r w:rsidRPr="00240B79">
        <w:rPr>
          <w:rFonts w:ascii="Times New Roman" w:eastAsia="Times New Roman" w:hAnsi="Times New Roman" w:cs="Times New Roman"/>
          <w:noProof/>
          <w:sz w:val="24"/>
          <w:szCs w:val="24"/>
        </w:rPr>
        <w:drawing>
          <wp:inline distT="0" distB="0" distL="0" distR="0" wp14:anchorId="293C5560" wp14:editId="0AA3FD20">
            <wp:extent cx="3657600" cy="2743200"/>
            <wp:effectExtent l="0" t="0" r="0" b="0"/>
            <wp:docPr id="29" name="Picture 29" descr="C:\Users\Tony\AppData\Local\Temp\ConnectorClipboard6316831190965338276\image15829271470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AppData\Local\Temp\ConnectorClipboard6316831190965338276\image1582927147058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240B79" w:rsidRDefault="00240B79" w:rsidP="00826316">
      <w:pPr>
        <w:spacing w:after="0" w:line="240" w:lineRule="auto"/>
        <w:jc w:val="center"/>
        <w:rPr>
          <w:rFonts w:ascii="Times New Roman" w:eastAsia="Times New Roman" w:hAnsi="Times New Roman" w:cs="Times New Roman"/>
          <w:sz w:val="24"/>
          <w:szCs w:val="24"/>
        </w:rPr>
      </w:pPr>
      <w:r w:rsidRPr="00240B79">
        <w:rPr>
          <w:rFonts w:ascii="Times New Roman" w:eastAsia="Times New Roman" w:hAnsi="Times New Roman" w:cs="Times New Roman"/>
          <w:noProof/>
          <w:sz w:val="24"/>
          <w:szCs w:val="24"/>
        </w:rPr>
        <w:lastRenderedPageBreak/>
        <w:drawing>
          <wp:inline distT="0" distB="0" distL="0" distR="0" wp14:anchorId="282FF612" wp14:editId="52FFCDE8">
            <wp:extent cx="3657600" cy="2743200"/>
            <wp:effectExtent l="0" t="0" r="0" b="0"/>
            <wp:docPr id="31" name="Picture 31" descr="C:\Users\Tony\AppData\Local\Temp\ConnectorClipboard6316831190965338276\image1582927199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ny\AppData\Local\Temp\ConnectorClipboard6316831190965338276\image158292719909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240B79" w:rsidRPr="00240B79" w:rsidRDefault="00240B79" w:rsidP="00240B79">
      <w:pPr>
        <w:spacing w:after="0" w:line="240" w:lineRule="auto"/>
        <w:rPr>
          <w:rFonts w:ascii="Times New Roman" w:eastAsia="Times New Roman" w:hAnsi="Times New Roman" w:cs="Times New Roman"/>
          <w:sz w:val="24"/>
          <w:szCs w:val="24"/>
        </w:rPr>
      </w:pPr>
    </w:p>
    <w:p w:rsidR="00240B79" w:rsidRDefault="00240B79" w:rsidP="00826316">
      <w:pPr>
        <w:spacing w:after="0" w:line="240" w:lineRule="auto"/>
        <w:jc w:val="center"/>
        <w:rPr>
          <w:rFonts w:ascii="Times New Roman" w:eastAsia="Times New Roman" w:hAnsi="Times New Roman" w:cs="Times New Roman"/>
          <w:sz w:val="24"/>
          <w:szCs w:val="24"/>
        </w:rPr>
      </w:pPr>
      <w:r w:rsidRPr="00240B79">
        <w:rPr>
          <w:rFonts w:ascii="Times New Roman" w:eastAsia="Times New Roman" w:hAnsi="Times New Roman" w:cs="Times New Roman"/>
          <w:noProof/>
          <w:sz w:val="24"/>
          <w:szCs w:val="24"/>
        </w:rPr>
        <w:drawing>
          <wp:inline distT="0" distB="0" distL="0" distR="0" wp14:anchorId="5BC54412" wp14:editId="39D15C8D">
            <wp:extent cx="3656145" cy="2743200"/>
            <wp:effectExtent l="0" t="0" r="1905" b="0"/>
            <wp:docPr id="32" name="Picture 32" descr="C:\Users\Tony\AppData\Local\Temp\ConnectorClipboard6316831190965338276\image15829272314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Local\Temp\ConnectorClipboard6316831190965338276\image158292723143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6145" cy="2743200"/>
                    </a:xfrm>
                    <a:prstGeom prst="rect">
                      <a:avLst/>
                    </a:prstGeom>
                    <a:noFill/>
                    <a:ln>
                      <a:noFill/>
                    </a:ln>
                  </pic:spPr>
                </pic:pic>
              </a:graphicData>
            </a:graphic>
          </wp:inline>
        </w:drawing>
      </w:r>
    </w:p>
    <w:p w:rsidR="00240B79" w:rsidRPr="00240B79" w:rsidRDefault="00240B79" w:rsidP="00240B79">
      <w:pPr>
        <w:spacing w:after="0" w:line="240" w:lineRule="auto"/>
        <w:rPr>
          <w:rFonts w:ascii="Times New Roman" w:eastAsia="Times New Roman" w:hAnsi="Times New Roman" w:cs="Times New Roman"/>
          <w:sz w:val="24"/>
          <w:szCs w:val="24"/>
        </w:rPr>
      </w:pPr>
    </w:p>
    <w:p w:rsidR="00240B79" w:rsidRDefault="00240B79" w:rsidP="00826316">
      <w:pPr>
        <w:spacing w:after="0" w:line="240" w:lineRule="auto"/>
        <w:jc w:val="center"/>
        <w:rPr>
          <w:rFonts w:ascii="Times New Roman" w:eastAsia="Times New Roman" w:hAnsi="Times New Roman" w:cs="Times New Roman"/>
          <w:sz w:val="24"/>
          <w:szCs w:val="24"/>
        </w:rPr>
      </w:pPr>
      <w:r w:rsidRPr="00240B79">
        <w:rPr>
          <w:rFonts w:ascii="Times New Roman" w:eastAsia="Times New Roman" w:hAnsi="Times New Roman" w:cs="Times New Roman"/>
          <w:noProof/>
          <w:sz w:val="24"/>
          <w:szCs w:val="24"/>
        </w:rPr>
        <w:lastRenderedPageBreak/>
        <w:drawing>
          <wp:inline distT="0" distB="0" distL="0" distR="0" wp14:anchorId="15DDC5C3" wp14:editId="77F88867">
            <wp:extent cx="3657600" cy="2743200"/>
            <wp:effectExtent l="0" t="0" r="0" b="0"/>
            <wp:docPr id="33" name="Picture 33" descr="C:\Users\Tony\AppData\Local\Temp\ConnectorClipboard6316831190965338276\image15829272469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ny\AppData\Local\Temp\ConnectorClipboard6316831190965338276\image1582927246928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240B79" w:rsidRPr="00240B79" w:rsidRDefault="00240B79" w:rsidP="00240B79">
      <w:pPr>
        <w:spacing w:after="0" w:line="240" w:lineRule="auto"/>
        <w:rPr>
          <w:rFonts w:ascii="Times New Roman" w:eastAsia="Times New Roman" w:hAnsi="Times New Roman" w:cs="Times New Roman"/>
          <w:sz w:val="24"/>
          <w:szCs w:val="24"/>
        </w:rPr>
      </w:pPr>
    </w:p>
    <w:p w:rsidR="00240B79" w:rsidRDefault="00240B79" w:rsidP="00826316">
      <w:pPr>
        <w:spacing w:after="0" w:line="240" w:lineRule="auto"/>
        <w:jc w:val="center"/>
        <w:rPr>
          <w:rFonts w:ascii="Times New Roman" w:eastAsia="Times New Roman" w:hAnsi="Times New Roman" w:cs="Times New Roman"/>
          <w:sz w:val="24"/>
          <w:szCs w:val="24"/>
        </w:rPr>
      </w:pPr>
      <w:r w:rsidRPr="00240B79">
        <w:rPr>
          <w:rFonts w:ascii="Times New Roman" w:eastAsia="Times New Roman" w:hAnsi="Times New Roman" w:cs="Times New Roman"/>
          <w:noProof/>
          <w:sz w:val="24"/>
          <w:szCs w:val="24"/>
        </w:rPr>
        <w:drawing>
          <wp:inline distT="0" distB="0" distL="0" distR="0" wp14:anchorId="544518D7" wp14:editId="79D6D57B">
            <wp:extent cx="3656149" cy="2743200"/>
            <wp:effectExtent l="0" t="0" r="1905" b="0"/>
            <wp:docPr id="34" name="Picture 34" descr="C:\Users\Tony\AppData\Local\Temp\ConnectorClipboard6316831190965338276\image15829272618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ny\AppData\Local\Temp\ConnectorClipboard6316831190965338276\image158292726188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6149" cy="2743200"/>
                    </a:xfrm>
                    <a:prstGeom prst="rect">
                      <a:avLst/>
                    </a:prstGeom>
                    <a:noFill/>
                    <a:ln>
                      <a:noFill/>
                    </a:ln>
                  </pic:spPr>
                </pic:pic>
              </a:graphicData>
            </a:graphic>
          </wp:inline>
        </w:drawing>
      </w:r>
    </w:p>
    <w:p w:rsidR="00240B79" w:rsidRDefault="00240B79" w:rsidP="00240B79">
      <w:pPr>
        <w:pStyle w:val="Heading3"/>
        <w:rPr>
          <w:rFonts w:eastAsia="Times New Roman"/>
        </w:rPr>
      </w:pPr>
      <w:r>
        <w:rPr>
          <w:rFonts w:eastAsia="Times New Roman"/>
        </w:rPr>
        <w:lastRenderedPageBreak/>
        <w:t>Miami</w:t>
      </w:r>
    </w:p>
    <w:p w:rsidR="00826316" w:rsidRDefault="00826316" w:rsidP="00826316">
      <w:pPr>
        <w:spacing w:after="0" w:line="240" w:lineRule="auto"/>
        <w:jc w:val="center"/>
        <w:rPr>
          <w:rFonts w:ascii="Times New Roman" w:eastAsia="Times New Roman" w:hAnsi="Times New Roman" w:cs="Times New Roman"/>
          <w:sz w:val="24"/>
          <w:szCs w:val="24"/>
        </w:rPr>
      </w:pPr>
      <w:r w:rsidRPr="00826316">
        <w:rPr>
          <w:rFonts w:ascii="Times New Roman" w:eastAsia="Times New Roman" w:hAnsi="Times New Roman" w:cs="Times New Roman"/>
          <w:noProof/>
          <w:sz w:val="24"/>
          <w:szCs w:val="24"/>
        </w:rPr>
        <w:drawing>
          <wp:inline distT="0" distB="0" distL="0" distR="0" wp14:anchorId="0720D456" wp14:editId="117E98EC">
            <wp:extent cx="3648456" cy="2743200"/>
            <wp:effectExtent l="0" t="0" r="9525" b="0"/>
            <wp:docPr id="35" name="Picture 35" descr="C:\Users\Tony\AppData\Local\Temp\ConnectorClipboard6316831190965338276\image1582927342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ny\AppData\Local\Temp\ConnectorClipboard6316831190965338276\image158292734214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456" cy="2743200"/>
                    </a:xfrm>
                    <a:prstGeom prst="rect">
                      <a:avLst/>
                    </a:prstGeom>
                    <a:noFill/>
                    <a:ln>
                      <a:noFill/>
                    </a:ln>
                  </pic:spPr>
                </pic:pic>
              </a:graphicData>
            </a:graphic>
          </wp:inline>
        </w:drawing>
      </w:r>
    </w:p>
    <w:p w:rsidR="00826316" w:rsidRPr="00826316" w:rsidRDefault="00826316" w:rsidP="00826316">
      <w:pPr>
        <w:spacing w:after="0" w:line="240" w:lineRule="auto"/>
        <w:rPr>
          <w:rFonts w:ascii="Times New Roman" w:eastAsia="Times New Roman" w:hAnsi="Times New Roman" w:cs="Times New Roman"/>
          <w:sz w:val="24"/>
          <w:szCs w:val="24"/>
        </w:rPr>
      </w:pPr>
    </w:p>
    <w:p w:rsidR="00826316" w:rsidRPr="00826316" w:rsidRDefault="00826316" w:rsidP="00826316">
      <w:pPr>
        <w:spacing w:after="0" w:line="240" w:lineRule="auto"/>
        <w:jc w:val="center"/>
        <w:rPr>
          <w:rFonts w:ascii="Times New Roman" w:eastAsia="Times New Roman" w:hAnsi="Times New Roman" w:cs="Times New Roman"/>
          <w:sz w:val="24"/>
          <w:szCs w:val="24"/>
        </w:rPr>
      </w:pPr>
      <w:r w:rsidRPr="00826316">
        <w:rPr>
          <w:rFonts w:ascii="Times New Roman" w:eastAsia="Times New Roman" w:hAnsi="Times New Roman" w:cs="Times New Roman"/>
          <w:noProof/>
          <w:sz w:val="24"/>
          <w:szCs w:val="24"/>
        </w:rPr>
        <w:drawing>
          <wp:inline distT="0" distB="0" distL="0" distR="0" wp14:anchorId="4ECFD558" wp14:editId="16386351">
            <wp:extent cx="3648456" cy="2743200"/>
            <wp:effectExtent l="0" t="0" r="9525" b="0"/>
            <wp:docPr id="36" name="Picture 36" descr="C:\Users\Tony\AppData\Local\Temp\ConnectorClipboard6316831190965338276\image15829273595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y\AppData\Local\Temp\ConnectorClipboard6316831190965338276\image1582927359553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456" cy="2743200"/>
                    </a:xfrm>
                    <a:prstGeom prst="rect">
                      <a:avLst/>
                    </a:prstGeom>
                    <a:noFill/>
                    <a:ln>
                      <a:noFill/>
                    </a:ln>
                  </pic:spPr>
                </pic:pic>
              </a:graphicData>
            </a:graphic>
          </wp:inline>
        </w:drawing>
      </w:r>
    </w:p>
    <w:p w:rsidR="00240B79" w:rsidRDefault="00240B79" w:rsidP="00240B79">
      <w:pPr>
        <w:rPr>
          <w:rFonts w:ascii="Times New Roman" w:eastAsia="Times New Roman" w:hAnsi="Times New Roman" w:cs="Times New Roman"/>
          <w:sz w:val="24"/>
          <w:szCs w:val="24"/>
        </w:rPr>
      </w:pPr>
    </w:p>
    <w:p w:rsidR="00826316" w:rsidRDefault="00826316" w:rsidP="00826316">
      <w:pPr>
        <w:spacing w:after="0" w:line="240" w:lineRule="auto"/>
        <w:jc w:val="center"/>
        <w:rPr>
          <w:rFonts w:ascii="Times New Roman" w:eastAsia="Times New Roman" w:hAnsi="Times New Roman" w:cs="Times New Roman"/>
          <w:sz w:val="24"/>
          <w:szCs w:val="24"/>
        </w:rPr>
      </w:pPr>
      <w:r w:rsidRPr="00826316">
        <w:rPr>
          <w:rFonts w:ascii="Times New Roman" w:eastAsia="Times New Roman" w:hAnsi="Times New Roman" w:cs="Times New Roman"/>
          <w:noProof/>
          <w:sz w:val="24"/>
          <w:szCs w:val="24"/>
        </w:rPr>
        <w:lastRenderedPageBreak/>
        <w:drawing>
          <wp:inline distT="0" distB="0" distL="0" distR="0" wp14:anchorId="1069D8D3" wp14:editId="47AFD4D8">
            <wp:extent cx="3648456" cy="2743200"/>
            <wp:effectExtent l="0" t="0" r="9525" b="0"/>
            <wp:docPr id="37" name="Picture 37" descr="C:\Users\Tony\AppData\Local\Temp\ConnectorClipboard6316831190965338276\image1582927365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ny\AppData\Local\Temp\ConnectorClipboard6316831190965338276\image158292736536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8456" cy="2743200"/>
                    </a:xfrm>
                    <a:prstGeom prst="rect">
                      <a:avLst/>
                    </a:prstGeom>
                    <a:noFill/>
                    <a:ln>
                      <a:noFill/>
                    </a:ln>
                  </pic:spPr>
                </pic:pic>
              </a:graphicData>
            </a:graphic>
          </wp:inline>
        </w:drawing>
      </w:r>
    </w:p>
    <w:p w:rsidR="00826316" w:rsidRPr="00826316" w:rsidRDefault="00826316" w:rsidP="00826316">
      <w:pPr>
        <w:spacing w:after="0" w:line="240" w:lineRule="auto"/>
        <w:rPr>
          <w:rFonts w:ascii="Times New Roman" w:eastAsia="Times New Roman" w:hAnsi="Times New Roman" w:cs="Times New Roman"/>
          <w:sz w:val="24"/>
          <w:szCs w:val="24"/>
        </w:rPr>
      </w:pPr>
    </w:p>
    <w:p w:rsidR="00826316" w:rsidRPr="00826316" w:rsidRDefault="00826316" w:rsidP="00826316">
      <w:pPr>
        <w:spacing w:after="0" w:line="240" w:lineRule="auto"/>
        <w:jc w:val="center"/>
        <w:rPr>
          <w:rFonts w:ascii="Times New Roman" w:eastAsia="Times New Roman" w:hAnsi="Times New Roman" w:cs="Times New Roman"/>
          <w:sz w:val="24"/>
          <w:szCs w:val="24"/>
        </w:rPr>
      </w:pPr>
      <w:r w:rsidRPr="00826316">
        <w:rPr>
          <w:rFonts w:ascii="Times New Roman" w:eastAsia="Times New Roman" w:hAnsi="Times New Roman" w:cs="Times New Roman"/>
          <w:noProof/>
          <w:sz w:val="24"/>
          <w:szCs w:val="24"/>
        </w:rPr>
        <w:drawing>
          <wp:inline distT="0" distB="0" distL="0" distR="0" wp14:anchorId="7128CC3E" wp14:editId="45306D2B">
            <wp:extent cx="3657600" cy="2743200"/>
            <wp:effectExtent l="0" t="0" r="0" b="0"/>
            <wp:docPr id="38" name="Picture 38" descr="C:\Users\Tony\AppData\Local\Temp\ConnectorClipboard6316831190965338276\image15829274123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y\AppData\Local\Temp\ConnectorClipboard6316831190965338276\image1582927412337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240B79" w:rsidRPr="00240B79" w:rsidRDefault="00240B79" w:rsidP="00240B79">
      <w:pPr>
        <w:spacing w:after="0" w:line="240" w:lineRule="auto"/>
        <w:rPr>
          <w:rFonts w:ascii="Times New Roman" w:eastAsia="Times New Roman" w:hAnsi="Times New Roman" w:cs="Times New Roman"/>
          <w:sz w:val="24"/>
          <w:szCs w:val="24"/>
        </w:rPr>
      </w:pPr>
    </w:p>
    <w:p w:rsidR="00240B79" w:rsidRPr="00240B79" w:rsidRDefault="00240B79" w:rsidP="00240B79">
      <w:pPr>
        <w:rPr>
          <w:rFonts w:ascii="Times New Roman" w:eastAsia="Times New Roman" w:hAnsi="Times New Roman" w:cs="Times New Roman"/>
          <w:sz w:val="24"/>
          <w:szCs w:val="24"/>
        </w:rPr>
      </w:pPr>
    </w:p>
    <w:p w:rsidR="00826316" w:rsidRPr="00826316" w:rsidRDefault="00826316" w:rsidP="00826316">
      <w:pPr>
        <w:spacing w:after="0" w:line="240" w:lineRule="auto"/>
        <w:jc w:val="center"/>
        <w:rPr>
          <w:rFonts w:ascii="Times New Roman" w:eastAsia="Times New Roman" w:hAnsi="Times New Roman" w:cs="Times New Roman"/>
          <w:sz w:val="24"/>
          <w:szCs w:val="24"/>
        </w:rPr>
      </w:pPr>
      <w:r w:rsidRPr="00826316">
        <w:rPr>
          <w:rFonts w:ascii="Times New Roman" w:eastAsia="Times New Roman" w:hAnsi="Times New Roman" w:cs="Times New Roman"/>
          <w:noProof/>
          <w:sz w:val="24"/>
          <w:szCs w:val="24"/>
        </w:rPr>
        <w:lastRenderedPageBreak/>
        <w:drawing>
          <wp:inline distT="0" distB="0" distL="0" distR="0" wp14:anchorId="435BBDCE" wp14:editId="318D59E2">
            <wp:extent cx="3657600" cy="2743200"/>
            <wp:effectExtent l="0" t="0" r="0" b="0"/>
            <wp:docPr id="40" name="Picture 40" descr="C:\Users\Tony\AppData\Local\Temp\ConnectorClipboard6316831190965338276\image15829274414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ny\AppData\Local\Temp\ConnectorClipboard6316831190965338276\image158292744145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826316" w:rsidRPr="00826316" w:rsidRDefault="00826316" w:rsidP="00826316">
      <w:pPr>
        <w:jc w:val="center"/>
        <w:rPr>
          <w:rFonts w:ascii="Times New Roman" w:eastAsia="Times New Roman" w:hAnsi="Times New Roman" w:cs="Times New Roman"/>
          <w:sz w:val="24"/>
          <w:szCs w:val="24"/>
        </w:rPr>
      </w:pPr>
      <w:r w:rsidRPr="00826316">
        <w:rPr>
          <w:rFonts w:ascii="Times New Roman" w:eastAsia="Times New Roman" w:hAnsi="Times New Roman" w:cs="Times New Roman"/>
          <w:noProof/>
          <w:sz w:val="24"/>
          <w:szCs w:val="24"/>
        </w:rPr>
        <w:drawing>
          <wp:inline distT="0" distB="0" distL="0" distR="0" wp14:anchorId="67820A4D" wp14:editId="02D21D0B">
            <wp:extent cx="3657600" cy="2743200"/>
            <wp:effectExtent l="0" t="0" r="0" b="0"/>
            <wp:docPr id="39" name="Picture 39" descr="C:\Users\Tony\AppData\Local\Temp\ConnectorClipboard6316831190965338276\image1582927422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ny\AppData\Local\Temp\ConnectorClipboard6316831190965338276\image158292742253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826316" w:rsidRPr="00826316" w:rsidRDefault="00826316" w:rsidP="00826316">
      <w:pPr>
        <w:spacing w:after="0" w:line="240" w:lineRule="auto"/>
        <w:rPr>
          <w:rFonts w:ascii="Times New Roman" w:eastAsia="Times New Roman" w:hAnsi="Times New Roman" w:cs="Times New Roman"/>
          <w:sz w:val="24"/>
          <w:szCs w:val="24"/>
        </w:rPr>
      </w:pPr>
    </w:p>
    <w:p w:rsidR="0003567E" w:rsidRDefault="00526B4D" w:rsidP="00526B4D">
      <w:pPr>
        <w:pStyle w:val="Heading3"/>
      </w:pPr>
      <w:r>
        <w:lastRenderedPageBreak/>
        <w:t>Phoenix</w:t>
      </w:r>
    </w:p>
    <w:p w:rsidR="00526B4D" w:rsidRPr="00526B4D" w:rsidRDefault="00526B4D" w:rsidP="00526B4D">
      <w:pPr>
        <w:spacing w:after="0" w:line="240" w:lineRule="auto"/>
        <w:jc w:val="center"/>
        <w:rPr>
          <w:rFonts w:ascii="Times New Roman" w:eastAsia="Times New Roman" w:hAnsi="Times New Roman" w:cs="Times New Roman"/>
          <w:sz w:val="24"/>
          <w:szCs w:val="24"/>
        </w:rPr>
      </w:pPr>
      <w:r w:rsidRPr="00526B4D">
        <w:rPr>
          <w:rFonts w:ascii="Times New Roman" w:eastAsia="Times New Roman" w:hAnsi="Times New Roman" w:cs="Times New Roman"/>
          <w:noProof/>
          <w:sz w:val="24"/>
          <w:szCs w:val="24"/>
        </w:rPr>
        <w:drawing>
          <wp:inline distT="0" distB="0" distL="0" distR="0" wp14:anchorId="0BB1A02B" wp14:editId="385A5236">
            <wp:extent cx="3657600" cy="2743200"/>
            <wp:effectExtent l="0" t="0" r="0" b="0"/>
            <wp:docPr id="41" name="Picture 41" descr="C:\Users\Tony\AppData\Local\Temp\ConnectorClipboard6316831190965338276\image15829275904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ny\AppData\Local\Temp\ConnectorClipboard6316831190965338276\image1582927590427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526B4D" w:rsidRPr="00526B4D" w:rsidRDefault="00526B4D" w:rsidP="00526B4D">
      <w:pPr>
        <w:spacing w:after="0" w:line="240" w:lineRule="auto"/>
        <w:jc w:val="center"/>
        <w:rPr>
          <w:rFonts w:ascii="Times New Roman" w:eastAsia="Times New Roman" w:hAnsi="Times New Roman" w:cs="Times New Roman"/>
          <w:sz w:val="24"/>
          <w:szCs w:val="24"/>
        </w:rPr>
      </w:pPr>
      <w:r w:rsidRPr="00526B4D">
        <w:rPr>
          <w:rFonts w:ascii="Times New Roman" w:eastAsia="Times New Roman" w:hAnsi="Times New Roman" w:cs="Times New Roman"/>
          <w:noProof/>
          <w:sz w:val="24"/>
          <w:szCs w:val="24"/>
        </w:rPr>
        <w:drawing>
          <wp:inline distT="0" distB="0" distL="0" distR="0" wp14:anchorId="5E5D75B9" wp14:editId="427A34A4">
            <wp:extent cx="3657600" cy="2743200"/>
            <wp:effectExtent l="0" t="0" r="0" b="0"/>
            <wp:docPr id="42" name="Picture 42" descr="C:\Users\Tony\AppData\Local\Temp\ConnectorClipboard6316831190965338276\image15829275968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ny\AppData\Local\Temp\ConnectorClipboard6316831190965338276\image1582927596876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526B4D" w:rsidRPr="00526B4D" w:rsidRDefault="00526B4D" w:rsidP="00526B4D">
      <w:pPr>
        <w:spacing w:after="0" w:line="240" w:lineRule="auto"/>
        <w:jc w:val="center"/>
        <w:rPr>
          <w:rFonts w:ascii="Times New Roman" w:eastAsia="Times New Roman" w:hAnsi="Times New Roman" w:cs="Times New Roman"/>
          <w:sz w:val="24"/>
          <w:szCs w:val="24"/>
        </w:rPr>
      </w:pPr>
      <w:r w:rsidRPr="00526B4D">
        <w:rPr>
          <w:rFonts w:ascii="Times New Roman" w:eastAsia="Times New Roman" w:hAnsi="Times New Roman" w:cs="Times New Roman"/>
          <w:noProof/>
          <w:sz w:val="24"/>
          <w:szCs w:val="24"/>
        </w:rPr>
        <w:lastRenderedPageBreak/>
        <w:drawing>
          <wp:inline distT="0" distB="0" distL="0" distR="0" wp14:anchorId="1AB0D2E9" wp14:editId="0C97ECD8">
            <wp:extent cx="3657600" cy="2743200"/>
            <wp:effectExtent l="0" t="0" r="0" b="0"/>
            <wp:docPr id="43" name="Picture 43" descr="C:\Users\Tony\AppData\Local\Temp\ConnectorClipboard6316831190965338276\image15829276009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ny\AppData\Local\Temp\ConnectorClipboard6316831190965338276\image158292760098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526B4D" w:rsidRPr="00526B4D" w:rsidRDefault="00526B4D" w:rsidP="00526B4D">
      <w:pPr>
        <w:spacing w:after="0" w:line="240" w:lineRule="auto"/>
        <w:jc w:val="center"/>
        <w:rPr>
          <w:rFonts w:ascii="Times New Roman" w:eastAsia="Times New Roman" w:hAnsi="Times New Roman" w:cs="Times New Roman"/>
          <w:sz w:val="24"/>
          <w:szCs w:val="24"/>
        </w:rPr>
      </w:pPr>
      <w:r w:rsidRPr="00526B4D">
        <w:rPr>
          <w:rFonts w:ascii="Times New Roman" w:eastAsia="Times New Roman" w:hAnsi="Times New Roman" w:cs="Times New Roman"/>
          <w:noProof/>
          <w:sz w:val="24"/>
          <w:szCs w:val="24"/>
        </w:rPr>
        <w:drawing>
          <wp:inline distT="0" distB="0" distL="0" distR="0" wp14:anchorId="74DE25E8" wp14:editId="09612DFF">
            <wp:extent cx="3657600" cy="2743200"/>
            <wp:effectExtent l="0" t="0" r="0" b="0"/>
            <wp:docPr id="44" name="Picture 44" descr="C:\Users\Tony\AppData\Local\Temp\ConnectorClipboard6316831190965338276\image15829276443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ny\AppData\Local\Temp\ConnectorClipboard6316831190965338276\image1582927644317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526B4D" w:rsidRPr="00526B4D" w:rsidRDefault="00526B4D" w:rsidP="00526B4D">
      <w:pPr>
        <w:spacing w:after="0" w:line="240" w:lineRule="auto"/>
        <w:jc w:val="center"/>
        <w:rPr>
          <w:rFonts w:ascii="Times New Roman" w:eastAsia="Times New Roman" w:hAnsi="Times New Roman" w:cs="Times New Roman"/>
          <w:sz w:val="24"/>
          <w:szCs w:val="24"/>
        </w:rPr>
      </w:pPr>
      <w:r w:rsidRPr="00526B4D">
        <w:rPr>
          <w:rFonts w:ascii="Times New Roman" w:eastAsia="Times New Roman" w:hAnsi="Times New Roman" w:cs="Times New Roman"/>
          <w:noProof/>
          <w:sz w:val="24"/>
          <w:szCs w:val="24"/>
        </w:rPr>
        <w:drawing>
          <wp:inline distT="0" distB="0" distL="0" distR="0" wp14:anchorId="66516D9E" wp14:editId="5CE7336B">
            <wp:extent cx="3657600" cy="2743200"/>
            <wp:effectExtent l="0" t="0" r="0" b="0"/>
            <wp:docPr id="45" name="Picture 45" descr="C:\Users\Tony\AppData\Local\Temp\ConnectorClipboard6316831190965338276\image1582927649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ny\AppData\Local\Temp\ConnectorClipboard6316831190965338276\image158292764902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526B4D" w:rsidRPr="00526B4D" w:rsidRDefault="00526B4D" w:rsidP="00526B4D">
      <w:pPr>
        <w:spacing w:after="0" w:line="240" w:lineRule="auto"/>
        <w:jc w:val="center"/>
        <w:rPr>
          <w:rFonts w:ascii="Times New Roman" w:eastAsia="Times New Roman" w:hAnsi="Times New Roman" w:cs="Times New Roman"/>
          <w:sz w:val="24"/>
          <w:szCs w:val="24"/>
        </w:rPr>
      </w:pPr>
      <w:r w:rsidRPr="00526B4D">
        <w:rPr>
          <w:rFonts w:ascii="Times New Roman" w:eastAsia="Times New Roman" w:hAnsi="Times New Roman" w:cs="Times New Roman"/>
          <w:noProof/>
          <w:sz w:val="24"/>
          <w:szCs w:val="24"/>
        </w:rPr>
        <w:lastRenderedPageBreak/>
        <w:drawing>
          <wp:inline distT="0" distB="0" distL="0" distR="0" wp14:anchorId="5C6C65F7" wp14:editId="45908AE6">
            <wp:extent cx="3657600" cy="2743200"/>
            <wp:effectExtent l="0" t="0" r="0" b="0"/>
            <wp:docPr id="46" name="Picture 46" descr="C:\Users\Tony\AppData\Local\Temp\ConnectorClipboard6316831190965338276\image15829276547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ny\AppData\Local\Temp\ConnectorClipboard6316831190965338276\image1582927654725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526B4D" w:rsidRPr="00526B4D" w:rsidRDefault="00526B4D" w:rsidP="00526B4D"/>
    <w:sectPr w:rsidR="00526B4D" w:rsidRPr="00526B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D5C19"/>
    <w:multiLevelType w:val="hybridMultilevel"/>
    <w:tmpl w:val="F7DA2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616CB0"/>
    <w:multiLevelType w:val="hybridMultilevel"/>
    <w:tmpl w:val="EEE2E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35701C"/>
    <w:multiLevelType w:val="hybridMultilevel"/>
    <w:tmpl w:val="E8C6B41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C00951"/>
    <w:multiLevelType w:val="hybridMultilevel"/>
    <w:tmpl w:val="C9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5C4E3E"/>
    <w:multiLevelType w:val="hybridMultilevel"/>
    <w:tmpl w:val="B6F4446E"/>
    <w:lvl w:ilvl="0" w:tplc="977A8A2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3A4BDA"/>
    <w:multiLevelType w:val="hybridMultilevel"/>
    <w:tmpl w:val="EFA2A42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C37643"/>
    <w:multiLevelType w:val="hybridMultilevel"/>
    <w:tmpl w:val="391A2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4"/>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7F82"/>
    <w:rsid w:val="000014A4"/>
    <w:rsid w:val="00003B54"/>
    <w:rsid w:val="0003567E"/>
    <w:rsid w:val="000378F2"/>
    <w:rsid w:val="00050AD5"/>
    <w:rsid w:val="00050F3D"/>
    <w:rsid w:val="00052639"/>
    <w:rsid w:val="00053778"/>
    <w:rsid w:val="000618AF"/>
    <w:rsid w:val="000662D5"/>
    <w:rsid w:val="00066D7E"/>
    <w:rsid w:val="00071DA6"/>
    <w:rsid w:val="0008477A"/>
    <w:rsid w:val="00085A68"/>
    <w:rsid w:val="000A0A6B"/>
    <w:rsid w:val="000A28A5"/>
    <w:rsid w:val="000A5432"/>
    <w:rsid w:val="000A7199"/>
    <w:rsid w:val="000B43BD"/>
    <w:rsid w:val="000B7726"/>
    <w:rsid w:val="000C0035"/>
    <w:rsid w:val="000C16E9"/>
    <w:rsid w:val="000C7622"/>
    <w:rsid w:val="000C79B7"/>
    <w:rsid w:val="000D0080"/>
    <w:rsid w:val="000D7D2F"/>
    <w:rsid w:val="000E2023"/>
    <w:rsid w:val="000E657C"/>
    <w:rsid w:val="000E6AD0"/>
    <w:rsid w:val="000F4B10"/>
    <w:rsid w:val="00104173"/>
    <w:rsid w:val="00105999"/>
    <w:rsid w:val="00107555"/>
    <w:rsid w:val="00151AFD"/>
    <w:rsid w:val="00151D9B"/>
    <w:rsid w:val="00154C6E"/>
    <w:rsid w:val="00164ED8"/>
    <w:rsid w:val="00164F66"/>
    <w:rsid w:val="00170D1D"/>
    <w:rsid w:val="0017291C"/>
    <w:rsid w:val="00184BE4"/>
    <w:rsid w:val="00193A2B"/>
    <w:rsid w:val="001A6FB5"/>
    <w:rsid w:val="001A7DA1"/>
    <w:rsid w:val="001B06C7"/>
    <w:rsid w:val="001B1463"/>
    <w:rsid w:val="001C0F25"/>
    <w:rsid w:val="001D7AA2"/>
    <w:rsid w:val="00212270"/>
    <w:rsid w:val="0021335E"/>
    <w:rsid w:val="00214BB5"/>
    <w:rsid w:val="00230563"/>
    <w:rsid w:val="00240B79"/>
    <w:rsid w:val="00252717"/>
    <w:rsid w:val="00252A9E"/>
    <w:rsid w:val="0029789E"/>
    <w:rsid w:val="002A5AED"/>
    <w:rsid w:val="002A7CD3"/>
    <w:rsid w:val="002C260B"/>
    <w:rsid w:val="002C6B44"/>
    <w:rsid w:val="002C7E25"/>
    <w:rsid w:val="002D101F"/>
    <w:rsid w:val="002D1FC7"/>
    <w:rsid w:val="002D213B"/>
    <w:rsid w:val="002D2650"/>
    <w:rsid w:val="002E239F"/>
    <w:rsid w:val="002E6952"/>
    <w:rsid w:val="002E6A29"/>
    <w:rsid w:val="00301587"/>
    <w:rsid w:val="00334211"/>
    <w:rsid w:val="003511C7"/>
    <w:rsid w:val="0035418C"/>
    <w:rsid w:val="00390633"/>
    <w:rsid w:val="003921E4"/>
    <w:rsid w:val="00397076"/>
    <w:rsid w:val="003A1525"/>
    <w:rsid w:val="003A336A"/>
    <w:rsid w:val="003C1367"/>
    <w:rsid w:val="003D3843"/>
    <w:rsid w:val="003E6BC6"/>
    <w:rsid w:val="003F0670"/>
    <w:rsid w:val="00402AD9"/>
    <w:rsid w:val="004058F0"/>
    <w:rsid w:val="004103D5"/>
    <w:rsid w:val="00411700"/>
    <w:rsid w:val="004231D7"/>
    <w:rsid w:val="004242A1"/>
    <w:rsid w:val="00425DA5"/>
    <w:rsid w:val="00431DCF"/>
    <w:rsid w:val="00431FBF"/>
    <w:rsid w:val="00441DCE"/>
    <w:rsid w:val="00454848"/>
    <w:rsid w:val="00487422"/>
    <w:rsid w:val="004876F6"/>
    <w:rsid w:val="00497E49"/>
    <w:rsid w:val="004A77E5"/>
    <w:rsid w:val="004B4A5E"/>
    <w:rsid w:val="004C70A2"/>
    <w:rsid w:val="004D7161"/>
    <w:rsid w:val="004E63BB"/>
    <w:rsid w:val="00511D18"/>
    <w:rsid w:val="00515E06"/>
    <w:rsid w:val="00526B4D"/>
    <w:rsid w:val="005403AD"/>
    <w:rsid w:val="0055339A"/>
    <w:rsid w:val="00561FF3"/>
    <w:rsid w:val="0058275E"/>
    <w:rsid w:val="00594564"/>
    <w:rsid w:val="005948CB"/>
    <w:rsid w:val="005A0C83"/>
    <w:rsid w:val="005A4BD0"/>
    <w:rsid w:val="005A5B08"/>
    <w:rsid w:val="005B4CEE"/>
    <w:rsid w:val="005C6632"/>
    <w:rsid w:val="005D7728"/>
    <w:rsid w:val="005E1D3D"/>
    <w:rsid w:val="005F0603"/>
    <w:rsid w:val="005F5D54"/>
    <w:rsid w:val="00601044"/>
    <w:rsid w:val="00601073"/>
    <w:rsid w:val="00606B79"/>
    <w:rsid w:val="00610372"/>
    <w:rsid w:val="00632E3A"/>
    <w:rsid w:val="00634BE5"/>
    <w:rsid w:val="00635E9A"/>
    <w:rsid w:val="006416A3"/>
    <w:rsid w:val="00653337"/>
    <w:rsid w:val="0066496F"/>
    <w:rsid w:val="00666F34"/>
    <w:rsid w:val="00677EEF"/>
    <w:rsid w:val="006D46D6"/>
    <w:rsid w:val="006D4FBE"/>
    <w:rsid w:val="006D5048"/>
    <w:rsid w:val="006D68C1"/>
    <w:rsid w:val="006E1B79"/>
    <w:rsid w:val="006E5234"/>
    <w:rsid w:val="006E729E"/>
    <w:rsid w:val="006F209C"/>
    <w:rsid w:val="0070517E"/>
    <w:rsid w:val="00705AF6"/>
    <w:rsid w:val="0071393A"/>
    <w:rsid w:val="00733955"/>
    <w:rsid w:val="0073749D"/>
    <w:rsid w:val="00757402"/>
    <w:rsid w:val="00760C97"/>
    <w:rsid w:val="00765431"/>
    <w:rsid w:val="0076548F"/>
    <w:rsid w:val="007A0FC3"/>
    <w:rsid w:val="007A75E0"/>
    <w:rsid w:val="007B25B5"/>
    <w:rsid w:val="007B2651"/>
    <w:rsid w:val="007B6B2C"/>
    <w:rsid w:val="007C4A1C"/>
    <w:rsid w:val="007E0218"/>
    <w:rsid w:val="007E4ED7"/>
    <w:rsid w:val="007E7F82"/>
    <w:rsid w:val="00804951"/>
    <w:rsid w:val="0081322A"/>
    <w:rsid w:val="00825E5A"/>
    <w:rsid w:val="00826316"/>
    <w:rsid w:val="008442A7"/>
    <w:rsid w:val="00844E3F"/>
    <w:rsid w:val="00880BAB"/>
    <w:rsid w:val="00880E58"/>
    <w:rsid w:val="00890AA7"/>
    <w:rsid w:val="008B73C0"/>
    <w:rsid w:val="008C45C3"/>
    <w:rsid w:val="008F325B"/>
    <w:rsid w:val="009037D7"/>
    <w:rsid w:val="00927EE0"/>
    <w:rsid w:val="00932BD2"/>
    <w:rsid w:val="0094502D"/>
    <w:rsid w:val="009464AA"/>
    <w:rsid w:val="00946F7C"/>
    <w:rsid w:val="009732BB"/>
    <w:rsid w:val="009866E2"/>
    <w:rsid w:val="009B2898"/>
    <w:rsid w:val="009B53E7"/>
    <w:rsid w:val="009B79D0"/>
    <w:rsid w:val="009D1694"/>
    <w:rsid w:val="009E1451"/>
    <w:rsid w:val="009E2B25"/>
    <w:rsid w:val="009E639A"/>
    <w:rsid w:val="00A24244"/>
    <w:rsid w:val="00A40B04"/>
    <w:rsid w:val="00A40BE5"/>
    <w:rsid w:val="00A5337C"/>
    <w:rsid w:val="00A74D78"/>
    <w:rsid w:val="00A95A12"/>
    <w:rsid w:val="00AA244A"/>
    <w:rsid w:val="00AB2022"/>
    <w:rsid w:val="00AC3550"/>
    <w:rsid w:val="00AC5C19"/>
    <w:rsid w:val="00AC66FC"/>
    <w:rsid w:val="00AD34EA"/>
    <w:rsid w:val="00AE2477"/>
    <w:rsid w:val="00B0551A"/>
    <w:rsid w:val="00B070D5"/>
    <w:rsid w:val="00B11B21"/>
    <w:rsid w:val="00B25953"/>
    <w:rsid w:val="00B34F93"/>
    <w:rsid w:val="00B45E6E"/>
    <w:rsid w:val="00B51110"/>
    <w:rsid w:val="00B55DD1"/>
    <w:rsid w:val="00B66192"/>
    <w:rsid w:val="00B86545"/>
    <w:rsid w:val="00B966C2"/>
    <w:rsid w:val="00BA318C"/>
    <w:rsid w:val="00BA7C88"/>
    <w:rsid w:val="00BC1BDA"/>
    <w:rsid w:val="00BC24DB"/>
    <w:rsid w:val="00BF2F0C"/>
    <w:rsid w:val="00C0214B"/>
    <w:rsid w:val="00C06A8D"/>
    <w:rsid w:val="00C15ECA"/>
    <w:rsid w:val="00C20E64"/>
    <w:rsid w:val="00C268D4"/>
    <w:rsid w:val="00C27FB2"/>
    <w:rsid w:val="00C34C06"/>
    <w:rsid w:val="00C370C3"/>
    <w:rsid w:val="00C40FDB"/>
    <w:rsid w:val="00C42ED0"/>
    <w:rsid w:val="00C471E0"/>
    <w:rsid w:val="00C4772D"/>
    <w:rsid w:val="00C6487E"/>
    <w:rsid w:val="00C74AD3"/>
    <w:rsid w:val="00C76382"/>
    <w:rsid w:val="00C92FD2"/>
    <w:rsid w:val="00CB0E05"/>
    <w:rsid w:val="00CB7738"/>
    <w:rsid w:val="00CD10C9"/>
    <w:rsid w:val="00CD63A3"/>
    <w:rsid w:val="00CE78DF"/>
    <w:rsid w:val="00CF3273"/>
    <w:rsid w:val="00D10682"/>
    <w:rsid w:val="00D1331D"/>
    <w:rsid w:val="00D22AE2"/>
    <w:rsid w:val="00D33A75"/>
    <w:rsid w:val="00D35D71"/>
    <w:rsid w:val="00D47890"/>
    <w:rsid w:val="00D64634"/>
    <w:rsid w:val="00D70AA0"/>
    <w:rsid w:val="00D819B9"/>
    <w:rsid w:val="00D82D1C"/>
    <w:rsid w:val="00D92DF6"/>
    <w:rsid w:val="00D97321"/>
    <w:rsid w:val="00DC44C4"/>
    <w:rsid w:val="00DD5601"/>
    <w:rsid w:val="00DE34A1"/>
    <w:rsid w:val="00DE5E8D"/>
    <w:rsid w:val="00DF4A95"/>
    <w:rsid w:val="00E2693E"/>
    <w:rsid w:val="00E27E90"/>
    <w:rsid w:val="00E42530"/>
    <w:rsid w:val="00E43201"/>
    <w:rsid w:val="00E45AF7"/>
    <w:rsid w:val="00E6010A"/>
    <w:rsid w:val="00E71A5F"/>
    <w:rsid w:val="00E9632A"/>
    <w:rsid w:val="00EA0BBD"/>
    <w:rsid w:val="00EA26B4"/>
    <w:rsid w:val="00EB4142"/>
    <w:rsid w:val="00EB7325"/>
    <w:rsid w:val="00EB7DD3"/>
    <w:rsid w:val="00EC7EF3"/>
    <w:rsid w:val="00EC7F3C"/>
    <w:rsid w:val="00ED12A9"/>
    <w:rsid w:val="00ED1818"/>
    <w:rsid w:val="00ED1C0C"/>
    <w:rsid w:val="00EE2115"/>
    <w:rsid w:val="00EE7CA7"/>
    <w:rsid w:val="00EF122B"/>
    <w:rsid w:val="00EF297F"/>
    <w:rsid w:val="00F02736"/>
    <w:rsid w:val="00F05B83"/>
    <w:rsid w:val="00F17382"/>
    <w:rsid w:val="00F277F5"/>
    <w:rsid w:val="00F300D4"/>
    <w:rsid w:val="00F36CCD"/>
    <w:rsid w:val="00F50BD4"/>
    <w:rsid w:val="00F63A92"/>
    <w:rsid w:val="00F64A59"/>
    <w:rsid w:val="00F7105A"/>
    <w:rsid w:val="00F830EC"/>
    <w:rsid w:val="00F845DF"/>
    <w:rsid w:val="00F84EA7"/>
    <w:rsid w:val="00F84FE7"/>
    <w:rsid w:val="00FA06CB"/>
    <w:rsid w:val="00FB2191"/>
    <w:rsid w:val="00FB447E"/>
    <w:rsid w:val="00FB6F14"/>
    <w:rsid w:val="00FB7F2B"/>
    <w:rsid w:val="00FC540F"/>
    <w:rsid w:val="00FD1C5F"/>
    <w:rsid w:val="00FE201B"/>
    <w:rsid w:val="00FF0595"/>
    <w:rsid w:val="00FF4A16"/>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70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70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32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463"/>
    <w:pPr>
      <w:ind w:left="720"/>
      <w:contextualSpacing/>
    </w:pPr>
  </w:style>
  <w:style w:type="character" w:customStyle="1" w:styleId="Heading1Char">
    <w:name w:val="Heading 1 Char"/>
    <w:basedOn w:val="DefaultParagraphFont"/>
    <w:link w:val="Heading1"/>
    <w:uiPriority w:val="9"/>
    <w:rsid w:val="00B070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070D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B4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A5E"/>
    <w:rPr>
      <w:rFonts w:ascii="Tahoma" w:hAnsi="Tahoma" w:cs="Tahoma"/>
      <w:sz w:val="16"/>
      <w:szCs w:val="16"/>
    </w:rPr>
  </w:style>
  <w:style w:type="character" w:customStyle="1" w:styleId="Heading3Char">
    <w:name w:val="Heading 3 Char"/>
    <w:basedOn w:val="DefaultParagraphFont"/>
    <w:link w:val="Heading3"/>
    <w:uiPriority w:val="9"/>
    <w:rsid w:val="008F325B"/>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677EEF"/>
    <w:rPr>
      <w:color w:val="0000FF"/>
      <w:u w:val="single"/>
    </w:rPr>
  </w:style>
  <w:style w:type="table" w:styleId="TableGrid">
    <w:name w:val="Table Grid"/>
    <w:basedOn w:val="TableNormal"/>
    <w:uiPriority w:val="59"/>
    <w:rsid w:val="00214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33421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uiPriority w:val="1"/>
    <w:qFormat/>
    <w:rsid w:val="00212270"/>
    <w:pPr>
      <w:spacing w:after="0" w:line="240" w:lineRule="auto"/>
    </w:pPr>
  </w:style>
  <w:style w:type="paragraph" w:styleId="Caption">
    <w:name w:val="caption"/>
    <w:basedOn w:val="Normal"/>
    <w:next w:val="Normal"/>
    <w:uiPriority w:val="35"/>
    <w:unhideWhenUsed/>
    <w:qFormat/>
    <w:rsid w:val="00EF122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70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70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32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463"/>
    <w:pPr>
      <w:ind w:left="720"/>
      <w:contextualSpacing/>
    </w:pPr>
  </w:style>
  <w:style w:type="character" w:customStyle="1" w:styleId="Heading1Char">
    <w:name w:val="Heading 1 Char"/>
    <w:basedOn w:val="DefaultParagraphFont"/>
    <w:link w:val="Heading1"/>
    <w:uiPriority w:val="9"/>
    <w:rsid w:val="00B070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070D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B4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A5E"/>
    <w:rPr>
      <w:rFonts w:ascii="Tahoma" w:hAnsi="Tahoma" w:cs="Tahoma"/>
      <w:sz w:val="16"/>
      <w:szCs w:val="16"/>
    </w:rPr>
  </w:style>
  <w:style w:type="character" w:customStyle="1" w:styleId="Heading3Char">
    <w:name w:val="Heading 3 Char"/>
    <w:basedOn w:val="DefaultParagraphFont"/>
    <w:link w:val="Heading3"/>
    <w:uiPriority w:val="9"/>
    <w:rsid w:val="008F325B"/>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677EEF"/>
    <w:rPr>
      <w:color w:val="0000FF"/>
      <w:u w:val="single"/>
    </w:rPr>
  </w:style>
  <w:style w:type="table" w:styleId="TableGrid">
    <w:name w:val="Table Grid"/>
    <w:basedOn w:val="TableNormal"/>
    <w:uiPriority w:val="59"/>
    <w:rsid w:val="00214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33421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uiPriority w:val="1"/>
    <w:qFormat/>
    <w:rsid w:val="00212270"/>
    <w:pPr>
      <w:spacing w:after="0" w:line="240" w:lineRule="auto"/>
    </w:pPr>
  </w:style>
  <w:style w:type="paragraph" w:styleId="Caption">
    <w:name w:val="caption"/>
    <w:basedOn w:val="Normal"/>
    <w:next w:val="Normal"/>
    <w:uiPriority w:val="35"/>
    <w:unhideWhenUsed/>
    <w:qFormat/>
    <w:rsid w:val="00EF122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953979">
      <w:bodyDiv w:val="1"/>
      <w:marLeft w:val="0"/>
      <w:marRight w:val="0"/>
      <w:marTop w:val="0"/>
      <w:marBottom w:val="0"/>
      <w:divBdr>
        <w:top w:val="none" w:sz="0" w:space="0" w:color="auto"/>
        <w:left w:val="none" w:sz="0" w:space="0" w:color="auto"/>
        <w:bottom w:val="none" w:sz="0" w:space="0" w:color="auto"/>
        <w:right w:val="none" w:sz="0" w:space="0" w:color="auto"/>
      </w:divBdr>
      <w:divsChild>
        <w:div w:id="257491364">
          <w:marLeft w:val="0"/>
          <w:marRight w:val="0"/>
          <w:marTop w:val="0"/>
          <w:marBottom w:val="0"/>
          <w:divBdr>
            <w:top w:val="none" w:sz="0" w:space="0" w:color="auto"/>
            <w:left w:val="none" w:sz="0" w:space="0" w:color="auto"/>
            <w:bottom w:val="none" w:sz="0" w:space="0" w:color="auto"/>
            <w:right w:val="none" w:sz="0" w:space="0" w:color="auto"/>
          </w:divBdr>
        </w:div>
      </w:divsChild>
    </w:div>
    <w:div w:id="162621816">
      <w:bodyDiv w:val="1"/>
      <w:marLeft w:val="0"/>
      <w:marRight w:val="0"/>
      <w:marTop w:val="0"/>
      <w:marBottom w:val="0"/>
      <w:divBdr>
        <w:top w:val="none" w:sz="0" w:space="0" w:color="auto"/>
        <w:left w:val="none" w:sz="0" w:space="0" w:color="auto"/>
        <w:bottom w:val="none" w:sz="0" w:space="0" w:color="auto"/>
        <w:right w:val="none" w:sz="0" w:space="0" w:color="auto"/>
      </w:divBdr>
      <w:divsChild>
        <w:div w:id="1473323955">
          <w:marLeft w:val="0"/>
          <w:marRight w:val="0"/>
          <w:marTop w:val="0"/>
          <w:marBottom w:val="0"/>
          <w:divBdr>
            <w:top w:val="none" w:sz="0" w:space="0" w:color="auto"/>
            <w:left w:val="none" w:sz="0" w:space="0" w:color="auto"/>
            <w:bottom w:val="none" w:sz="0" w:space="0" w:color="auto"/>
            <w:right w:val="none" w:sz="0" w:space="0" w:color="auto"/>
          </w:divBdr>
        </w:div>
      </w:divsChild>
    </w:div>
    <w:div w:id="171189567">
      <w:bodyDiv w:val="1"/>
      <w:marLeft w:val="0"/>
      <w:marRight w:val="0"/>
      <w:marTop w:val="0"/>
      <w:marBottom w:val="0"/>
      <w:divBdr>
        <w:top w:val="none" w:sz="0" w:space="0" w:color="auto"/>
        <w:left w:val="none" w:sz="0" w:space="0" w:color="auto"/>
        <w:bottom w:val="none" w:sz="0" w:space="0" w:color="auto"/>
        <w:right w:val="none" w:sz="0" w:space="0" w:color="auto"/>
      </w:divBdr>
      <w:divsChild>
        <w:div w:id="1305815240">
          <w:marLeft w:val="0"/>
          <w:marRight w:val="0"/>
          <w:marTop w:val="0"/>
          <w:marBottom w:val="0"/>
          <w:divBdr>
            <w:top w:val="none" w:sz="0" w:space="0" w:color="auto"/>
            <w:left w:val="none" w:sz="0" w:space="0" w:color="auto"/>
            <w:bottom w:val="none" w:sz="0" w:space="0" w:color="auto"/>
            <w:right w:val="none" w:sz="0" w:space="0" w:color="auto"/>
          </w:divBdr>
        </w:div>
      </w:divsChild>
    </w:div>
    <w:div w:id="335689841">
      <w:bodyDiv w:val="1"/>
      <w:marLeft w:val="0"/>
      <w:marRight w:val="0"/>
      <w:marTop w:val="0"/>
      <w:marBottom w:val="0"/>
      <w:divBdr>
        <w:top w:val="none" w:sz="0" w:space="0" w:color="auto"/>
        <w:left w:val="none" w:sz="0" w:space="0" w:color="auto"/>
        <w:bottom w:val="none" w:sz="0" w:space="0" w:color="auto"/>
        <w:right w:val="none" w:sz="0" w:space="0" w:color="auto"/>
      </w:divBdr>
      <w:divsChild>
        <w:div w:id="385179515">
          <w:marLeft w:val="0"/>
          <w:marRight w:val="0"/>
          <w:marTop w:val="0"/>
          <w:marBottom w:val="0"/>
          <w:divBdr>
            <w:top w:val="none" w:sz="0" w:space="0" w:color="auto"/>
            <w:left w:val="none" w:sz="0" w:space="0" w:color="auto"/>
            <w:bottom w:val="none" w:sz="0" w:space="0" w:color="auto"/>
            <w:right w:val="none" w:sz="0" w:space="0" w:color="auto"/>
          </w:divBdr>
        </w:div>
      </w:divsChild>
    </w:div>
    <w:div w:id="363094273">
      <w:bodyDiv w:val="1"/>
      <w:marLeft w:val="0"/>
      <w:marRight w:val="0"/>
      <w:marTop w:val="0"/>
      <w:marBottom w:val="0"/>
      <w:divBdr>
        <w:top w:val="none" w:sz="0" w:space="0" w:color="auto"/>
        <w:left w:val="none" w:sz="0" w:space="0" w:color="auto"/>
        <w:bottom w:val="none" w:sz="0" w:space="0" w:color="auto"/>
        <w:right w:val="none" w:sz="0" w:space="0" w:color="auto"/>
      </w:divBdr>
    </w:div>
    <w:div w:id="394014957">
      <w:bodyDiv w:val="1"/>
      <w:marLeft w:val="0"/>
      <w:marRight w:val="0"/>
      <w:marTop w:val="0"/>
      <w:marBottom w:val="0"/>
      <w:divBdr>
        <w:top w:val="none" w:sz="0" w:space="0" w:color="auto"/>
        <w:left w:val="none" w:sz="0" w:space="0" w:color="auto"/>
        <w:bottom w:val="none" w:sz="0" w:space="0" w:color="auto"/>
        <w:right w:val="none" w:sz="0" w:space="0" w:color="auto"/>
      </w:divBdr>
      <w:divsChild>
        <w:div w:id="2075272182">
          <w:marLeft w:val="0"/>
          <w:marRight w:val="0"/>
          <w:marTop w:val="0"/>
          <w:marBottom w:val="0"/>
          <w:divBdr>
            <w:top w:val="none" w:sz="0" w:space="0" w:color="auto"/>
            <w:left w:val="none" w:sz="0" w:space="0" w:color="auto"/>
            <w:bottom w:val="none" w:sz="0" w:space="0" w:color="auto"/>
            <w:right w:val="none" w:sz="0" w:space="0" w:color="auto"/>
          </w:divBdr>
        </w:div>
      </w:divsChild>
    </w:div>
    <w:div w:id="461968088">
      <w:bodyDiv w:val="1"/>
      <w:marLeft w:val="0"/>
      <w:marRight w:val="0"/>
      <w:marTop w:val="0"/>
      <w:marBottom w:val="0"/>
      <w:divBdr>
        <w:top w:val="none" w:sz="0" w:space="0" w:color="auto"/>
        <w:left w:val="none" w:sz="0" w:space="0" w:color="auto"/>
        <w:bottom w:val="none" w:sz="0" w:space="0" w:color="auto"/>
        <w:right w:val="none" w:sz="0" w:space="0" w:color="auto"/>
      </w:divBdr>
      <w:divsChild>
        <w:div w:id="955521136">
          <w:marLeft w:val="0"/>
          <w:marRight w:val="0"/>
          <w:marTop w:val="0"/>
          <w:marBottom w:val="0"/>
          <w:divBdr>
            <w:top w:val="none" w:sz="0" w:space="0" w:color="auto"/>
            <w:left w:val="none" w:sz="0" w:space="0" w:color="auto"/>
            <w:bottom w:val="none" w:sz="0" w:space="0" w:color="auto"/>
            <w:right w:val="none" w:sz="0" w:space="0" w:color="auto"/>
          </w:divBdr>
        </w:div>
      </w:divsChild>
    </w:div>
    <w:div w:id="522327032">
      <w:bodyDiv w:val="1"/>
      <w:marLeft w:val="0"/>
      <w:marRight w:val="0"/>
      <w:marTop w:val="0"/>
      <w:marBottom w:val="0"/>
      <w:divBdr>
        <w:top w:val="none" w:sz="0" w:space="0" w:color="auto"/>
        <w:left w:val="none" w:sz="0" w:space="0" w:color="auto"/>
        <w:bottom w:val="none" w:sz="0" w:space="0" w:color="auto"/>
        <w:right w:val="none" w:sz="0" w:space="0" w:color="auto"/>
      </w:divBdr>
      <w:divsChild>
        <w:div w:id="1148134743">
          <w:marLeft w:val="0"/>
          <w:marRight w:val="0"/>
          <w:marTop w:val="0"/>
          <w:marBottom w:val="0"/>
          <w:divBdr>
            <w:top w:val="none" w:sz="0" w:space="0" w:color="auto"/>
            <w:left w:val="none" w:sz="0" w:space="0" w:color="auto"/>
            <w:bottom w:val="none" w:sz="0" w:space="0" w:color="auto"/>
            <w:right w:val="none" w:sz="0" w:space="0" w:color="auto"/>
          </w:divBdr>
        </w:div>
      </w:divsChild>
    </w:div>
    <w:div w:id="547960463">
      <w:bodyDiv w:val="1"/>
      <w:marLeft w:val="0"/>
      <w:marRight w:val="0"/>
      <w:marTop w:val="0"/>
      <w:marBottom w:val="0"/>
      <w:divBdr>
        <w:top w:val="none" w:sz="0" w:space="0" w:color="auto"/>
        <w:left w:val="none" w:sz="0" w:space="0" w:color="auto"/>
        <w:bottom w:val="none" w:sz="0" w:space="0" w:color="auto"/>
        <w:right w:val="none" w:sz="0" w:space="0" w:color="auto"/>
      </w:divBdr>
      <w:divsChild>
        <w:div w:id="1829055709">
          <w:marLeft w:val="0"/>
          <w:marRight w:val="0"/>
          <w:marTop w:val="0"/>
          <w:marBottom w:val="0"/>
          <w:divBdr>
            <w:top w:val="none" w:sz="0" w:space="0" w:color="auto"/>
            <w:left w:val="none" w:sz="0" w:space="0" w:color="auto"/>
            <w:bottom w:val="none" w:sz="0" w:space="0" w:color="auto"/>
            <w:right w:val="none" w:sz="0" w:space="0" w:color="auto"/>
          </w:divBdr>
        </w:div>
      </w:divsChild>
    </w:div>
    <w:div w:id="563182068">
      <w:bodyDiv w:val="1"/>
      <w:marLeft w:val="0"/>
      <w:marRight w:val="0"/>
      <w:marTop w:val="0"/>
      <w:marBottom w:val="0"/>
      <w:divBdr>
        <w:top w:val="none" w:sz="0" w:space="0" w:color="auto"/>
        <w:left w:val="none" w:sz="0" w:space="0" w:color="auto"/>
        <w:bottom w:val="none" w:sz="0" w:space="0" w:color="auto"/>
        <w:right w:val="none" w:sz="0" w:space="0" w:color="auto"/>
      </w:divBdr>
      <w:divsChild>
        <w:div w:id="1454441319">
          <w:marLeft w:val="0"/>
          <w:marRight w:val="0"/>
          <w:marTop w:val="0"/>
          <w:marBottom w:val="0"/>
          <w:divBdr>
            <w:top w:val="none" w:sz="0" w:space="0" w:color="auto"/>
            <w:left w:val="none" w:sz="0" w:space="0" w:color="auto"/>
            <w:bottom w:val="none" w:sz="0" w:space="0" w:color="auto"/>
            <w:right w:val="none" w:sz="0" w:space="0" w:color="auto"/>
          </w:divBdr>
        </w:div>
      </w:divsChild>
    </w:div>
    <w:div w:id="663053470">
      <w:bodyDiv w:val="1"/>
      <w:marLeft w:val="0"/>
      <w:marRight w:val="0"/>
      <w:marTop w:val="0"/>
      <w:marBottom w:val="0"/>
      <w:divBdr>
        <w:top w:val="none" w:sz="0" w:space="0" w:color="auto"/>
        <w:left w:val="none" w:sz="0" w:space="0" w:color="auto"/>
        <w:bottom w:val="none" w:sz="0" w:space="0" w:color="auto"/>
        <w:right w:val="none" w:sz="0" w:space="0" w:color="auto"/>
      </w:divBdr>
    </w:div>
    <w:div w:id="768507247">
      <w:bodyDiv w:val="1"/>
      <w:marLeft w:val="0"/>
      <w:marRight w:val="0"/>
      <w:marTop w:val="0"/>
      <w:marBottom w:val="0"/>
      <w:divBdr>
        <w:top w:val="none" w:sz="0" w:space="0" w:color="auto"/>
        <w:left w:val="none" w:sz="0" w:space="0" w:color="auto"/>
        <w:bottom w:val="none" w:sz="0" w:space="0" w:color="auto"/>
        <w:right w:val="none" w:sz="0" w:space="0" w:color="auto"/>
      </w:divBdr>
      <w:divsChild>
        <w:div w:id="1331060924">
          <w:marLeft w:val="0"/>
          <w:marRight w:val="0"/>
          <w:marTop w:val="0"/>
          <w:marBottom w:val="0"/>
          <w:divBdr>
            <w:top w:val="none" w:sz="0" w:space="0" w:color="auto"/>
            <w:left w:val="none" w:sz="0" w:space="0" w:color="auto"/>
            <w:bottom w:val="none" w:sz="0" w:space="0" w:color="auto"/>
            <w:right w:val="none" w:sz="0" w:space="0" w:color="auto"/>
          </w:divBdr>
        </w:div>
      </w:divsChild>
    </w:div>
    <w:div w:id="933125253">
      <w:bodyDiv w:val="1"/>
      <w:marLeft w:val="0"/>
      <w:marRight w:val="0"/>
      <w:marTop w:val="0"/>
      <w:marBottom w:val="0"/>
      <w:divBdr>
        <w:top w:val="none" w:sz="0" w:space="0" w:color="auto"/>
        <w:left w:val="none" w:sz="0" w:space="0" w:color="auto"/>
        <w:bottom w:val="none" w:sz="0" w:space="0" w:color="auto"/>
        <w:right w:val="none" w:sz="0" w:space="0" w:color="auto"/>
      </w:divBdr>
    </w:div>
    <w:div w:id="1036389262">
      <w:bodyDiv w:val="1"/>
      <w:marLeft w:val="0"/>
      <w:marRight w:val="0"/>
      <w:marTop w:val="0"/>
      <w:marBottom w:val="0"/>
      <w:divBdr>
        <w:top w:val="none" w:sz="0" w:space="0" w:color="auto"/>
        <w:left w:val="none" w:sz="0" w:space="0" w:color="auto"/>
        <w:bottom w:val="none" w:sz="0" w:space="0" w:color="auto"/>
        <w:right w:val="none" w:sz="0" w:space="0" w:color="auto"/>
      </w:divBdr>
      <w:divsChild>
        <w:div w:id="1267075561">
          <w:marLeft w:val="0"/>
          <w:marRight w:val="0"/>
          <w:marTop w:val="0"/>
          <w:marBottom w:val="0"/>
          <w:divBdr>
            <w:top w:val="none" w:sz="0" w:space="0" w:color="auto"/>
            <w:left w:val="none" w:sz="0" w:space="0" w:color="auto"/>
            <w:bottom w:val="none" w:sz="0" w:space="0" w:color="auto"/>
            <w:right w:val="none" w:sz="0" w:space="0" w:color="auto"/>
          </w:divBdr>
        </w:div>
      </w:divsChild>
    </w:div>
    <w:div w:id="1090812039">
      <w:bodyDiv w:val="1"/>
      <w:marLeft w:val="0"/>
      <w:marRight w:val="0"/>
      <w:marTop w:val="0"/>
      <w:marBottom w:val="0"/>
      <w:divBdr>
        <w:top w:val="none" w:sz="0" w:space="0" w:color="auto"/>
        <w:left w:val="none" w:sz="0" w:space="0" w:color="auto"/>
        <w:bottom w:val="none" w:sz="0" w:space="0" w:color="auto"/>
        <w:right w:val="none" w:sz="0" w:space="0" w:color="auto"/>
      </w:divBdr>
      <w:divsChild>
        <w:div w:id="851996381">
          <w:marLeft w:val="0"/>
          <w:marRight w:val="0"/>
          <w:marTop w:val="0"/>
          <w:marBottom w:val="0"/>
          <w:divBdr>
            <w:top w:val="none" w:sz="0" w:space="0" w:color="auto"/>
            <w:left w:val="none" w:sz="0" w:space="0" w:color="auto"/>
            <w:bottom w:val="none" w:sz="0" w:space="0" w:color="auto"/>
            <w:right w:val="none" w:sz="0" w:space="0" w:color="auto"/>
          </w:divBdr>
        </w:div>
      </w:divsChild>
    </w:div>
    <w:div w:id="1216043632">
      <w:bodyDiv w:val="1"/>
      <w:marLeft w:val="0"/>
      <w:marRight w:val="0"/>
      <w:marTop w:val="0"/>
      <w:marBottom w:val="0"/>
      <w:divBdr>
        <w:top w:val="none" w:sz="0" w:space="0" w:color="auto"/>
        <w:left w:val="none" w:sz="0" w:space="0" w:color="auto"/>
        <w:bottom w:val="none" w:sz="0" w:space="0" w:color="auto"/>
        <w:right w:val="none" w:sz="0" w:space="0" w:color="auto"/>
      </w:divBdr>
      <w:divsChild>
        <w:div w:id="1704400366">
          <w:marLeft w:val="0"/>
          <w:marRight w:val="0"/>
          <w:marTop w:val="0"/>
          <w:marBottom w:val="0"/>
          <w:divBdr>
            <w:top w:val="none" w:sz="0" w:space="0" w:color="auto"/>
            <w:left w:val="none" w:sz="0" w:space="0" w:color="auto"/>
            <w:bottom w:val="none" w:sz="0" w:space="0" w:color="auto"/>
            <w:right w:val="none" w:sz="0" w:space="0" w:color="auto"/>
          </w:divBdr>
        </w:div>
      </w:divsChild>
    </w:div>
    <w:div w:id="1539471430">
      <w:bodyDiv w:val="1"/>
      <w:marLeft w:val="0"/>
      <w:marRight w:val="0"/>
      <w:marTop w:val="0"/>
      <w:marBottom w:val="0"/>
      <w:divBdr>
        <w:top w:val="none" w:sz="0" w:space="0" w:color="auto"/>
        <w:left w:val="none" w:sz="0" w:space="0" w:color="auto"/>
        <w:bottom w:val="none" w:sz="0" w:space="0" w:color="auto"/>
        <w:right w:val="none" w:sz="0" w:space="0" w:color="auto"/>
      </w:divBdr>
      <w:divsChild>
        <w:div w:id="442000310">
          <w:marLeft w:val="0"/>
          <w:marRight w:val="0"/>
          <w:marTop w:val="0"/>
          <w:marBottom w:val="0"/>
          <w:divBdr>
            <w:top w:val="none" w:sz="0" w:space="0" w:color="auto"/>
            <w:left w:val="none" w:sz="0" w:space="0" w:color="auto"/>
            <w:bottom w:val="none" w:sz="0" w:space="0" w:color="auto"/>
            <w:right w:val="none" w:sz="0" w:space="0" w:color="auto"/>
          </w:divBdr>
        </w:div>
      </w:divsChild>
    </w:div>
    <w:div w:id="1543665930">
      <w:bodyDiv w:val="1"/>
      <w:marLeft w:val="0"/>
      <w:marRight w:val="0"/>
      <w:marTop w:val="0"/>
      <w:marBottom w:val="0"/>
      <w:divBdr>
        <w:top w:val="none" w:sz="0" w:space="0" w:color="auto"/>
        <w:left w:val="none" w:sz="0" w:space="0" w:color="auto"/>
        <w:bottom w:val="none" w:sz="0" w:space="0" w:color="auto"/>
        <w:right w:val="none" w:sz="0" w:space="0" w:color="auto"/>
      </w:divBdr>
      <w:divsChild>
        <w:div w:id="1838643137">
          <w:marLeft w:val="0"/>
          <w:marRight w:val="0"/>
          <w:marTop w:val="0"/>
          <w:marBottom w:val="0"/>
          <w:divBdr>
            <w:top w:val="none" w:sz="0" w:space="0" w:color="auto"/>
            <w:left w:val="none" w:sz="0" w:space="0" w:color="auto"/>
            <w:bottom w:val="none" w:sz="0" w:space="0" w:color="auto"/>
            <w:right w:val="none" w:sz="0" w:space="0" w:color="auto"/>
          </w:divBdr>
        </w:div>
      </w:divsChild>
    </w:div>
    <w:div w:id="1629775382">
      <w:bodyDiv w:val="1"/>
      <w:marLeft w:val="0"/>
      <w:marRight w:val="0"/>
      <w:marTop w:val="0"/>
      <w:marBottom w:val="0"/>
      <w:divBdr>
        <w:top w:val="none" w:sz="0" w:space="0" w:color="auto"/>
        <w:left w:val="none" w:sz="0" w:space="0" w:color="auto"/>
        <w:bottom w:val="none" w:sz="0" w:space="0" w:color="auto"/>
        <w:right w:val="none" w:sz="0" w:space="0" w:color="auto"/>
      </w:divBdr>
      <w:divsChild>
        <w:div w:id="8871732">
          <w:marLeft w:val="0"/>
          <w:marRight w:val="0"/>
          <w:marTop w:val="0"/>
          <w:marBottom w:val="0"/>
          <w:divBdr>
            <w:top w:val="none" w:sz="0" w:space="0" w:color="auto"/>
            <w:left w:val="none" w:sz="0" w:space="0" w:color="auto"/>
            <w:bottom w:val="none" w:sz="0" w:space="0" w:color="auto"/>
            <w:right w:val="none" w:sz="0" w:space="0" w:color="auto"/>
          </w:divBdr>
        </w:div>
      </w:divsChild>
    </w:div>
    <w:div w:id="1701005942">
      <w:bodyDiv w:val="1"/>
      <w:marLeft w:val="0"/>
      <w:marRight w:val="0"/>
      <w:marTop w:val="0"/>
      <w:marBottom w:val="0"/>
      <w:divBdr>
        <w:top w:val="none" w:sz="0" w:space="0" w:color="auto"/>
        <w:left w:val="none" w:sz="0" w:space="0" w:color="auto"/>
        <w:bottom w:val="none" w:sz="0" w:space="0" w:color="auto"/>
        <w:right w:val="none" w:sz="0" w:space="0" w:color="auto"/>
      </w:divBdr>
      <w:divsChild>
        <w:div w:id="1523006841">
          <w:marLeft w:val="0"/>
          <w:marRight w:val="0"/>
          <w:marTop w:val="0"/>
          <w:marBottom w:val="0"/>
          <w:divBdr>
            <w:top w:val="none" w:sz="0" w:space="0" w:color="auto"/>
            <w:left w:val="none" w:sz="0" w:space="0" w:color="auto"/>
            <w:bottom w:val="none" w:sz="0" w:space="0" w:color="auto"/>
            <w:right w:val="none" w:sz="0" w:space="0" w:color="auto"/>
          </w:divBdr>
        </w:div>
      </w:divsChild>
    </w:div>
    <w:div w:id="1740208394">
      <w:bodyDiv w:val="1"/>
      <w:marLeft w:val="0"/>
      <w:marRight w:val="0"/>
      <w:marTop w:val="0"/>
      <w:marBottom w:val="0"/>
      <w:divBdr>
        <w:top w:val="none" w:sz="0" w:space="0" w:color="auto"/>
        <w:left w:val="none" w:sz="0" w:space="0" w:color="auto"/>
        <w:bottom w:val="none" w:sz="0" w:space="0" w:color="auto"/>
        <w:right w:val="none" w:sz="0" w:space="0" w:color="auto"/>
      </w:divBdr>
      <w:divsChild>
        <w:div w:id="1920366069">
          <w:marLeft w:val="0"/>
          <w:marRight w:val="0"/>
          <w:marTop w:val="0"/>
          <w:marBottom w:val="0"/>
          <w:divBdr>
            <w:top w:val="none" w:sz="0" w:space="0" w:color="auto"/>
            <w:left w:val="none" w:sz="0" w:space="0" w:color="auto"/>
            <w:bottom w:val="none" w:sz="0" w:space="0" w:color="auto"/>
            <w:right w:val="none" w:sz="0" w:space="0" w:color="auto"/>
          </w:divBdr>
        </w:div>
      </w:divsChild>
    </w:div>
    <w:div w:id="1745371286">
      <w:bodyDiv w:val="1"/>
      <w:marLeft w:val="0"/>
      <w:marRight w:val="0"/>
      <w:marTop w:val="0"/>
      <w:marBottom w:val="0"/>
      <w:divBdr>
        <w:top w:val="none" w:sz="0" w:space="0" w:color="auto"/>
        <w:left w:val="none" w:sz="0" w:space="0" w:color="auto"/>
        <w:bottom w:val="none" w:sz="0" w:space="0" w:color="auto"/>
        <w:right w:val="none" w:sz="0" w:space="0" w:color="auto"/>
      </w:divBdr>
      <w:divsChild>
        <w:div w:id="838883046">
          <w:marLeft w:val="0"/>
          <w:marRight w:val="0"/>
          <w:marTop w:val="0"/>
          <w:marBottom w:val="0"/>
          <w:divBdr>
            <w:top w:val="none" w:sz="0" w:space="0" w:color="auto"/>
            <w:left w:val="none" w:sz="0" w:space="0" w:color="auto"/>
            <w:bottom w:val="none" w:sz="0" w:space="0" w:color="auto"/>
            <w:right w:val="none" w:sz="0" w:space="0" w:color="auto"/>
          </w:divBdr>
        </w:div>
      </w:divsChild>
    </w:div>
    <w:div w:id="1896234017">
      <w:bodyDiv w:val="1"/>
      <w:marLeft w:val="0"/>
      <w:marRight w:val="0"/>
      <w:marTop w:val="0"/>
      <w:marBottom w:val="0"/>
      <w:divBdr>
        <w:top w:val="none" w:sz="0" w:space="0" w:color="auto"/>
        <w:left w:val="none" w:sz="0" w:space="0" w:color="auto"/>
        <w:bottom w:val="none" w:sz="0" w:space="0" w:color="auto"/>
        <w:right w:val="none" w:sz="0" w:space="0" w:color="auto"/>
      </w:divBdr>
      <w:divsChild>
        <w:div w:id="1680889081">
          <w:marLeft w:val="0"/>
          <w:marRight w:val="0"/>
          <w:marTop w:val="0"/>
          <w:marBottom w:val="0"/>
          <w:divBdr>
            <w:top w:val="none" w:sz="0" w:space="0" w:color="auto"/>
            <w:left w:val="none" w:sz="0" w:space="0" w:color="auto"/>
            <w:bottom w:val="none" w:sz="0" w:space="0" w:color="auto"/>
            <w:right w:val="none" w:sz="0" w:space="0" w:color="auto"/>
          </w:divBdr>
        </w:div>
      </w:divsChild>
    </w:div>
    <w:div w:id="1903059286">
      <w:bodyDiv w:val="1"/>
      <w:marLeft w:val="0"/>
      <w:marRight w:val="0"/>
      <w:marTop w:val="0"/>
      <w:marBottom w:val="0"/>
      <w:divBdr>
        <w:top w:val="none" w:sz="0" w:space="0" w:color="auto"/>
        <w:left w:val="none" w:sz="0" w:space="0" w:color="auto"/>
        <w:bottom w:val="none" w:sz="0" w:space="0" w:color="auto"/>
        <w:right w:val="none" w:sz="0" w:space="0" w:color="auto"/>
      </w:divBdr>
      <w:divsChild>
        <w:div w:id="396439128">
          <w:marLeft w:val="0"/>
          <w:marRight w:val="0"/>
          <w:marTop w:val="0"/>
          <w:marBottom w:val="0"/>
          <w:divBdr>
            <w:top w:val="none" w:sz="0" w:space="0" w:color="auto"/>
            <w:left w:val="none" w:sz="0" w:space="0" w:color="auto"/>
            <w:bottom w:val="none" w:sz="0" w:space="0" w:color="auto"/>
            <w:right w:val="none" w:sz="0" w:space="0" w:color="auto"/>
          </w:divBdr>
        </w:div>
      </w:divsChild>
    </w:div>
    <w:div w:id="198010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hyperlink" Target="https://www.weather.gov/safety/heat-index" TargetMode="External"/><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emf"/><Relationship Id="rId3" Type="http://schemas.microsoft.com/office/2007/relationships/stylesWithEffects" Target="stylesWithEffect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5136</TotalTime>
  <Pages>26</Pages>
  <Words>3600</Words>
  <Characters>20521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Faris</dc:creator>
  <cp:lastModifiedBy>Tony Faris</cp:lastModifiedBy>
  <cp:revision>314</cp:revision>
  <dcterms:created xsi:type="dcterms:W3CDTF">2020-02-07T16:09:00Z</dcterms:created>
  <dcterms:modified xsi:type="dcterms:W3CDTF">2020-02-28T22:50:00Z</dcterms:modified>
</cp:coreProperties>
</file>