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C973F" w14:textId="77777777" w:rsidR="008B3D0C" w:rsidRPr="00D75907" w:rsidRDefault="008B3D0C" w:rsidP="008B3D0C">
      <w:pPr>
        <w:pStyle w:val="Heading1"/>
        <w:rPr>
          <w:rFonts w:ascii="Palatino Linotype" w:hAnsi="Palatino Linotype"/>
          <w:sz w:val="32"/>
          <w:szCs w:val="32"/>
        </w:rPr>
      </w:pPr>
      <w:bookmarkStart w:id="0" w:name="header"/>
      <w:bookmarkStart w:id="1" w:name="Xda88f89a028aa74670d8001edefd5520748f68a"/>
      <w:bookmarkStart w:id="2" w:name="content"/>
      <w:bookmarkStart w:id="3" w:name="literature-review"/>
      <w:bookmarkEnd w:id="0"/>
      <w:r w:rsidRPr="00D75907">
        <w:rPr>
          <w:rFonts w:ascii="Palatino Linotype" w:hAnsi="Palatino Linotype"/>
          <w:sz w:val="32"/>
          <w:szCs w:val="32"/>
        </w:rPr>
        <w:t>A Hierarchical Signal-to-Policy Learning Framework for Risk-Aware Portfolio Optimization</w:t>
      </w:r>
    </w:p>
    <w:p w14:paraId="57E2EC2E" w14:textId="77777777" w:rsidR="008B3D0C" w:rsidRPr="00D75907" w:rsidRDefault="008B3D0C" w:rsidP="008B3D0C">
      <w:pPr>
        <w:pStyle w:val="Heading2"/>
        <w:rPr>
          <w:rFonts w:ascii="Palatino Linotype" w:hAnsi="Palatino Linotype"/>
          <w:sz w:val="24"/>
          <w:szCs w:val="24"/>
        </w:rPr>
      </w:pPr>
      <w:bookmarkStart w:id="4" w:name="introduction"/>
      <w:r w:rsidRPr="00D75907">
        <w:rPr>
          <w:rFonts w:ascii="Palatino Linotype" w:hAnsi="Palatino Linotype"/>
          <w:sz w:val="24"/>
          <w:szCs w:val="24"/>
        </w:rPr>
        <w:t>Introduction</w:t>
      </w:r>
    </w:p>
    <w:p w14:paraId="378B8591" w14:textId="77777777" w:rsidR="008B3D0C" w:rsidRPr="00D75907" w:rsidRDefault="008B3D0C" w:rsidP="008B3D0C">
      <w:pPr>
        <w:pStyle w:val="FirstParagraph"/>
        <w:rPr>
          <w:rFonts w:ascii="Palatino Linotype" w:hAnsi="Palatino Linotype"/>
          <w:sz w:val="20"/>
          <w:szCs w:val="20"/>
        </w:rPr>
      </w:pPr>
      <w:r w:rsidRPr="00D75907">
        <w:rPr>
          <w:rFonts w:ascii="Palatino Linotype" w:hAnsi="Palatino Linotype"/>
          <w:sz w:val="20"/>
          <w:szCs w:val="20"/>
        </w:rPr>
        <w:t xml:space="preserve">Dynamic portfolio allocation in volatile markets demands both accurate return forecasting and rigorous risk management. Traditional mean–variance optimization (MVO), introduced by Markowitz (1952), relies on expected returns and covariances to balance risk and reward, defining an efficient frontier of optimal portfolios [1]. However, MVO’s focus on variance as the sole risk measure can overlook tail risks and rapid regime changes, leaving investors exposed to extreme losses [2]. This limitation has prompted approaches that integrate predictive modeling with more robust downside risk measures. For example, Conditional Value-at-Risk (CVaR) was proposed to explicitly account for tail losses beyond the </w:t>
      </w:r>
      <w:proofErr w:type="spellStart"/>
      <w:r w:rsidRPr="00D75907">
        <w:rPr>
          <w:rFonts w:ascii="Palatino Linotype" w:hAnsi="Palatino Linotype"/>
          <w:sz w:val="20"/>
          <w:szCs w:val="20"/>
        </w:rPr>
        <w:t>VaR</w:t>
      </w:r>
      <w:proofErr w:type="spellEnd"/>
      <w:r w:rsidRPr="00D75907">
        <w:rPr>
          <w:rFonts w:ascii="Palatino Linotype" w:hAnsi="Palatino Linotype"/>
          <w:sz w:val="20"/>
          <w:szCs w:val="20"/>
        </w:rPr>
        <w:t xml:space="preserve"> threshold [2]. Methods incorporating such tail-risk metrics have shown promise in improving portfolio resilience to market shocks.</w:t>
      </w:r>
    </w:p>
    <w:p w14:paraId="7E8FD1E1" w14:textId="77777777" w:rsidR="008B3D0C" w:rsidRPr="00D75907" w:rsidRDefault="008B3D0C" w:rsidP="008B3D0C">
      <w:pPr>
        <w:pStyle w:val="BodyText"/>
        <w:rPr>
          <w:rFonts w:ascii="Palatino Linotype" w:hAnsi="Palatino Linotype"/>
          <w:sz w:val="20"/>
          <w:szCs w:val="20"/>
        </w:rPr>
      </w:pPr>
      <w:r w:rsidRPr="00D75907">
        <w:rPr>
          <w:rFonts w:ascii="Palatino Linotype" w:hAnsi="Palatino Linotype"/>
          <w:sz w:val="20"/>
          <w:szCs w:val="20"/>
        </w:rPr>
        <w:t xml:space="preserve">In recent years, deep reinforcement learning (DRL) has emerged as a powerful framework for sequential decision-making in finance [3], finding applications in tasks like algorithmic trading and portfolio rebalancing. DRL agents learn adaptive trading policies through interaction with market environments, and they often outperform static strategies on metrics such as cumulative returns [4]. For example, the open-source </w:t>
      </w:r>
      <w:proofErr w:type="spellStart"/>
      <w:r w:rsidRPr="00D75907">
        <w:rPr>
          <w:rFonts w:ascii="Palatino Linotype" w:hAnsi="Palatino Linotype"/>
          <w:sz w:val="20"/>
          <w:szCs w:val="20"/>
        </w:rPr>
        <w:t>FinRL</w:t>
      </w:r>
      <w:proofErr w:type="spellEnd"/>
      <w:r w:rsidRPr="00D75907">
        <w:rPr>
          <w:rFonts w:ascii="Palatino Linotype" w:hAnsi="Palatino Linotype"/>
          <w:sz w:val="20"/>
          <w:szCs w:val="20"/>
        </w:rPr>
        <w:t xml:space="preserve"> library (Liu </w:t>
      </w:r>
      <w:r w:rsidRPr="00D75907">
        <w:rPr>
          <w:rFonts w:ascii="Palatino Linotype" w:hAnsi="Palatino Linotype"/>
          <w:i/>
          <w:iCs/>
          <w:sz w:val="20"/>
          <w:szCs w:val="20"/>
        </w:rPr>
        <w:t>et al.</w:t>
      </w:r>
      <w:r w:rsidRPr="00D75907">
        <w:rPr>
          <w:rFonts w:ascii="Palatino Linotype" w:hAnsi="Palatino Linotype"/>
          <w:sz w:val="20"/>
          <w:szCs w:val="20"/>
        </w:rPr>
        <w:t xml:space="preserve">, 2020) demonstrated that an end-to-end DRL agent can learn profitable portfolio allocation rules directly from market data [5]. In such systems, a neural policy network observes raw financial features (price relatives, technical indicators, etc.) and outputs portfolio weight adjustments in an end-to-end manner [5]. This black-box approach has been applied to stock index and cryptocurrency portfolios with notable success (e.g., Jiang &amp; Liang 2017; Deng </w:t>
      </w:r>
      <w:r w:rsidRPr="00D75907">
        <w:rPr>
          <w:rFonts w:ascii="Palatino Linotype" w:hAnsi="Palatino Linotype"/>
          <w:i/>
          <w:iCs/>
          <w:sz w:val="20"/>
          <w:szCs w:val="20"/>
        </w:rPr>
        <w:t>et al.</w:t>
      </w:r>
      <w:r w:rsidRPr="00D75907">
        <w:rPr>
          <w:rFonts w:ascii="Palatino Linotype" w:hAnsi="Palatino Linotype"/>
          <w:sz w:val="20"/>
          <w:szCs w:val="20"/>
        </w:rPr>
        <w:t xml:space="preserve"> 2017) [4][6]. However, it entangles prediction and decision-making into a single opaque model. The lack of transparency and clear modular structure in these end-to-end policies makes it difficult to interpret why a particular action is taken or to enforce risk controls beyond those indirectly specified in the reward function [7]. In short, prior DRL-based portfolio optimizers like </w:t>
      </w:r>
      <w:proofErr w:type="spellStart"/>
      <w:r w:rsidRPr="00D75907">
        <w:rPr>
          <w:rFonts w:ascii="Palatino Linotype" w:hAnsi="Palatino Linotype"/>
          <w:sz w:val="20"/>
          <w:szCs w:val="20"/>
        </w:rPr>
        <w:t>FinRL</w:t>
      </w:r>
      <w:proofErr w:type="spellEnd"/>
      <w:r w:rsidRPr="00D75907">
        <w:rPr>
          <w:rFonts w:ascii="Palatino Linotype" w:hAnsi="Palatino Linotype"/>
          <w:sz w:val="20"/>
          <w:szCs w:val="20"/>
        </w:rPr>
        <w:t xml:space="preserve"> learn trading policies directly from raw features without an intermediate prediction layer [5], which can obscure the economic drivers of the strategy and limit the incorporation of domain knowledge and interpretability [7].</w:t>
      </w:r>
    </w:p>
    <w:p w14:paraId="6E73AC81" w14:textId="77777777" w:rsidR="008B3D0C" w:rsidRPr="00D75907" w:rsidRDefault="008B3D0C" w:rsidP="008B3D0C">
      <w:pPr>
        <w:pStyle w:val="BodyText"/>
        <w:rPr>
          <w:rFonts w:ascii="Palatino Linotype" w:hAnsi="Palatino Linotype"/>
          <w:sz w:val="20"/>
          <w:szCs w:val="20"/>
        </w:rPr>
      </w:pPr>
      <w:r w:rsidRPr="00D75907">
        <w:rPr>
          <w:rFonts w:ascii="Palatino Linotype" w:hAnsi="Palatino Linotype"/>
          <w:sz w:val="20"/>
          <w:szCs w:val="20"/>
        </w:rPr>
        <w:t xml:space="preserve">In this paper, we propose a novel two-stage “signal-to-policy” learning architecture that hierarchically separates the return prediction layer from the portfolio allocation layer. </w:t>
      </w:r>
      <w:r w:rsidRPr="00D75907">
        <w:rPr>
          <w:rFonts w:ascii="Palatino Linotype" w:hAnsi="Palatino Linotype"/>
          <w:b/>
          <w:bCs/>
          <w:sz w:val="20"/>
          <w:szCs w:val="20"/>
        </w:rPr>
        <w:t>Stage 1</w:t>
      </w:r>
      <w:r w:rsidRPr="00D75907">
        <w:rPr>
          <w:rFonts w:ascii="Palatino Linotype" w:hAnsi="Palatino Linotype"/>
          <w:sz w:val="20"/>
          <w:szCs w:val="20"/>
        </w:rPr>
        <w:t xml:space="preserve"> focuses on predictive modeling: we train gradient-boosted tree regressors (</w:t>
      </w:r>
      <w:proofErr w:type="spellStart"/>
      <w:r w:rsidRPr="00D75907">
        <w:rPr>
          <w:rFonts w:ascii="Palatino Linotype" w:hAnsi="Palatino Linotype"/>
          <w:sz w:val="20"/>
          <w:szCs w:val="20"/>
        </w:rPr>
        <w:t>XGBoost</w:t>
      </w:r>
      <w:proofErr w:type="spellEnd"/>
      <w:r w:rsidRPr="00D75907">
        <w:rPr>
          <w:rFonts w:ascii="Palatino Linotype" w:hAnsi="Palatino Linotype"/>
          <w:sz w:val="20"/>
          <w:szCs w:val="20"/>
        </w:rPr>
        <w:t xml:space="preserve">) to forecast each asset’s next-period return using a rich feature set of technical indicators and macroeconomic factors. By leveraging </w:t>
      </w:r>
      <w:proofErr w:type="spellStart"/>
      <w:r w:rsidRPr="00D75907">
        <w:rPr>
          <w:rFonts w:ascii="Palatino Linotype" w:hAnsi="Palatino Linotype"/>
          <w:sz w:val="20"/>
          <w:szCs w:val="20"/>
        </w:rPr>
        <w:t>XGBoost</w:t>
      </w:r>
      <w:proofErr w:type="spellEnd"/>
      <w:r w:rsidRPr="00D75907">
        <w:rPr>
          <w:rFonts w:ascii="Palatino Linotype" w:hAnsi="Palatino Linotype"/>
          <w:sz w:val="20"/>
          <w:szCs w:val="20"/>
        </w:rPr>
        <w:t>, a powerful non-linear machine learning model, Stage 1 can capture complex relationships in the data. We accompany these return predictions with interpretable attributions using SHAP (Shapley Additive Explanations) values [8]. SHAP values decompose each model prediction into the contribution of each input feature, effectively providing a factor attribution for the predicted return. This yields human-interpretable signals – for example, revealing whether an asset’s forecasted outperformance is driven by momentum, mean-reversion, or exposure to a particular macro factor. Combining tree-based models with SHAP has been shown to significantly enhance explanatory power, capturing complex non-linear feature interactions that traditional linear factor models might miss [9][10]. By design, Stage 1 produces both a point estimate of return for each asset and a vector of feature-based importance scores (attributions) explaining that estimate.</w:t>
      </w:r>
    </w:p>
    <w:p w14:paraId="66ADD629" w14:textId="77777777" w:rsidR="008B3D0C" w:rsidRPr="00D75907" w:rsidRDefault="008B3D0C" w:rsidP="008B3D0C">
      <w:pPr>
        <w:pStyle w:val="BodyText"/>
        <w:rPr>
          <w:rFonts w:ascii="Palatino Linotype" w:hAnsi="Palatino Linotype"/>
          <w:sz w:val="20"/>
          <w:szCs w:val="20"/>
        </w:rPr>
      </w:pPr>
      <w:r w:rsidRPr="00D75907">
        <w:rPr>
          <w:rFonts w:ascii="Palatino Linotype" w:hAnsi="Palatino Linotype"/>
          <w:b/>
          <w:bCs/>
          <w:sz w:val="20"/>
          <w:szCs w:val="20"/>
        </w:rPr>
        <w:lastRenderedPageBreak/>
        <w:t>Stage 2</w:t>
      </w:r>
      <w:r w:rsidRPr="00D75907">
        <w:rPr>
          <w:rFonts w:ascii="Palatino Linotype" w:hAnsi="Palatino Linotype"/>
          <w:sz w:val="20"/>
          <w:szCs w:val="20"/>
        </w:rPr>
        <w:t xml:space="preserve"> takes these model-driven signals as inputs to a downstream reinforcement learning policy that makes periodic portfolio allocation decisions. We design a Proximal Policy Optimization (PPO) agent that observes the Stage 1 outputs (the predicted returns for each asset, along with their SHAP-based feature attributions) as well as additional state features like recent price </w:t>
      </w:r>
      <w:proofErr w:type="gramStart"/>
      <w:r w:rsidRPr="00D75907">
        <w:rPr>
          <w:rFonts w:ascii="Palatino Linotype" w:hAnsi="Palatino Linotype"/>
          <w:sz w:val="20"/>
          <w:szCs w:val="20"/>
        </w:rPr>
        <w:t>trends, and</w:t>
      </w:r>
      <w:proofErr w:type="gramEnd"/>
      <w:r w:rsidRPr="00D75907">
        <w:rPr>
          <w:rFonts w:ascii="Palatino Linotype" w:hAnsi="Palatino Linotype"/>
          <w:sz w:val="20"/>
          <w:szCs w:val="20"/>
        </w:rPr>
        <w:t xml:space="preserve"> then </w:t>
      </w:r>
      <w:proofErr w:type="gramStart"/>
      <w:r w:rsidRPr="00D75907">
        <w:rPr>
          <w:rFonts w:ascii="Palatino Linotype" w:hAnsi="Palatino Linotype"/>
          <w:sz w:val="20"/>
          <w:szCs w:val="20"/>
        </w:rPr>
        <w:t>decides</w:t>
      </w:r>
      <w:proofErr w:type="gramEnd"/>
      <w:r w:rsidRPr="00D75907">
        <w:rPr>
          <w:rFonts w:ascii="Palatino Linotype" w:hAnsi="Palatino Linotype"/>
          <w:sz w:val="20"/>
          <w:szCs w:val="20"/>
        </w:rPr>
        <w:t xml:space="preserve"> how to rebalance the portfolio at each period. The key innovation is that the RL agent’s state is informed by model forecasts and their explanations, rather than relying on raw market data alone. We shape the agent’s objective using a risk-sensitive reward function: at each time step, the reward is defined as the portfolio’s realized return minus a penalty for tail risk, implemented via the portfolio’s CVaR at a chosen confidence level. In effect, the agent is trained to maximize a </w:t>
      </w:r>
      <w:r w:rsidRPr="00D75907">
        <w:rPr>
          <w:rFonts w:ascii="Palatino Linotype" w:hAnsi="Palatino Linotype"/>
          <w:b/>
          <w:bCs/>
          <w:sz w:val="20"/>
          <w:szCs w:val="20"/>
        </w:rPr>
        <w:t>mean–CVaR utility</w:t>
      </w:r>
      <w:r w:rsidRPr="00D75907">
        <w:rPr>
          <w:rFonts w:ascii="Palatino Linotype" w:hAnsi="Palatino Linotype"/>
          <w:sz w:val="20"/>
          <w:szCs w:val="20"/>
        </w:rPr>
        <w:t xml:space="preserve"> – seeking high returns while avoiding large drawdowns. Recent studies in portfolio management have highlighted the benefit of incorporating CVaR into the reinforcement learning objective to focus the agent on managing downside risk [11]. By using CVaR in the reward, our PPO agent internalizes a risk-aware criterion that is more aligned with investors’ interests in limiting losses, unlike standard reward formulations that may ignore tail risk. The Stage 2 policy thus learns to adjust asset weights based on the predictive signals (and their indicated confidence or significance) in a manner that accounts for prediction uncertainty and worst-case outcomes.</w:t>
      </w:r>
    </w:p>
    <w:p w14:paraId="35FDC221" w14:textId="77777777" w:rsidR="008B3D0C" w:rsidRPr="00D75907" w:rsidRDefault="008B3D0C" w:rsidP="008B3D0C">
      <w:pPr>
        <w:pStyle w:val="BodyText"/>
        <w:rPr>
          <w:rFonts w:ascii="Palatino Linotype" w:hAnsi="Palatino Linotype"/>
          <w:sz w:val="20"/>
          <w:szCs w:val="20"/>
        </w:rPr>
      </w:pPr>
      <w:r w:rsidRPr="00D75907">
        <w:rPr>
          <w:rFonts w:ascii="Palatino Linotype" w:hAnsi="Palatino Linotype"/>
          <w:sz w:val="20"/>
          <w:szCs w:val="20"/>
        </w:rPr>
        <w:t xml:space="preserve">Our hierarchical signal-to-policy framework offers several advantages over conventional end-to-end trading agents. First, by decoupling </w:t>
      </w:r>
      <w:proofErr w:type="gramStart"/>
      <w:r w:rsidRPr="00D75907">
        <w:rPr>
          <w:rFonts w:ascii="Palatino Linotype" w:hAnsi="Palatino Linotype"/>
          <w:sz w:val="20"/>
          <w:szCs w:val="20"/>
        </w:rPr>
        <w:t>prediction</w:t>
      </w:r>
      <w:proofErr w:type="gramEnd"/>
      <w:r w:rsidRPr="00D75907">
        <w:rPr>
          <w:rFonts w:ascii="Palatino Linotype" w:hAnsi="Palatino Linotype"/>
          <w:sz w:val="20"/>
          <w:szCs w:val="20"/>
        </w:rPr>
        <w:t xml:space="preserve"> from allocation, we introduce a clear two-stage decision structure: Stage 1 (signal generation) focuses on estimating expected returns with interpretability, and Stage 2 (policy optimization) focuses on translating those signals into actions under a specified risk preference. This hierarchy provides a modular design that improves clarity and flexibility in modeling the investment decision process. The approach is analogous to the workflow of human portfolio managers, who often form views on returns (informed by models or analyst forecasts) and then optimize allocations given those views and explicit risk constraints. In contrast to prior approaches like </w:t>
      </w:r>
      <w:proofErr w:type="spellStart"/>
      <w:r w:rsidRPr="00D75907">
        <w:rPr>
          <w:rFonts w:ascii="Palatino Linotype" w:hAnsi="Palatino Linotype"/>
          <w:sz w:val="20"/>
          <w:szCs w:val="20"/>
        </w:rPr>
        <w:t>FinRL</w:t>
      </w:r>
      <w:proofErr w:type="spellEnd"/>
      <w:r w:rsidRPr="00D75907">
        <w:rPr>
          <w:rFonts w:ascii="Palatino Linotype" w:hAnsi="Palatino Linotype"/>
          <w:sz w:val="20"/>
          <w:szCs w:val="20"/>
        </w:rPr>
        <w:t xml:space="preserve"> that attempt to learn everything in one monolithic model, our framework injects domain knowledge and transparency at the interface between the two stages. The inclusion of SHAP-attributed factors means the RL agent’s decisions can be traced back to economically meaningful features, enhancing trust and accountability. Indeed, combining predictive ML models with Shapley-value explanations has been noted as a powerful way to interpret complex “black-box” systems and understand the drivers behind their outputs [7]. Here, those interpretability benefits </w:t>
      </w:r>
      <w:proofErr w:type="gramStart"/>
      <w:r w:rsidRPr="00D75907">
        <w:rPr>
          <w:rFonts w:ascii="Palatino Linotype" w:hAnsi="Palatino Linotype"/>
          <w:sz w:val="20"/>
          <w:szCs w:val="20"/>
        </w:rPr>
        <w:t>carry</w:t>
      </w:r>
      <w:proofErr w:type="gramEnd"/>
      <w:r w:rsidRPr="00D75907">
        <w:rPr>
          <w:rFonts w:ascii="Palatino Linotype" w:hAnsi="Palatino Linotype"/>
          <w:sz w:val="20"/>
          <w:szCs w:val="20"/>
        </w:rPr>
        <w:t xml:space="preserve"> into the reinforcement learning policy: the agent’s behavior is explicitly influenced by quantified contributions of known factors, making the resulting strategy more explainable to researchers and practitioners.</w:t>
      </w:r>
    </w:p>
    <w:p w14:paraId="630D40A8" w14:textId="77777777" w:rsidR="008B3D0C" w:rsidRPr="00D75907" w:rsidRDefault="008B3D0C" w:rsidP="008B3D0C">
      <w:pPr>
        <w:pStyle w:val="BodyText"/>
        <w:rPr>
          <w:rFonts w:ascii="Palatino Linotype" w:hAnsi="Palatino Linotype"/>
          <w:sz w:val="20"/>
          <w:szCs w:val="20"/>
        </w:rPr>
      </w:pPr>
      <w:r w:rsidRPr="00D75907">
        <w:rPr>
          <w:rFonts w:ascii="Palatino Linotype" w:hAnsi="Palatino Linotype"/>
          <w:sz w:val="20"/>
          <w:szCs w:val="20"/>
        </w:rPr>
        <w:t>Second, the hierarchical approach can improve learning efficiency and robustness. Stage 1’s gradient boosting models serve as a form of feature extractor and noise filter, isolating signals that have predictive value. This reduces the burden on the RL network; the policy no longer needs to learn from scratch which raw features correlate with future returns, because that knowledge is distilled in the Stage 1 outputs. The RL agent can instead focus on the higher-level task of allocating capital in a risk-aware way given those informed predictions. By splitting the problem, we mitigate the challenge of noisy, high-dimensional inputs that purely model-free RL agents face, and we provide a stronger inductive bias for the learning process. Furthermore, the mean–CVaR reward shaping ensures that the learned policy is risk-aware by construction, in contrast to many DRL trading agents which may chase high returns with little regard for volatility or tail risk. Our approach thus marries model-based forecasting with model-free reinforcement learning in a hierarchical manner, aiming to leverage the strengths of both paradigms: the foresight of predictive models and the adaptability of reinforcement learning for decision-making.</w:t>
      </w:r>
    </w:p>
    <w:p w14:paraId="0E76509D" w14:textId="77777777" w:rsidR="008B3D0C" w:rsidRPr="00D75907" w:rsidRDefault="008B3D0C" w:rsidP="008B3D0C">
      <w:pPr>
        <w:pStyle w:val="BodyText"/>
        <w:rPr>
          <w:rFonts w:ascii="Palatino Linotype" w:hAnsi="Palatino Linotype"/>
          <w:sz w:val="20"/>
          <w:szCs w:val="20"/>
        </w:rPr>
      </w:pPr>
      <w:r w:rsidRPr="00D75907">
        <w:rPr>
          <w:rFonts w:ascii="Palatino Linotype" w:hAnsi="Palatino Linotype"/>
          <w:sz w:val="20"/>
          <w:szCs w:val="20"/>
        </w:rPr>
        <w:t>To summarize, the key contributions of this work are:</w:t>
      </w:r>
    </w:p>
    <w:p w14:paraId="6BFF59DE" w14:textId="77777777" w:rsidR="008B3D0C" w:rsidRPr="00D75907" w:rsidRDefault="008B3D0C" w:rsidP="008B3D0C">
      <w:pPr>
        <w:numPr>
          <w:ilvl w:val="0"/>
          <w:numId w:val="2"/>
        </w:numPr>
        <w:rPr>
          <w:rFonts w:ascii="Palatino Linotype" w:hAnsi="Palatino Linotype"/>
          <w:sz w:val="20"/>
          <w:szCs w:val="20"/>
        </w:rPr>
      </w:pPr>
      <w:r w:rsidRPr="00D75907">
        <w:rPr>
          <w:rFonts w:ascii="Palatino Linotype" w:hAnsi="Palatino Linotype"/>
          <w:b/>
          <w:bCs/>
          <w:sz w:val="20"/>
          <w:szCs w:val="20"/>
        </w:rPr>
        <w:lastRenderedPageBreak/>
        <w:t>Hierarchical learning architecture:</w:t>
      </w:r>
      <w:r w:rsidRPr="00D75907">
        <w:rPr>
          <w:rFonts w:ascii="Palatino Linotype" w:hAnsi="Palatino Linotype"/>
          <w:sz w:val="20"/>
          <w:szCs w:val="20"/>
        </w:rPr>
        <w:t xml:space="preserve"> We introduce a two-stage framework that separates return prediction and portfolio optimization, unlike prior end-to-end DRL approaches (e.g., </w:t>
      </w:r>
      <w:proofErr w:type="spellStart"/>
      <w:r w:rsidRPr="00D75907">
        <w:rPr>
          <w:rFonts w:ascii="Palatino Linotype" w:hAnsi="Palatino Linotype"/>
          <w:sz w:val="20"/>
          <w:szCs w:val="20"/>
        </w:rPr>
        <w:t>FinRL</w:t>
      </w:r>
      <w:proofErr w:type="spellEnd"/>
      <w:r w:rsidRPr="00D75907">
        <w:rPr>
          <w:rFonts w:ascii="Palatino Linotype" w:hAnsi="Palatino Linotype"/>
          <w:sz w:val="20"/>
          <w:szCs w:val="20"/>
        </w:rPr>
        <w:t>) that learn trading policies directly from raw price features [5]. This hierarchical design yields a modular structure that clarifies the decision-making process and adds flexibility in incorporating domain knowledge at different stages of the model.</w:t>
      </w:r>
    </w:p>
    <w:p w14:paraId="3E279AC0" w14:textId="77777777" w:rsidR="008B3D0C" w:rsidRPr="00D75907" w:rsidRDefault="008B3D0C" w:rsidP="008B3D0C">
      <w:pPr>
        <w:numPr>
          <w:ilvl w:val="0"/>
          <w:numId w:val="2"/>
        </w:numPr>
        <w:rPr>
          <w:rFonts w:ascii="Palatino Linotype" w:hAnsi="Palatino Linotype"/>
          <w:sz w:val="20"/>
          <w:szCs w:val="20"/>
        </w:rPr>
      </w:pPr>
      <w:r w:rsidRPr="00D75907">
        <w:rPr>
          <w:rFonts w:ascii="Palatino Linotype" w:hAnsi="Palatino Linotype"/>
          <w:b/>
          <w:bCs/>
          <w:sz w:val="20"/>
          <w:szCs w:val="20"/>
        </w:rPr>
        <w:t>Interpretable signal integration:</w:t>
      </w:r>
      <w:r w:rsidRPr="00D75907">
        <w:rPr>
          <w:rFonts w:ascii="Palatino Linotype" w:hAnsi="Palatino Linotype"/>
          <w:sz w:val="20"/>
          <w:szCs w:val="20"/>
        </w:rPr>
        <w:t xml:space="preserve"> We embed model-based forecasts and SHAP-derived factor attributions into the state of the RL policy. By incorporating these </w:t>
      </w:r>
      <w:r w:rsidRPr="00D75907">
        <w:rPr>
          <w:rFonts w:ascii="Palatino Linotype" w:hAnsi="Palatino Linotype"/>
          <w:b/>
          <w:bCs/>
          <w:sz w:val="20"/>
          <w:szCs w:val="20"/>
        </w:rPr>
        <w:t>interpretable signals</w:t>
      </w:r>
      <w:r w:rsidRPr="00D75907">
        <w:rPr>
          <w:rFonts w:ascii="Palatino Linotype" w:hAnsi="Palatino Linotype"/>
          <w:sz w:val="20"/>
          <w:szCs w:val="20"/>
        </w:rPr>
        <w:t>, our method enhances transparency—the policy’s decisions can be understood in terms of fundamental drivers—and it aligns with known financial factors, addressing the opacity of purely black-box strategies [7]. To our knowledge, this is one of the first frameworks to explicitly feed explainable ML outputs (SHAP values) into a reinforcement learning agent for finance, thereby directly linking the agent’s actions to explainable market signals.</w:t>
      </w:r>
    </w:p>
    <w:p w14:paraId="10689065" w14:textId="77777777" w:rsidR="008B3D0C" w:rsidRPr="00D75907" w:rsidRDefault="008B3D0C" w:rsidP="008B3D0C">
      <w:pPr>
        <w:numPr>
          <w:ilvl w:val="0"/>
          <w:numId w:val="2"/>
        </w:numPr>
        <w:rPr>
          <w:rFonts w:ascii="Palatino Linotype" w:hAnsi="Palatino Linotype"/>
          <w:sz w:val="20"/>
          <w:szCs w:val="20"/>
        </w:rPr>
      </w:pPr>
      <w:r w:rsidRPr="00D75907">
        <w:rPr>
          <w:rFonts w:ascii="Palatino Linotype" w:hAnsi="Palatino Linotype"/>
          <w:b/>
          <w:bCs/>
          <w:sz w:val="20"/>
          <w:szCs w:val="20"/>
        </w:rPr>
        <w:t>Risk-aware policy optimization:</w:t>
      </w:r>
      <w:r w:rsidRPr="00D75907">
        <w:rPr>
          <w:rFonts w:ascii="Palatino Linotype" w:hAnsi="Palatino Linotype"/>
          <w:sz w:val="20"/>
          <w:szCs w:val="20"/>
        </w:rPr>
        <w:t xml:space="preserve"> We develop a reinforcement learning agent using PPO with a mean–CVaR reward objective, which ensures that the learned allocation policy accounts for downside risk. This risk-aware RL design leads to portfolios with superior risk-adjusted performance, as demonstrated by higher Sharpe ratios and lower tail risk compared to baseline policies [12]. The agent dynamically adjusts allocations in response to both predicted returns and risk, achieving more stable outcomes than approaches that </w:t>
      </w:r>
      <w:proofErr w:type="gramStart"/>
      <w:r w:rsidRPr="00D75907">
        <w:rPr>
          <w:rFonts w:ascii="Palatino Linotype" w:hAnsi="Palatino Linotype"/>
          <w:sz w:val="20"/>
          <w:szCs w:val="20"/>
        </w:rPr>
        <w:t>optimize for</w:t>
      </w:r>
      <w:proofErr w:type="gramEnd"/>
      <w:r w:rsidRPr="00D75907">
        <w:rPr>
          <w:rFonts w:ascii="Palatino Linotype" w:hAnsi="Palatino Linotype"/>
          <w:sz w:val="20"/>
          <w:szCs w:val="20"/>
        </w:rPr>
        <w:t xml:space="preserve"> return alone.</w:t>
      </w:r>
    </w:p>
    <w:p w14:paraId="16782199" w14:textId="77777777" w:rsidR="008B3D0C" w:rsidRPr="00D75907" w:rsidRDefault="008B3D0C" w:rsidP="008B3D0C">
      <w:pPr>
        <w:pStyle w:val="FirstParagraph"/>
        <w:rPr>
          <w:rFonts w:ascii="Palatino Linotype" w:hAnsi="Palatino Linotype"/>
          <w:sz w:val="20"/>
          <w:szCs w:val="20"/>
        </w:rPr>
      </w:pPr>
      <w:r w:rsidRPr="00D75907">
        <w:rPr>
          <w:rFonts w:ascii="Palatino Linotype" w:hAnsi="Palatino Linotype"/>
          <w:sz w:val="20"/>
          <w:szCs w:val="20"/>
        </w:rPr>
        <w:t xml:space="preserve">Finally, we validate our hierarchical signal-to-policy approach with an empirical study on a portfolio of Exchange-Traded Funds (ETFs) spanning diverse asset classes. The experimental results show that our risk-aware, SHAP-informed DRL policy achieves significant improvements over a range of benchmark strategies. In particular, the proposed framework outperforms a standard black-box DRL agent that uses only raw technical features, as well as traditional benchmarks like equal-weighting and classical mean–variance optimization. Our method delivers higher average returns </w:t>
      </w:r>
      <w:r w:rsidRPr="00D75907">
        <w:rPr>
          <w:rFonts w:ascii="Palatino Linotype" w:hAnsi="Palatino Linotype"/>
          <w:b/>
          <w:bCs/>
          <w:sz w:val="20"/>
          <w:szCs w:val="20"/>
        </w:rPr>
        <w:t>and</w:t>
      </w:r>
      <w:r w:rsidRPr="00D75907">
        <w:rPr>
          <w:rFonts w:ascii="Palatino Linotype" w:hAnsi="Palatino Linotype"/>
          <w:sz w:val="20"/>
          <w:szCs w:val="20"/>
        </w:rPr>
        <w:t xml:space="preserve"> better downside protection – for example, it attains a higher annualized Sharpe ratio and a lower maximum drawdown than the comparison strategies. Consistent with prior work that integrates CVaR and additional information into DRL (such as sentiment analysis) [13], we find that the hierarchical approach produces a more favorable trade-off between return and risk than either purely model-based or purely model-free alternatives. These findings underscore the value of combining predictive modeling and interpretable signals with reinforcement learning in a unified framework. We believe this work will be of interest to researchers in financial machine learning and quantitative finance, as it offers a novel pathway to building transparent, risk-sensitive trading agents. By embedding domain insights into the learning process, the framework provides not only strong empirical performance but also improved explainability – an increasingly important criterion for adoption in high-stakes financial decision-making [7]. In summary, our hierarchical signal-to-policy paradigm helps bridge the gap between data-driven AI techniques and traditional financial expertise, opening new avenues for research in robust and explainable portfolio optimization.</w:t>
      </w:r>
    </w:p>
    <w:p w14:paraId="19ADB92F" w14:textId="77777777" w:rsidR="008B3D0C" w:rsidRPr="00D75907" w:rsidRDefault="008B3D0C" w:rsidP="008B3D0C">
      <w:pPr>
        <w:pStyle w:val="Heading2"/>
        <w:rPr>
          <w:rFonts w:ascii="Palatino Linotype" w:hAnsi="Palatino Linotype"/>
          <w:sz w:val="24"/>
          <w:szCs w:val="24"/>
        </w:rPr>
      </w:pPr>
      <w:bookmarkStart w:id="5" w:name="references"/>
      <w:bookmarkEnd w:id="4"/>
      <w:r w:rsidRPr="00D75907">
        <w:rPr>
          <w:rFonts w:ascii="Palatino Linotype" w:hAnsi="Palatino Linotype"/>
          <w:sz w:val="24"/>
          <w:szCs w:val="24"/>
        </w:rPr>
        <w:t>References</w:t>
      </w:r>
    </w:p>
    <w:p w14:paraId="38A6084E" w14:textId="77777777" w:rsidR="008B3D0C" w:rsidRPr="00D75907" w:rsidRDefault="008B3D0C" w:rsidP="008B3D0C">
      <w:pPr>
        <w:pStyle w:val="FirstParagraph"/>
        <w:rPr>
          <w:rFonts w:ascii="Palatino Linotype" w:hAnsi="Palatino Linotype"/>
          <w:sz w:val="20"/>
          <w:szCs w:val="20"/>
        </w:rPr>
      </w:pPr>
      <w:r w:rsidRPr="00D75907">
        <w:rPr>
          <w:rFonts w:ascii="Palatino Linotype" w:hAnsi="Palatino Linotype"/>
          <w:sz w:val="20"/>
          <w:szCs w:val="20"/>
        </w:rPr>
        <w:t xml:space="preserve">[1] Markowitz, H. M. (1952). </w:t>
      </w:r>
      <w:r w:rsidRPr="00D75907">
        <w:rPr>
          <w:rFonts w:ascii="Palatino Linotype" w:hAnsi="Palatino Linotype"/>
          <w:i/>
          <w:iCs/>
          <w:sz w:val="20"/>
          <w:szCs w:val="20"/>
        </w:rPr>
        <w:t>Portfolio Selection</w:t>
      </w:r>
      <w:r w:rsidRPr="00D75907">
        <w:rPr>
          <w:rFonts w:ascii="Palatino Linotype" w:hAnsi="Palatino Linotype"/>
          <w:sz w:val="20"/>
          <w:szCs w:val="20"/>
        </w:rPr>
        <w:t xml:space="preserve">. </w:t>
      </w:r>
      <w:r w:rsidRPr="00D75907">
        <w:rPr>
          <w:rFonts w:ascii="Palatino Linotype" w:hAnsi="Palatino Linotype"/>
          <w:b/>
          <w:bCs/>
          <w:sz w:val="20"/>
          <w:szCs w:val="20"/>
        </w:rPr>
        <w:t>Journal of Finance</w:t>
      </w:r>
      <w:r w:rsidRPr="00D75907">
        <w:rPr>
          <w:rFonts w:ascii="Palatino Linotype" w:hAnsi="Palatino Linotype"/>
          <w:sz w:val="20"/>
          <w:szCs w:val="20"/>
        </w:rPr>
        <w:t>, 7(1), 77–91.</w:t>
      </w:r>
    </w:p>
    <w:p w14:paraId="54997612" w14:textId="77777777" w:rsidR="008B3D0C" w:rsidRPr="00D75907" w:rsidRDefault="008B3D0C" w:rsidP="008B3D0C">
      <w:pPr>
        <w:pStyle w:val="BodyText"/>
        <w:rPr>
          <w:rFonts w:ascii="Palatino Linotype" w:hAnsi="Palatino Linotype"/>
          <w:sz w:val="20"/>
          <w:szCs w:val="20"/>
        </w:rPr>
      </w:pPr>
      <w:r w:rsidRPr="00D75907">
        <w:rPr>
          <w:rFonts w:ascii="Palatino Linotype" w:hAnsi="Palatino Linotype"/>
          <w:sz w:val="20"/>
          <w:szCs w:val="20"/>
        </w:rPr>
        <w:t xml:space="preserve">[2] </w:t>
      </w:r>
      <w:proofErr w:type="spellStart"/>
      <w:r w:rsidRPr="00D75907">
        <w:rPr>
          <w:rFonts w:ascii="Palatino Linotype" w:hAnsi="Palatino Linotype"/>
          <w:sz w:val="20"/>
          <w:szCs w:val="20"/>
        </w:rPr>
        <w:t>Rockafellar</w:t>
      </w:r>
      <w:proofErr w:type="spellEnd"/>
      <w:r w:rsidRPr="00D75907">
        <w:rPr>
          <w:rFonts w:ascii="Palatino Linotype" w:hAnsi="Palatino Linotype"/>
          <w:sz w:val="20"/>
          <w:szCs w:val="20"/>
        </w:rPr>
        <w:t xml:space="preserve">, R. T., &amp; Uryasev, S. (2000). </w:t>
      </w:r>
      <w:r w:rsidRPr="00D75907">
        <w:rPr>
          <w:rFonts w:ascii="Palatino Linotype" w:hAnsi="Palatino Linotype"/>
          <w:i/>
          <w:iCs/>
          <w:sz w:val="20"/>
          <w:szCs w:val="20"/>
        </w:rPr>
        <w:t>Optimization of Conditional Value-at-Risk</w:t>
      </w:r>
      <w:r w:rsidRPr="00D75907">
        <w:rPr>
          <w:rFonts w:ascii="Palatino Linotype" w:hAnsi="Palatino Linotype"/>
          <w:sz w:val="20"/>
          <w:szCs w:val="20"/>
        </w:rPr>
        <w:t xml:space="preserve">. </w:t>
      </w:r>
      <w:r w:rsidRPr="00D75907">
        <w:rPr>
          <w:rFonts w:ascii="Palatino Linotype" w:hAnsi="Palatino Linotype"/>
          <w:b/>
          <w:bCs/>
          <w:sz w:val="20"/>
          <w:szCs w:val="20"/>
        </w:rPr>
        <w:t>Journal of Risk</w:t>
      </w:r>
      <w:r w:rsidRPr="00D75907">
        <w:rPr>
          <w:rFonts w:ascii="Palatino Linotype" w:hAnsi="Palatino Linotype"/>
          <w:sz w:val="20"/>
          <w:szCs w:val="20"/>
        </w:rPr>
        <w:t>, 2(3), 21–41.</w:t>
      </w:r>
    </w:p>
    <w:p w14:paraId="1E53734C" w14:textId="77777777" w:rsidR="008B3D0C" w:rsidRPr="00D75907" w:rsidRDefault="008B3D0C" w:rsidP="008B3D0C">
      <w:pPr>
        <w:pStyle w:val="BodyText"/>
        <w:rPr>
          <w:rFonts w:ascii="Palatino Linotype" w:hAnsi="Palatino Linotype"/>
          <w:sz w:val="20"/>
          <w:szCs w:val="20"/>
        </w:rPr>
      </w:pPr>
      <w:r w:rsidRPr="00D75907">
        <w:rPr>
          <w:rFonts w:ascii="Palatino Linotype" w:hAnsi="Palatino Linotype"/>
          <w:sz w:val="20"/>
          <w:szCs w:val="20"/>
        </w:rPr>
        <w:lastRenderedPageBreak/>
        <w:t xml:space="preserve">[3] Bai, Y., Gao, Y., Wan, R., Zhang, S., &amp; Song, R. (2025). </w:t>
      </w:r>
      <w:r w:rsidRPr="00D75907">
        <w:rPr>
          <w:rFonts w:ascii="Palatino Linotype" w:hAnsi="Palatino Linotype"/>
          <w:i/>
          <w:iCs/>
          <w:sz w:val="20"/>
          <w:szCs w:val="20"/>
        </w:rPr>
        <w:t>A Review of Reinforcement Learning in Financial Applications</w:t>
      </w:r>
      <w:r w:rsidRPr="00D75907">
        <w:rPr>
          <w:rFonts w:ascii="Palatino Linotype" w:hAnsi="Palatino Linotype"/>
          <w:sz w:val="20"/>
          <w:szCs w:val="20"/>
        </w:rPr>
        <w:t xml:space="preserve">. </w:t>
      </w:r>
      <w:r w:rsidRPr="00D75907">
        <w:rPr>
          <w:rFonts w:ascii="Palatino Linotype" w:hAnsi="Palatino Linotype"/>
          <w:b/>
          <w:bCs/>
          <w:sz w:val="20"/>
          <w:szCs w:val="20"/>
        </w:rPr>
        <w:t>Annual Review of Statistics and Its Application</w:t>
      </w:r>
      <w:r w:rsidRPr="00D75907">
        <w:rPr>
          <w:rFonts w:ascii="Palatino Linotype" w:hAnsi="Palatino Linotype"/>
          <w:sz w:val="20"/>
          <w:szCs w:val="20"/>
        </w:rPr>
        <w:t>, 12, 209–232.</w:t>
      </w:r>
    </w:p>
    <w:p w14:paraId="027AED86" w14:textId="77777777" w:rsidR="008B3D0C" w:rsidRPr="00D75907" w:rsidRDefault="008B3D0C" w:rsidP="008B3D0C">
      <w:pPr>
        <w:pStyle w:val="BodyText"/>
        <w:rPr>
          <w:rFonts w:ascii="Palatino Linotype" w:hAnsi="Palatino Linotype"/>
          <w:sz w:val="20"/>
          <w:szCs w:val="20"/>
        </w:rPr>
      </w:pPr>
      <w:r w:rsidRPr="00D75907">
        <w:rPr>
          <w:rFonts w:ascii="Palatino Linotype" w:hAnsi="Palatino Linotype"/>
          <w:sz w:val="20"/>
          <w:szCs w:val="20"/>
        </w:rPr>
        <w:t xml:space="preserve">[4] Jiang, Z., &amp; Liang, J. (2017). </w:t>
      </w:r>
      <w:r w:rsidRPr="00D75907">
        <w:rPr>
          <w:rFonts w:ascii="Palatino Linotype" w:hAnsi="Palatino Linotype"/>
          <w:i/>
          <w:iCs/>
          <w:sz w:val="20"/>
          <w:szCs w:val="20"/>
        </w:rPr>
        <w:t>Cryptocurrency Portfolio Management with Deep Reinforcement Learning</w:t>
      </w:r>
      <w:r w:rsidRPr="00D75907">
        <w:rPr>
          <w:rFonts w:ascii="Palatino Linotype" w:hAnsi="Palatino Linotype"/>
          <w:sz w:val="20"/>
          <w:szCs w:val="20"/>
        </w:rPr>
        <w:t xml:space="preserve">. In </w:t>
      </w:r>
      <w:r w:rsidRPr="00D75907">
        <w:rPr>
          <w:rFonts w:ascii="Palatino Linotype" w:hAnsi="Palatino Linotype"/>
          <w:b/>
          <w:bCs/>
          <w:sz w:val="20"/>
          <w:szCs w:val="20"/>
        </w:rPr>
        <w:t>Proc. 2017 Int. Intelligent Systems Conf. (</w:t>
      </w:r>
      <w:proofErr w:type="spellStart"/>
      <w:r w:rsidRPr="00D75907">
        <w:rPr>
          <w:rFonts w:ascii="Palatino Linotype" w:hAnsi="Palatino Linotype"/>
          <w:b/>
          <w:bCs/>
          <w:sz w:val="20"/>
          <w:szCs w:val="20"/>
        </w:rPr>
        <w:t>IntelliSys</w:t>
      </w:r>
      <w:proofErr w:type="spellEnd"/>
      <w:r w:rsidRPr="00D75907">
        <w:rPr>
          <w:rFonts w:ascii="Palatino Linotype" w:hAnsi="Palatino Linotype"/>
          <w:b/>
          <w:bCs/>
          <w:sz w:val="20"/>
          <w:szCs w:val="20"/>
        </w:rPr>
        <w:t>)</w:t>
      </w:r>
      <w:r w:rsidRPr="00D75907">
        <w:rPr>
          <w:rFonts w:ascii="Palatino Linotype" w:hAnsi="Palatino Linotype"/>
          <w:sz w:val="20"/>
          <w:szCs w:val="20"/>
        </w:rPr>
        <w:t xml:space="preserve"> (pp. 905–913). IEEE.</w:t>
      </w:r>
    </w:p>
    <w:p w14:paraId="40F6E906" w14:textId="77777777" w:rsidR="008B3D0C" w:rsidRPr="00D75907" w:rsidRDefault="008B3D0C" w:rsidP="008B3D0C">
      <w:pPr>
        <w:pStyle w:val="BodyText"/>
        <w:rPr>
          <w:rFonts w:ascii="Palatino Linotype" w:hAnsi="Palatino Linotype"/>
          <w:sz w:val="20"/>
          <w:szCs w:val="20"/>
        </w:rPr>
      </w:pPr>
      <w:r w:rsidRPr="00D75907">
        <w:rPr>
          <w:rFonts w:ascii="Palatino Linotype" w:hAnsi="Palatino Linotype"/>
          <w:sz w:val="20"/>
          <w:szCs w:val="20"/>
        </w:rPr>
        <w:t xml:space="preserve">[5] Liu, X.-Y., Yang, H., Chen, Q., Zhang, R., Yang, L., Xiao, B., &amp; Wang, C. D. (2020). </w:t>
      </w:r>
      <w:proofErr w:type="spellStart"/>
      <w:r w:rsidRPr="00D75907">
        <w:rPr>
          <w:rFonts w:ascii="Palatino Linotype" w:hAnsi="Palatino Linotype"/>
          <w:i/>
          <w:iCs/>
          <w:sz w:val="20"/>
          <w:szCs w:val="20"/>
        </w:rPr>
        <w:t>FinRL</w:t>
      </w:r>
      <w:proofErr w:type="spellEnd"/>
      <w:r w:rsidRPr="00D75907">
        <w:rPr>
          <w:rFonts w:ascii="Palatino Linotype" w:hAnsi="Palatino Linotype"/>
          <w:i/>
          <w:iCs/>
          <w:sz w:val="20"/>
          <w:szCs w:val="20"/>
        </w:rPr>
        <w:t>: A Deep Reinforcement Learning Library for Automated Stock Trading in Quantitative Finance</w:t>
      </w:r>
      <w:r w:rsidRPr="00D75907">
        <w:rPr>
          <w:rFonts w:ascii="Palatino Linotype" w:hAnsi="Palatino Linotype"/>
          <w:sz w:val="20"/>
          <w:szCs w:val="20"/>
        </w:rPr>
        <w:t xml:space="preserve">. </w:t>
      </w:r>
      <w:proofErr w:type="spellStart"/>
      <w:r w:rsidRPr="00D75907">
        <w:rPr>
          <w:rFonts w:ascii="Palatino Linotype" w:hAnsi="Palatino Linotype"/>
          <w:sz w:val="20"/>
          <w:szCs w:val="20"/>
        </w:rPr>
        <w:t>arXiv</w:t>
      </w:r>
      <w:proofErr w:type="spellEnd"/>
      <w:r w:rsidRPr="00D75907">
        <w:rPr>
          <w:rFonts w:ascii="Palatino Linotype" w:hAnsi="Palatino Linotype"/>
          <w:sz w:val="20"/>
          <w:szCs w:val="20"/>
        </w:rPr>
        <w:t xml:space="preserve"> preprint arXiv:2011.09607.</w:t>
      </w:r>
    </w:p>
    <w:p w14:paraId="5B565FA0" w14:textId="77777777" w:rsidR="008B3D0C" w:rsidRPr="00D75907" w:rsidRDefault="008B3D0C" w:rsidP="008B3D0C">
      <w:pPr>
        <w:pStyle w:val="BodyText"/>
        <w:rPr>
          <w:rFonts w:ascii="Palatino Linotype" w:hAnsi="Palatino Linotype"/>
          <w:sz w:val="20"/>
          <w:szCs w:val="20"/>
        </w:rPr>
      </w:pPr>
      <w:r w:rsidRPr="00D75907">
        <w:rPr>
          <w:rFonts w:ascii="Palatino Linotype" w:hAnsi="Palatino Linotype"/>
          <w:sz w:val="20"/>
          <w:szCs w:val="20"/>
        </w:rPr>
        <w:t xml:space="preserve">[6] Deng, Y., Bao, F., Kong, Y., Ren, Z., &amp; Dai, Q. (2017). </w:t>
      </w:r>
      <w:r w:rsidRPr="00D75907">
        <w:rPr>
          <w:rFonts w:ascii="Palatino Linotype" w:hAnsi="Palatino Linotype"/>
          <w:i/>
          <w:iCs/>
          <w:sz w:val="20"/>
          <w:szCs w:val="20"/>
        </w:rPr>
        <w:t>Deep Direct Reinforcement Learning for Financial Signal Representation and Trading</w:t>
      </w:r>
      <w:r w:rsidRPr="00D75907">
        <w:rPr>
          <w:rFonts w:ascii="Palatino Linotype" w:hAnsi="Palatino Linotype"/>
          <w:sz w:val="20"/>
          <w:szCs w:val="20"/>
        </w:rPr>
        <w:t xml:space="preserve">. </w:t>
      </w:r>
      <w:r w:rsidRPr="00D75907">
        <w:rPr>
          <w:rFonts w:ascii="Palatino Linotype" w:hAnsi="Palatino Linotype"/>
          <w:b/>
          <w:bCs/>
          <w:sz w:val="20"/>
          <w:szCs w:val="20"/>
        </w:rPr>
        <w:t>IEEE Trans. Neural Networks &amp; Learning Systems</w:t>
      </w:r>
      <w:r w:rsidRPr="00D75907">
        <w:rPr>
          <w:rFonts w:ascii="Palatino Linotype" w:hAnsi="Palatino Linotype"/>
          <w:sz w:val="20"/>
          <w:szCs w:val="20"/>
        </w:rPr>
        <w:t>, 28(3), 653–664.</w:t>
      </w:r>
    </w:p>
    <w:p w14:paraId="1B9F62CE" w14:textId="77777777" w:rsidR="008B3D0C" w:rsidRPr="00D75907" w:rsidRDefault="008B3D0C" w:rsidP="008B3D0C">
      <w:pPr>
        <w:pStyle w:val="BodyText"/>
        <w:rPr>
          <w:rFonts w:ascii="Palatino Linotype" w:hAnsi="Palatino Linotype"/>
          <w:sz w:val="20"/>
          <w:szCs w:val="20"/>
        </w:rPr>
      </w:pPr>
      <w:r w:rsidRPr="00D75907">
        <w:rPr>
          <w:rFonts w:ascii="Palatino Linotype" w:hAnsi="Palatino Linotype"/>
          <w:sz w:val="20"/>
          <w:szCs w:val="20"/>
        </w:rPr>
        <w:t xml:space="preserve">[7] Barredo Arrieta, A., Díaz-Rodríguez, N., Del Ser, J., </w:t>
      </w:r>
      <w:proofErr w:type="spellStart"/>
      <w:r w:rsidRPr="00D75907">
        <w:rPr>
          <w:rFonts w:ascii="Palatino Linotype" w:hAnsi="Palatino Linotype"/>
          <w:sz w:val="20"/>
          <w:szCs w:val="20"/>
        </w:rPr>
        <w:t>Bennetot</w:t>
      </w:r>
      <w:proofErr w:type="spellEnd"/>
      <w:r w:rsidRPr="00D75907">
        <w:rPr>
          <w:rFonts w:ascii="Palatino Linotype" w:hAnsi="Palatino Linotype"/>
          <w:sz w:val="20"/>
          <w:szCs w:val="20"/>
        </w:rPr>
        <w:t xml:space="preserve">, A., et al. (2020). </w:t>
      </w:r>
      <w:r w:rsidRPr="00D75907">
        <w:rPr>
          <w:rFonts w:ascii="Palatino Linotype" w:hAnsi="Palatino Linotype"/>
          <w:i/>
          <w:iCs/>
          <w:sz w:val="20"/>
          <w:szCs w:val="20"/>
        </w:rPr>
        <w:t>Explainable Artificial Intelligence (XAI): Concepts, Taxonomies, Opportunities and Challenges toward Responsible AI</w:t>
      </w:r>
      <w:r w:rsidRPr="00D75907">
        <w:rPr>
          <w:rFonts w:ascii="Palatino Linotype" w:hAnsi="Palatino Linotype"/>
          <w:sz w:val="20"/>
          <w:szCs w:val="20"/>
        </w:rPr>
        <w:t xml:space="preserve">. </w:t>
      </w:r>
      <w:r w:rsidRPr="00D75907">
        <w:rPr>
          <w:rFonts w:ascii="Palatino Linotype" w:hAnsi="Palatino Linotype"/>
          <w:b/>
          <w:bCs/>
          <w:sz w:val="20"/>
          <w:szCs w:val="20"/>
        </w:rPr>
        <w:t>Information Fusion</w:t>
      </w:r>
      <w:r w:rsidRPr="00D75907">
        <w:rPr>
          <w:rFonts w:ascii="Palatino Linotype" w:hAnsi="Palatino Linotype"/>
          <w:sz w:val="20"/>
          <w:szCs w:val="20"/>
        </w:rPr>
        <w:t>, 58, 82–115.</w:t>
      </w:r>
    </w:p>
    <w:p w14:paraId="4C9E3EF8" w14:textId="77777777" w:rsidR="008B3D0C" w:rsidRPr="00D75907" w:rsidRDefault="008B3D0C" w:rsidP="008B3D0C">
      <w:pPr>
        <w:pStyle w:val="BodyText"/>
        <w:rPr>
          <w:rFonts w:ascii="Palatino Linotype" w:hAnsi="Palatino Linotype"/>
          <w:sz w:val="20"/>
          <w:szCs w:val="20"/>
        </w:rPr>
      </w:pPr>
      <w:r w:rsidRPr="00D75907">
        <w:rPr>
          <w:rFonts w:ascii="Palatino Linotype" w:hAnsi="Palatino Linotype"/>
          <w:sz w:val="20"/>
          <w:szCs w:val="20"/>
        </w:rPr>
        <w:t xml:space="preserve">[8] Lundberg, S. M., &amp; Lee, S.-I. (2017). </w:t>
      </w:r>
      <w:r w:rsidRPr="00D75907">
        <w:rPr>
          <w:rFonts w:ascii="Palatino Linotype" w:hAnsi="Palatino Linotype"/>
          <w:i/>
          <w:iCs/>
          <w:sz w:val="20"/>
          <w:szCs w:val="20"/>
        </w:rPr>
        <w:t>A Unified Approach to Interpreting Model Predictions</w:t>
      </w:r>
      <w:r w:rsidRPr="00D75907">
        <w:rPr>
          <w:rFonts w:ascii="Palatino Linotype" w:hAnsi="Palatino Linotype"/>
          <w:sz w:val="20"/>
          <w:szCs w:val="20"/>
        </w:rPr>
        <w:t xml:space="preserve">. In </w:t>
      </w:r>
      <w:r w:rsidRPr="00D75907">
        <w:rPr>
          <w:rFonts w:ascii="Palatino Linotype" w:hAnsi="Palatino Linotype"/>
          <w:b/>
          <w:bCs/>
          <w:sz w:val="20"/>
          <w:szCs w:val="20"/>
        </w:rPr>
        <w:t xml:space="preserve">Proc. 31st </w:t>
      </w:r>
      <w:proofErr w:type="spellStart"/>
      <w:r w:rsidRPr="00D75907">
        <w:rPr>
          <w:rFonts w:ascii="Palatino Linotype" w:hAnsi="Palatino Linotype"/>
          <w:b/>
          <w:bCs/>
          <w:sz w:val="20"/>
          <w:szCs w:val="20"/>
        </w:rPr>
        <w:t>NeurIPS</w:t>
      </w:r>
      <w:proofErr w:type="spellEnd"/>
      <w:r w:rsidRPr="00D75907">
        <w:rPr>
          <w:rFonts w:ascii="Palatino Linotype" w:hAnsi="Palatino Linotype"/>
          <w:sz w:val="20"/>
          <w:szCs w:val="20"/>
        </w:rPr>
        <w:t xml:space="preserve"> (pp. 4765–4774).</w:t>
      </w:r>
    </w:p>
    <w:p w14:paraId="6DE28A88" w14:textId="77777777" w:rsidR="008B3D0C" w:rsidRPr="00D75907" w:rsidRDefault="008B3D0C" w:rsidP="008B3D0C">
      <w:pPr>
        <w:pStyle w:val="BodyText"/>
        <w:rPr>
          <w:rFonts w:ascii="Palatino Linotype" w:hAnsi="Palatino Linotype"/>
          <w:sz w:val="20"/>
          <w:szCs w:val="20"/>
        </w:rPr>
      </w:pPr>
      <w:r w:rsidRPr="00D75907">
        <w:rPr>
          <w:rFonts w:ascii="Palatino Linotype" w:hAnsi="Palatino Linotype"/>
          <w:sz w:val="20"/>
          <w:szCs w:val="20"/>
        </w:rPr>
        <w:t xml:space="preserve">[9] Huang, W. (2021). </w:t>
      </w:r>
      <w:r w:rsidRPr="00D75907">
        <w:rPr>
          <w:rFonts w:ascii="Palatino Linotype" w:hAnsi="Palatino Linotype"/>
          <w:i/>
          <w:iCs/>
          <w:sz w:val="20"/>
          <w:szCs w:val="20"/>
        </w:rPr>
        <w:t xml:space="preserve">Digesting Three-Factor Model by </w:t>
      </w:r>
      <w:proofErr w:type="spellStart"/>
      <w:r w:rsidRPr="00D75907">
        <w:rPr>
          <w:rFonts w:ascii="Palatino Linotype" w:hAnsi="Palatino Linotype"/>
          <w:i/>
          <w:iCs/>
          <w:sz w:val="20"/>
          <w:szCs w:val="20"/>
        </w:rPr>
        <w:t>XGBoost</w:t>
      </w:r>
      <w:proofErr w:type="spellEnd"/>
      <w:r w:rsidRPr="00D75907">
        <w:rPr>
          <w:rFonts w:ascii="Palatino Linotype" w:hAnsi="Palatino Linotype"/>
          <w:i/>
          <w:iCs/>
          <w:sz w:val="20"/>
          <w:szCs w:val="20"/>
        </w:rPr>
        <w:t xml:space="preserve"> and SHAP</w:t>
      </w:r>
      <w:r w:rsidRPr="00D75907">
        <w:rPr>
          <w:rFonts w:ascii="Palatino Linotype" w:hAnsi="Palatino Linotype"/>
          <w:sz w:val="20"/>
          <w:szCs w:val="20"/>
        </w:rPr>
        <w:t>. SSRN Electronic Journal, doi:10.2139/ssrn.3772065.</w:t>
      </w:r>
    </w:p>
    <w:p w14:paraId="26E96677" w14:textId="77777777" w:rsidR="008B3D0C" w:rsidRPr="00D75907" w:rsidRDefault="008B3D0C" w:rsidP="008B3D0C">
      <w:pPr>
        <w:pStyle w:val="BodyText"/>
        <w:rPr>
          <w:rFonts w:ascii="Palatino Linotype" w:hAnsi="Palatino Linotype"/>
          <w:sz w:val="20"/>
          <w:szCs w:val="20"/>
        </w:rPr>
      </w:pPr>
      <w:r w:rsidRPr="00D75907">
        <w:rPr>
          <w:rFonts w:ascii="Palatino Linotype" w:hAnsi="Palatino Linotype"/>
          <w:sz w:val="20"/>
          <w:szCs w:val="20"/>
        </w:rPr>
        <w:t xml:space="preserve">[10] </w:t>
      </w:r>
      <w:proofErr w:type="spellStart"/>
      <w:r w:rsidRPr="00D75907">
        <w:rPr>
          <w:rFonts w:ascii="Palatino Linotype" w:hAnsi="Palatino Linotype"/>
          <w:sz w:val="20"/>
          <w:szCs w:val="20"/>
        </w:rPr>
        <w:t>Kovvuri</w:t>
      </w:r>
      <w:proofErr w:type="spellEnd"/>
      <w:r w:rsidRPr="00D75907">
        <w:rPr>
          <w:rFonts w:ascii="Palatino Linotype" w:hAnsi="Palatino Linotype"/>
          <w:sz w:val="20"/>
          <w:szCs w:val="20"/>
        </w:rPr>
        <w:t xml:space="preserve">, V. R. R., Fu, H., Fan, X., &amp; </w:t>
      </w:r>
      <w:proofErr w:type="spellStart"/>
      <w:r w:rsidRPr="00D75907">
        <w:rPr>
          <w:rFonts w:ascii="Palatino Linotype" w:hAnsi="Palatino Linotype"/>
          <w:sz w:val="20"/>
          <w:szCs w:val="20"/>
        </w:rPr>
        <w:t>Seisenberger</w:t>
      </w:r>
      <w:proofErr w:type="spellEnd"/>
      <w:r w:rsidRPr="00D75907">
        <w:rPr>
          <w:rFonts w:ascii="Palatino Linotype" w:hAnsi="Palatino Linotype"/>
          <w:sz w:val="20"/>
          <w:szCs w:val="20"/>
        </w:rPr>
        <w:t xml:space="preserve">, M. (2023). </w:t>
      </w:r>
      <w:r w:rsidRPr="00D75907">
        <w:rPr>
          <w:rFonts w:ascii="Palatino Linotype" w:hAnsi="Palatino Linotype"/>
          <w:i/>
          <w:iCs/>
          <w:sz w:val="20"/>
          <w:szCs w:val="20"/>
        </w:rPr>
        <w:t>Fund Performance Evaluation with Explainable Artificial Intelligence</w:t>
      </w:r>
      <w:r w:rsidRPr="00D75907">
        <w:rPr>
          <w:rFonts w:ascii="Palatino Linotype" w:hAnsi="Palatino Linotype"/>
          <w:sz w:val="20"/>
          <w:szCs w:val="20"/>
        </w:rPr>
        <w:t xml:space="preserve">. </w:t>
      </w:r>
      <w:r w:rsidRPr="00D75907">
        <w:rPr>
          <w:rFonts w:ascii="Palatino Linotype" w:hAnsi="Palatino Linotype"/>
          <w:b/>
          <w:bCs/>
          <w:sz w:val="20"/>
          <w:szCs w:val="20"/>
        </w:rPr>
        <w:t>Finance Research Letters</w:t>
      </w:r>
      <w:r w:rsidRPr="00D75907">
        <w:rPr>
          <w:rFonts w:ascii="Palatino Linotype" w:hAnsi="Palatino Linotype"/>
          <w:sz w:val="20"/>
          <w:szCs w:val="20"/>
        </w:rPr>
        <w:t>, 58, 104419.</w:t>
      </w:r>
    </w:p>
    <w:p w14:paraId="630C9BCD" w14:textId="77777777" w:rsidR="008B3D0C" w:rsidRPr="00D75907" w:rsidRDefault="008B3D0C" w:rsidP="008B3D0C">
      <w:pPr>
        <w:pStyle w:val="BodyText"/>
        <w:rPr>
          <w:rFonts w:ascii="Palatino Linotype" w:hAnsi="Palatino Linotype"/>
          <w:sz w:val="20"/>
          <w:szCs w:val="20"/>
        </w:rPr>
      </w:pPr>
      <w:r w:rsidRPr="00D75907">
        <w:rPr>
          <w:rFonts w:ascii="Palatino Linotype" w:hAnsi="Palatino Linotype"/>
          <w:sz w:val="20"/>
          <w:szCs w:val="20"/>
        </w:rPr>
        <w:t xml:space="preserve">[11] Cui, T., Ding, S., Jin, H., &amp; Zhang, Y. (2023). </w:t>
      </w:r>
      <w:r w:rsidRPr="00D75907">
        <w:rPr>
          <w:rFonts w:ascii="Palatino Linotype" w:hAnsi="Palatino Linotype"/>
          <w:i/>
          <w:iCs/>
          <w:sz w:val="20"/>
          <w:szCs w:val="20"/>
        </w:rPr>
        <w:t>Portfolio Constructions in Cryptocurrency Market: A CVaR-based Deep Reinforcement Learning Approach</w:t>
      </w:r>
      <w:r w:rsidRPr="00D75907">
        <w:rPr>
          <w:rFonts w:ascii="Palatino Linotype" w:hAnsi="Palatino Linotype"/>
          <w:sz w:val="20"/>
          <w:szCs w:val="20"/>
        </w:rPr>
        <w:t xml:space="preserve">. </w:t>
      </w:r>
      <w:r w:rsidRPr="00D75907">
        <w:rPr>
          <w:rFonts w:ascii="Palatino Linotype" w:hAnsi="Palatino Linotype"/>
          <w:b/>
          <w:bCs/>
          <w:sz w:val="20"/>
          <w:szCs w:val="20"/>
        </w:rPr>
        <w:t>Economic Modelling</w:t>
      </w:r>
      <w:r w:rsidRPr="00D75907">
        <w:rPr>
          <w:rFonts w:ascii="Palatino Linotype" w:hAnsi="Palatino Linotype"/>
          <w:sz w:val="20"/>
          <w:szCs w:val="20"/>
        </w:rPr>
        <w:t>, 119, 106078.</w:t>
      </w:r>
    </w:p>
    <w:p w14:paraId="75C1E6A1" w14:textId="77777777" w:rsidR="008B3D0C" w:rsidRPr="00D75907" w:rsidRDefault="008B3D0C" w:rsidP="008B3D0C">
      <w:pPr>
        <w:pStyle w:val="BodyText"/>
        <w:rPr>
          <w:rFonts w:ascii="Palatino Linotype" w:hAnsi="Palatino Linotype"/>
          <w:sz w:val="20"/>
          <w:szCs w:val="20"/>
        </w:rPr>
      </w:pPr>
      <w:r w:rsidRPr="00D75907">
        <w:rPr>
          <w:rFonts w:ascii="Palatino Linotype" w:hAnsi="Palatino Linotype"/>
          <w:sz w:val="20"/>
          <w:szCs w:val="20"/>
        </w:rPr>
        <w:t xml:space="preserve">[12] Almahdi, S., &amp; Yang, S. Y. (2017). </w:t>
      </w:r>
      <w:r w:rsidRPr="00D75907">
        <w:rPr>
          <w:rFonts w:ascii="Palatino Linotype" w:hAnsi="Palatino Linotype"/>
          <w:i/>
          <w:iCs/>
          <w:sz w:val="20"/>
          <w:szCs w:val="20"/>
        </w:rPr>
        <w:t>An Adaptive Portfolio Trading System: A Risk-Return Portfolio Optimization Using Recurrent Reinforcement Learning with Expected Maximum Drawdown</w:t>
      </w:r>
      <w:r w:rsidRPr="00D75907">
        <w:rPr>
          <w:rFonts w:ascii="Palatino Linotype" w:hAnsi="Palatino Linotype"/>
          <w:sz w:val="20"/>
          <w:szCs w:val="20"/>
        </w:rPr>
        <w:t xml:space="preserve">. </w:t>
      </w:r>
      <w:r w:rsidRPr="00D75907">
        <w:rPr>
          <w:rFonts w:ascii="Palatino Linotype" w:hAnsi="Palatino Linotype"/>
          <w:b/>
          <w:bCs/>
          <w:sz w:val="20"/>
          <w:szCs w:val="20"/>
        </w:rPr>
        <w:t>Expert Systems with Applications</w:t>
      </w:r>
      <w:r w:rsidRPr="00D75907">
        <w:rPr>
          <w:rFonts w:ascii="Palatino Linotype" w:hAnsi="Palatino Linotype"/>
          <w:sz w:val="20"/>
          <w:szCs w:val="20"/>
        </w:rPr>
        <w:t>, 87, 267–279.</w:t>
      </w:r>
    </w:p>
    <w:p w14:paraId="2AB9A28E" w14:textId="77777777" w:rsidR="008B3D0C" w:rsidRPr="00D75907" w:rsidRDefault="008B3D0C" w:rsidP="008B3D0C">
      <w:pPr>
        <w:pStyle w:val="BodyText"/>
        <w:rPr>
          <w:rFonts w:ascii="Palatino Linotype" w:hAnsi="Palatino Linotype"/>
          <w:sz w:val="20"/>
          <w:szCs w:val="20"/>
        </w:rPr>
      </w:pPr>
      <w:r w:rsidRPr="00D75907">
        <w:rPr>
          <w:rFonts w:ascii="Palatino Linotype" w:hAnsi="Palatino Linotype"/>
          <w:sz w:val="20"/>
          <w:szCs w:val="20"/>
        </w:rPr>
        <w:t xml:space="preserve">[13] </w:t>
      </w:r>
      <w:proofErr w:type="spellStart"/>
      <w:r w:rsidRPr="00D75907">
        <w:rPr>
          <w:rFonts w:ascii="Palatino Linotype" w:hAnsi="Palatino Linotype"/>
          <w:sz w:val="20"/>
          <w:szCs w:val="20"/>
        </w:rPr>
        <w:t>Mantshimuli</w:t>
      </w:r>
      <w:proofErr w:type="spellEnd"/>
      <w:r w:rsidRPr="00D75907">
        <w:rPr>
          <w:rFonts w:ascii="Palatino Linotype" w:hAnsi="Palatino Linotype"/>
          <w:sz w:val="20"/>
          <w:szCs w:val="20"/>
        </w:rPr>
        <w:t xml:space="preserve">, L. A. (2025). </w:t>
      </w:r>
      <w:r w:rsidRPr="00D75907">
        <w:rPr>
          <w:rFonts w:ascii="Palatino Linotype" w:hAnsi="Palatino Linotype"/>
          <w:i/>
          <w:iCs/>
          <w:sz w:val="20"/>
          <w:szCs w:val="20"/>
        </w:rPr>
        <w:t>Sentiment-Aware Portfolio Optimization: CVaR-Based Diversification with Deep Reinforcement Learning</w:t>
      </w:r>
      <w:r w:rsidRPr="00D75907">
        <w:rPr>
          <w:rFonts w:ascii="Palatino Linotype" w:hAnsi="Palatino Linotype"/>
          <w:sz w:val="20"/>
          <w:szCs w:val="20"/>
        </w:rPr>
        <w:t xml:space="preserve">. </w:t>
      </w:r>
      <w:r w:rsidRPr="00D75907">
        <w:rPr>
          <w:rFonts w:ascii="Palatino Linotype" w:hAnsi="Palatino Linotype"/>
          <w:b/>
          <w:bCs/>
          <w:sz w:val="20"/>
          <w:szCs w:val="20"/>
        </w:rPr>
        <w:t>IEEE Access</w:t>
      </w:r>
      <w:r w:rsidRPr="00D75907">
        <w:rPr>
          <w:rFonts w:ascii="Palatino Linotype" w:hAnsi="Palatino Linotype"/>
          <w:sz w:val="20"/>
          <w:szCs w:val="20"/>
        </w:rPr>
        <w:t>, 1–13 (early access).</w:t>
      </w:r>
    </w:p>
    <w:bookmarkEnd w:id="5"/>
    <w:p w14:paraId="47213A5E" w14:textId="77777777" w:rsidR="008B3D0C" w:rsidRPr="00D75907" w:rsidRDefault="008B3D0C">
      <w:pPr>
        <w:pStyle w:val="Heading2"/>
        <w:pBdr>
          <w:bottom w:val="single" w:sz="6" w:space="1" w:color="auto"/>
        </w:pBdr>
        <w:rPr>
          <w:rFonts w:ascii="Palatino Linotype" w:hAnsi="Palatino Linotype"/>
          <w:sz w:val="24"/>
          <w:szCs w:val="24"/>
        </w:rPr>
      </w:pPr>
    </w:p>
    <w:p w14:paraId="019EC28B" w14:textId="77777777" w:rsidR="008B3D0C" w:rsidRPr="00D75907" w:rsidRDefault="008B3D0C" w:rsidP="008B3D0C">
      <w:pPr>
        <w:pStyle w:val="BodyText"/>
        <w:rPr>
          <w:rFonts w:ascii="Palatino Linotype" w:hAnsi="Palatino Linotype"/>
          <w:sz w:val="20"/>
          <w:szCs w:val="20"/>
        </w:rPr>
      </w:pPr>
    </w:p>
    <w:p w14:paraId="2A3F2C04" w14:textId="7D267346" w:rsidR="00DC612F" w:rsidRPr="00D75907" w:rsidRDefault="0094282C">
      <w:pPr>
        <w:pStyle w:val="Heading2"/>
        <w:rPr>
          <w:rFonts w:ascii="Palatino Linotype" w:hAnsi="Palatino Linotype"/>
          <w:sz w:val="24"/>
          <w:szCs w:val="24"/>
        </w:rPr>
      </w:pPr>
      <w:r w:rsidRPr="00D75907">
        <w:rPr>
          <w:rFonts w:ascii="Palatino Linotype" w:hAnsi="Palatino Linotype"/>
          <w:sz w:val="24"/>
          <w:szCs w:val="24"/>
        </w:rPr>
        <w:t>Literature Review</w:t>
      </w:r>
    </w:p>
    <w:p w14:paraId="3AEE590D" w14:textId="77777777" w:rsidR="00EB429C" w:rsidRPr="00D75907" w:rsidRDefault="00EB429C" w:rsidP="00EB429C">
      <w:pPr>
        <w:pStyle w:val="BodyText"/>
        <w:rPr>
          <w:rFonts w:ascii="Palatino Linotype" w:hAnsi="Palatino Linotype"/>
          <w:b/>
          <w:bCs/>
          <w:sz w:val="20"/>
          <w:szCs w:val="20"/>
          <w:lang w:val="en-GB"/>
        </w:rPr>
      </w:pPr>
      <w:r w:rsidRPr="00D75907">
        <w:rPr>
          <w:rFonts w:ascii="Palatino Linotype" w:hAnsi="Palatino Linotype"/>
          <w:b/>
          <w:bCs/>
          <w:sz w:val="20"/>
          <w:szCs w:val="20"/>
          <w:lang w:val="en-GB"/>
        </w:rPr>
        <w:t>Classical Portfolio Theory and Risk Measures</w:t>
      </w:r>
    </w:p>
    <w:p w14:paraId="64DB0982" w14:textId="77777777" w:rsidR="00EB429C" w:rsidRPr="00D75907" w:rsidRDefault="00EB429C" w:rsidP="00EB429C">
      <w:pPr>
        <w:pStyle w:val="BodyText"/>
        <w:rPr>
          <w:rFonts w:ascii="Palatino Linotype" w:hAnsi="Palatino Linotype"/>
          <w:sz w:val="20"/>
          <w:szCs w:val="20"/>
          <w:lang w:val="en-GB"/>
        </w:rPr>
      </w:pPr>
      <w:r w:rsidRPr="00D75907">
        <w:rPr>
          <w:rFonts w:ascii="Palatino Linotype" w:hAnsi="Palatino Linotype"/>
          <w:sz w:val="20"/>
          <w:szCs w:val="20"/>
          <w:lang w:val="en-GB"/>
        </w:rPr>
        <w:t xml:space="preserve">Modern Portfolio Theory (MPT) established by </w:t>
      </w:r>
      <w:r w:rsidRPr="00D75907">
        <w:rPr>
          <w:rFonts w:ascii="Palatino Linotype" w:hAnsi="Palatino Linotype"/>
          <w:b/>
          <w:bCs/>
          <w:sz w:val="20"/>
          <w:szCs w:val="20"/>
          <w:lang w:val="en-GB"/>
        </w:rPr>
        <w:t>Markowitz (</w:t>
      </w:r>
      <w:proofErr w:type="gramStart"/>
      <w:r w:rsidRPr="00D75907">
        <w:rPr>
          <w:rFonts w:ascii="Palatino Linotype" w:hAnsi="Palatino Linotype"/>
          <w:b/>
          <w:bCs/>
          <w:sz w:val="20"/>
          <w:szCs w:val="20"/>
          <w:lang w:val="en-GB"/>
        </w:rPr>
        <w:t>1952)</w:t>
      </w:r>
      <w:r w:rsidRPr="00D75907">
        <w:rPr>
          <w:rFonts w:ascii="Palatino Linotype" w:hAnsi="Palatino Linotype"/>
          <w:sz w:val="20"/>
          <w:szCs w:val="20"/>
          <w:lang w:val="en-GB"/>
        </w:rPr>
        <w:t>[</w:t>
      </w:r>
      <w:proofErr w:type="gramEnd"/>
      <w:r w:rsidRPr="00D75907">
        <w:rPr>
          <w:rFonts w:ascii="Palatino Linotype" w:hAnsi="Palatino Linotype"/>
          <w:sz w:val="20"/>
          <w:szCs w:val="20"/>
          <w:lang w:val="en-GB"/>
        </w:rPr>
        <w:t xml:space="preserve">1] introduced mean–variance optimization, defining an efficient frontier of portfolios that maximize expected return for a given risk level. This framework formalized the trade-off between risk and return, demonstrating how </w:t>
      </w:r>
      <w:r w:rsidRPr="00D75907">
        <w:rPr>
          <w:rFonts w:ascii="Palatino Linotype" w:hAnsi="Palatino Linotype"/>
          <w:b/>
          <w:bCs/>
          <w:sz w:val="20"/>
          <w:szCs w:val="20"/>
          <w:lang w:val="en-GB"/>
        </w:rPr>
        <w:t>diversification</w:t>
      </w:r>
      <w:r w:rsidRPr="00D75907">
        <w:rPr>
          <w:rFonts w:ascii="Palatino Linotype" w:hAnsi="Palatino Linotype"/>
          <w:sz w:val="20"/>
          <w:szCs w:val="20"/>
          <w:lang w:val="en-GB"/>
        </w:rPr>
        <w:t xml:space="preserve"> reduces portfolio </w:t>
      </w:r>
      <w:proofErr w:type="gramStart"/>
      <w:r w:rsidRPr="00D75907">
        <w:rPr>
          <w:rFonts w:ascii="Palatino Linotype" w:hAnsi="Palatino Linotype"/>
          <w:sz w:val="20"/>
          <w:szCs w:val="20"/>
          <w:lang w:val="en-GB"/>
        </w:rPr>
        <w:t>variance[</w:t>
      </w:r>
      <w:proofErr w:type="gramEnd"/>
      <w:r w:rsidRPr="00D75907">
        <w:rPr>
          <w:rFonts w:ascii="Palatino Linotype" w:hAnsi="Palatino Linotype"/>
          <w:sz w:val="20"/>
          <w:szCs w:val="20"/>
          <w:lang w:val="en-GB"/>
        </w:rPr>
        <w:t xml:space="preserve">2]. Extensions of MPT include </w:t>
      </w:r>
      <w:r w:rsidRPr="00D75907">
        <w:rPr>
          <w:rFonts w:ascii="Palatino Linotype" w:hAnsi="Palatino Linotype"/>
          <w:b/>
          <w:bCs/>
          <w:sz w:val="20"/>
          <w:szCs w:val="20"/>
          <w:lang w:val="en-GB"/>
        </w:rPr>
        <w:t>Sharpe’s CAPM (1964)</w:t>
      </w:r>
      <w:r w:rsidRPr="00D75907">
        <w:rPr>
          <w:rFonts w:ascii="Palatino Linotype" w:hAnsi="Palatino Linotype"/>
          <w:sz w:val="20"/>
          <w:szCs w:val="20"/>
          <w:lang w:val="en-GB"/>
        </w:rPr>
        <w:t xml:space="preserve">, which links an asset’s expected return to its market beta in equilibrium, and </w:t>
      </w:r>
      <w:r w:rsidRPr="00D75907">
        <w:rPr>
          <w:rFonts w:ascii="Palatino Linotype" w:hAnsi="Palatino Linotype"/>
          <w:b/>
          <w:bCs/>
          <w:sz w:val="20"/>
          <w:szCs w:val="20"/>
          <w:lang w:val="en-GB"/>
        </w:rPr>
        <w:t>Ross’s APT (1976)</w:t>
      </w:r>
      <w:r w:rsidRPr="00D75907">
        <w:rPr>
          <w:rFonts w:ascii="Palatino Linotype" w:hAnsi="Palatino Linotype"/>
          <w:sz w:val="20"/>
          <w:szCs w:val="20"/>
          <w:lang w:val="en-GB"/>
        </w:rPr>
        <w:t xml:space="preserve">, which allows multiple risk </w:t>
      </w:r>
      <w:proofErr w:type="gramStart"/>
      <w:r w:rsidRPr="00D75907">
        <w:rPr>
          <w:rFonts w:ascii="Palatino Linotype" w:hAnsi="Palatino Linotype"/>
          <w:sz w:val="20"/>
          <w:szCs w:val="20"/>
          <w:lang w:val="en-GB"/>
        </w:rPr>
        <w:t>factors[</w:t>
      </w:r>
      <w:proofErr w:type="gramEnd"/>
      <w:r w:rsidRPr="00D75907">
        <w:rPr>
          <w:rFonts w:ascii="Palatino Linotype" w:hAnsi="Palatino Linotype"/>
          <w:sz w:val="20"/>
          <w:szCs w:val="20"/>
          <w:lang w:val="en-GB"/>
        </w:rPr>
        <w:t xml:space="preserve">3][4]. Empirical asset pricing by </w:t>
      </w:r>
      <w:r w:rsidRPr="00D75907">
        <w:rPr>
          <w:rFonts w:ascii="Palatino Linotype" w:hAnsi="Palatino Linotype"/>
          <w:b/>
          <w:bCs/>
          <w:sz w:val="20"/>
          <w:szCs w:val="20"/>
          <w:lang w:val="en-GB"/>
        </w:rPr>
        <w:t>Fama and French</w:t>
      </w:r>
      <w:r w:rsidRPr="00D75907">
        <w:rPr>
          <w:rFonts w:ascii="Palatino Linotype" w:hAnsi="Palatino Linotype"/>
          <w:sz w:val="20"/>
          <w:szCs w:val="20"/>
          <w:lang w:val="en-GB"/>
        </w:rPr>
        <w:t xml:space="preserve"> showed that beyond the market, factors like size and value explain returns, leading to </w:t>
      </w:r>
      <w:r w:rsidRPr="00D75907">
        <w:rPr>
          <w:rFonts w:ascii="Palatino Linotype" w:hAnsi="Palatino Linotype"/>
          <w:b/>
          <w:bCs/>
          <w:sz w:val="20"/>
          <w:szCs w:val="20"/>
          <w:lang w:val="en-GB"/>
        </w:rPr>
        <w:t>multi</w:t>
      </w:r>
      <w:r w:rsidRPr="00D75907">
        <w:rPr>
          <w:rFonts w:ascii="Palatino Linotype" w:hAnsi="Palatino Linotype"/>
          <w:b/>
          <w:bCs/>
          <w:sz w:val="20"/>
          <w:szCs w:val="20"/>
          <w:lang w:val="en-GB"/>
        </w:rPr>
        <w:noBreakHyphen/>
        <w:t xml:space="preserve">factor </w:t>
      </w:r>
      <w:proofErr w:type="gramStart"/>
      <w:r w:rsidRPr="00D75907">
        <w:rPr>
          <w:rFonts w:ascii="Palatino Linotype" w:hAnsi="Palatino Linotype"/>
          <w:b/>
          <w:bCs/>
          <w:sz w:val="20"/>
          <w:szCs w:val="20"/>
          <w:lang w:val="en-GB"/>
        </w:rPr>
        <w:t>models</w:t>
      </w:r>
      <w:r w:rsidRPr="00D75907">
        <w:rPr>
          <w:rFonts w:ascii="Palatino Linotype" w:hAnsi="Palatino Linotype"/>
          <w:sz w:val="20"/>
          <w:szCs w:val="20"/>
          <w:lang w:val="en-GB"/>
        </w:rPr>
        <w:t>[</w:t>
      </w:r>
      <w:proofErr w:type="gramEnd"/>
      <w:r w:rsidRPr="00D75907">
        <w:rPr>
          <w:rFonts w:ascii="Palatino Linotype" w:hAnsi="Palatino Linotype"/>
          <w:sz w:val="20"/>
          <w:szCs w:val="20"/>
          <w:lang w:val="en-GB"/>
        </w:rPr>
        <w:t>5][6].</w:t>
      </w:r>
    </w:p>
    <w:p w14:paraId="4208AC80" w14:textId="77777777" w:rsidR="00EB429C" w:rsidRPr="00D75907" w:rsidRDefault="00EB429C" w:rsidP="00EB429C">
      <w:pPr>
        <w:pStyle w:val="BodyText"/>
        <w:rPr>
          <w:rFonts w:ascii="Palatino Linotype" w:hAnsi="Palatino Linotype"/>
          <w:sz w:val="20"/>
          <w:szCs w:val="20"/>
          <w:lang w:val="en-GB"/>
        </w:rPr>
      </w:pPr>
      <w:r w:rsidRPr="00D75907">
        <w:rPr>
          <w:rFonts w:ascii="Palatino Linotype" w:hAnsi="Palatino Linotype"/>
          <w:sz w:val="20"/>
          <w:szCs w:val="20"/>
          <w:lang w:val="en-GB"/>
        </w:rPr>
        <w:lastRenderedPageBreak/>
        <w:t xml:space="preserve">Despite their success, classical mean–variance methods have well-known limitations. They assume (approximately) normal returns and use variance as the sole risk metric, which penalizes upside volatility as much as </w:t>
      </w:r>
      <w:proofErr w:type="gramStart"/>
      <w:r w:rsidRPr="00D75907">
        <w:rPr>
          <w:rFonts w:ascii="Palatino Linotype" w:hAnsi="Palatino Linotype"/>
          <w:sz w:val="20"/>
          <w:szCs w:val="20"/>
          <w:lang w:val="en-GB"/>
        </w:rPr>
        <w:t>downside[</w:t>
      </w:r>
      <w:proofErr w:type="gramEnd"/>
      <w:r w:rsidRPr="00D75907">
        <w:rPr>
          <w:rFonts w:ascii="Palatino Linotype" w:hAnsi="Palatino Linotype"/>
          <w:sz w:val="20"/>
          <w:szCs w:val="20"/>
          <w:lang w:val="en-GB"/>
        </w:rPr>
        <w:t xml:space="preserve">7]. Portfolios optimized on historical estimates are highly sensitive to estimation errors in expected returns and </w:t>
      </w:r>
      <w:proofErr w:type="gramStart"/>
      <w:r w:rsidRPr="00D75907">
        <w:rPr>
          <w:rFonts w:ascii="Palatino Linotype" w:hAnsi="Palatino Linotype"/>
          <w:sz w:val="20"/>
          <w:szCs w:val="20"/>
          <w:lang w:val="en-GB"/>
        </w:rPr>
        <w:t>covariances[</w:t>
      </w:r>
      <w:proofErr w:type="gramEnd"/>
      <w:r w:rsidRPr="00D75907">
        <w:rPr>
          <w:rFonts w:ascii="Palatino Linotype" w:hAnsi="Palatino Linotype"/>
          <w:sz w:val="20"/>
          <w:szCs w:val="20"/>
          <w:lang w:val="en-GB"/>
        </w:rPr>
        <w:t xml:space="preserve">8]. In practice, this can yield unstable allocations that underperform out of </w:t>
      </w:r>
      <w:proofErr w:type="gramStart"/>
      <w:r w:rsidRPr="00D75907">
        <w:rPr>
          <w:rFonts w:ascii="Palatino Linotype" w:hAnsi="Palatino Linotype"/>
          <w:sz w:val="20"/>
          <w:szCs w:val="20"/>
          <w:lang w:val="en-GB"/>
        </w:rPr>
        <w:t>sample[</w:t>
      </w:r>
      <w:proofErr w:type="gramEnd"/>
      <w:r w:rsidRPr="00D75907">
        <w:rPr>
          <w:rFonts w:ascii="Palatino Linotype" w:hAnsi="Palatino Linotype"/>
          <w:sz w:val="20"/>
          <w:szCs w:val="20"/>
          <w:lang w:val="en-GB"/>
        </w:rPr>
        <w:t xml:space="preserve">9]. To address these issues, researchers proposed more robust risk measures and models. </w:t>
      </w:r>
      <w:r w:rsidRPr="00D75907">
        <w:rPr>
          <w:rFonts w:ascii="Palatino Linotype" w:hAnsi="Palatino Linotype"/>
          <w:b/>
          <w:bCs/>
          <w:sz w:val="20"/>
          <w:szCs w:val="20"/>
          <w:lang w:val="en-GB"/>
        </w:rPr>
        <w:t>Roy’s “safety</w:t>
      </w:r>
      <w:r w:rsidRPr="00D75907">
        <w:rPr>
          <w:rFonts w:ascii="Palatino Linotype" w:hAnsi="Palatino Linotype"/>
          <w:b/>
          <w:bCs/>
          <w:sz w:val="20"/>
          <w:szCs w:val="20"/>
          <w:lang w:val="en-GB"/>
        </w:rPr>
        <w:noBreakHyphen/>
        <w:t>first” criterion (1952)</w:t>
      </w:r>
      <w:r w:rsidRPr="00D75907">
        <w:rPr>
          <w:rFonts w:ascii="Palatino Linotype" w:hAnsi="Palatino Linotype"/>
          <w:sz w:val="20"/>
          <w:szCs w:val="20"/>
          <w:lang w:val="en-GB"/>
        </w:rPr>
        <w:t xml:space="preserve"> focused on minimizing the probability of severe </w:t>
      </w:r>
      <w:proofErr w:type="gramStart"/>
      <w:r w:rsidRPr="00D75907">
        <w:rPr>
          <w:rFonts w:ascii="Palatino Linotype" w:hAnsi="Palatino Linotype"/>
          <w:sz w:val="20"/>
          <w:szCs w:val="20"/>
          <w:lang w:val="en-GB"/>
        </w:rPr>
        <w:t>losses[</w:t>
      </w:r>
      <w:proofErr w:type="gramEnd"/>
      <w:r w:rsidRPr="00D75907">
        <w:rPr>
          <w:rFonts w:ascii="Palatino Linotype" w:hAnsi="Palatino Linotype"/>
          <w:sz w:val="20"/>
          <w:szCs w:val="20"/>
          <w:lang w:val="en-GB"/>
        </w:rPr>
        <w:t xml:space="preserve">2]. </w:t>
      </w:r>
      <w:proofErr w:type="spellStart"/>
      <w:r w:rsidRPr="00D75907">
        <w:rPr>
          <w:rFonts w:ascii="Palatino Linotype" w:hAnsi="Palatino Linotype"/>
          <w:sz w:val="20"/>
          <w:szCs w:val="20"/>
          <w:lang w:val="en-GB"/>
        </w:rPr>
        <w:t>Semivariance</w:t>
      </w:r>
      <w:proofErr w:type="spellEnd"/>
      <w:r w:rsidRPr="00D75907">
        <w:rPr>
          <w:rFonts w:ascii="Palatino Linotype" w:hAnsi="Palatino Linotype"/>
          <w:sz w:val="20"/>
          <w:szCs w:val="20"/>
          <w:lang w:val="en-GB"/>
        </w:rPr>
        <w:t xml:space="preserve"> and downside</w:t>
      </w:r>
      <w:r w:rsidRPr="00D75907">
        <w:rPr>
          <w:rFonts w:ascii="Palatino Linotype" w:hAnsi="Palatino Linotype"/>
          <w:sz w:val="20"/>
          <w:szCs w:val="20"/>
          <w:lang w:val="en-GB"/>
        </w:rPr>
        <w:noBreakHyphen/>
        <w:t xml:space="preserve">focused metrics were suggested to better capture investors’ aversion to </w:t>
      </w:r>
      <w:proofErr w:type="gramStart"/>
      <w:r w:rsidRPr="00D75907">
        <w:rPr>
          <w:rFonts w:ascii="Palatino Linotype" w:hAnsi="Palatino Linotype"/>
          <w:sz w:val="20"/>
          <w:szCs w:val="20"/>
          <w:lang w:val="en-GB"/>
        </w:rPr>
        <w:t>losses[</w:t>
      </w:r>
      <w:proofErr w:type="gramEnd"/>
      <w:r w:rsidRPr="00D75907">
        <w:rPr>
          <w:rFonts w:ascii="Palatino Linotype" w:hAnsi="Palatino Linotype"/>
          <w:sz w:val="20"/>
          <w:szCs w:val="20"/>
          <w:lang w:val="en-GB"/>
        </w:rPr>
        <w:t xml:space="preserve">7]. Notably, </w:t>
      </w:r>
      <w:proofErr w:type="spellStart"/>
      <w:r w:rsidRPr="00D75907">
        <w:rPr>
          <w:rFonts w:ascii="Palatino Linotype" w:hAnsi="Palatino Linotype"/>
          <w:b/>
          <w:bCs/>
          <w:sz w:val="20"/>
          <w:szCs w:val="20"/>
          <w:lang w:val="en-GB"/>
        </w:rPr>
        <w:t>Rockafellar</w:t>
      </w:r>
      <w:proofErr w:type="spellEnd"/>
      <w:r w:rsidRPr="00D75907">
        <w:rPr>
          <w:rFonts w:ascii="Palatino Linotype" w:hAnsi="Palatino Linotype"/>
          <w:b/>
          <w:bCs/>
          <w:sz w:val="20"/>
          <w:szCs w:val="20"/>
          <w:lang w:val="en-GB"/>
        </w:rPr>
        <w:t xml:space="preserve"> and </w:t>
      </w:r>
      <w:proofErr w:type="spellStart"/>
      <w:r w:rsidRPr="00D75907">
        <w:rPr>
          <w:rFonts w:ascii="Palatino Linotype" w:hAnsi="Palatino Linotype"/>
          <w:b/>
          <w:bCs/>
          <w:sz w:val="20"/>
          <w:szCs w:val="20"/>
          <w:lang w:val="en-GB"/>
        </w:rPr>
        <w:t>Uryasev</w:t>
      </w:r>
      <w:proofErr w:type="spellEnd"/>
      <w:r w:rsidRPr="00D75907">
        <w:rPr>
          <w:rFonts w:ascii="Palatino Linotype" w:hAnsi="Palatino Linotype"/>
          <w:b/>
          <w:bCs/>
          <w:sz w:val="20"/>
          <w:szCs w:val="20"/>
          <w:lang w:val="en-GB"/>
        </w:rPr>
        <w:t xml:space="preserve"> (2000)</w:t>
      </w:r>
      <w:r w:rsidRPr="00D75907">
        <w:rPr>
          <w:rFonts w:ascii="Palatino Linotype" w:hAnsi="Palatino Linotype"/>
          <w:sz w:val="20"/>
          <w:szCs w:val="20"/>
          <w:lang w:val="en-GB"/>
        </w:rPr>
        <w:t xml:space="preserve"> introduced </w:t>
      </w:r>
      <w:r w:rsidRPr="00D75907">
        <w:rPr>
          <w:rFonts w:ascii="Palatino Linotype" w:hAnsi="Palatino Linotype"/>
          <w:b/>
          <w:bCs/>
          <w:sz w:val="20"/>
          <w:szCs w:val="20"/>
          <w:lang w:val="en-GB"/>
        </w:rPr>
        <w:t>Conditional Value</w:t>
      </w:r>
      <w:r w:rsidRPr="00D75907">
        <w:rPr>
          <w:rFonts w:ascii="Palatino Linotype" w:hAnsi="Palatino Linotype"/>
          <w:b/>
          <w:bCs/>
          <w:sz w:val="20"/>
          <w:szCs w:val="20"/>
          <w:lang w:val="en-GB"/>
        </w:rPr>
        <w:noBreakHyphen/>
        <w:t>at</w:t>
      </w:r>
      <w:r w:rsidRPr="00D75907">
        <w:rPr>
          <w:rFonts w:ascii="Palatino Linotype" w:hAnsi="Palatino Linotype"/>
          <w:b/>
          <w:bCs/>
          <w:sz w:val="20"/>
          <w:szCs w:val="20"/>
          <w:lang w:val="en-GB"/>
        </w:rPr>
        <w:noBreakHyphen/>
        <w:t>Risk (CVaR)</w:t>
      </w:r>
      <w:r w:rsidRPr="00D75907">
        <w:rPr>
          <w:rFonts w:ascii="Palatino Linotype" w:hAnsi="Palatino Linotype"/>
          <w:sz w:val="20"/>
          <w:szCs w:val="20"/>
          <w:lang w:val="en-GB"/>
        </w:rPr>
        <w:t xml:space="preserve"> as a coherent risk measure that explicitly accounts for tail </w:t>
      </w:r>
      <w:proofErr w:type="gramStart"/>
      <w:r w:rsidRPr="00D75907">
        <w:rPr>
          <w:rFonts w:ascii="Palatino Linotype" w:hAnsi="Palatino Linotype"/>
          <w:sz w:val="20"/>
          <w:szCs w:val="20"/>
          <w:lang w:val="en-GB"/>
        </w:rPr>
        <w:t>risks[</w:t>
      </w:r>
      <w:proofErr w:type="gramEnd"/>
      <w:r w:rsidRPr="00D75907">
        <w:rPr>
          <w:rFonts w:ascii="Palatino Linotype" w:hAnsi="Palatino Linotype"/>
          <w:sz w:val="20"/>
          <w:szCs w:val="20"/>
          <w:lang w:val="en-GB"/>
        </w:rPr>
        <w:t>10]. CVaR focuses on worst</w:t>
      </w:r>
      <w:r w:rsidRPr="00D75907">
        <w:rPr>
          <w:rFonts w:ascii="Palatino Linotype" w:hAnsi="Palatino Linotype"/>
          <w:sz w:val="20"/>
          <w:szCs w:val="20"/>
          <w:lang w:val="en-GB"/>
        </w:rPr>
        <w:noBreakHyphen/>
        <w:t xml:space="preserve">case losses (the lower tail of the distribution) and techniques were developed to optimize portfolios for minimal </w:t>
      </w:r>
      <w:proofErr w:type="gramStart"/>
      <w:r w:rsidRPr="00D75907">
        <w:rPr>
          <w:rFonts w:ascii="Palatino Linotype" w:hAnsi="Palatino Linotype"/>
          <w:sz w:val="20"/>
          <w:szCs w:val="20"/>
          <w:lang w:val="en-GB"/>
        </w:rPr>
        <w:t>CVaR[</w:t>
      </w:r>
      <w:proofErr w:type="gramEnd"/>
      <w:r w:rsidRPr="00D75907">
        <w:rPr>
          <w:rFonts w:ascii="Palatino Linotype" w:hAnsi="Palatino Linotype"/>
          <w:sz w:val="20"/>
          <w:szCs w:val="20"/>
          <w:lang w:val="en-GB"/>
        </w:rPr>
        <w:t>11]. By concentrating on tail outcomes, CVaR</w:t>
      </w:r>
      <w:r w:rsidRPr="00D75907">
        <w:rPr>
          <w:rFonts w:ascii="Palatino Linotype" w:hAnsi="Palatino Linotype"/>
          <w:sz w:val="20"/>
          <w:szCs w:val="20"/>
          <w:lang w:val="en-GB"/>
        </w:rPr>
        <w:noBreakHyphen/>
        <w:t>based optimization provides better protection against extreme losses than variance</w:t>
      </w:r>
      <w:r w:rsidRPr="00D75907">
        <w:rPr>
          <w:rFonts w:ascii="Palatino Linotype" w:hAnsi="Palatino Linotype"/>
          <w:sz w:val="20"/>
          <w:szCs w:val="20"/>
          <w:lang w:val="en-GB"/>
        </w:rPr>
        <w:noBreakHyphen/>
        <w:t xml:space="preserve">based </w:t>
      </w:r>
      <w:proofErr w:type="gramStart"/>
      <w:r w:rsidRPr="00D75907">
        <w:rPr>
          <w:rFonts w:ascii="Palatino Linotype" w:hAnsi="Palatino Linotype"/>
          <w:sz w:val="20"/>
          <w:szCs w:val="20"/>
          <w:lang w:val="en-GB"/>
        </w:rPr>
        <w:t>methods[</w:t>
      </w:r>
      <w:proofErr w:type="gramEnd"/>
      <w:r w:rsidRPr="00D75907">
        <w:rPr>
          <w:rFonts w:ascii="Palatino Linotype" w:hAnsi="Palatino Linotype"/>
          <w:sz w:val="20"/>
          <w:szCs w:val="20"/>
          <w:lang w:val="en-GB"/>
        </w:rPr>
        <w:t xml:space="preserve">11]. Other advancements aimed at improving robustness include the </w:t>
      </w:r>
      <w:r w:rsidRPr="00D75907">
        <w:rPr>
          <w:rFonts w:ascii="Palatino Linotype" w:hAnsi="Palatino Linotype"/>
          <w:b/>
          <w:bCs/>
          <w:sz w:val="20"/>
          <w:szCs w:val="20"/>
          <w:lang w:val="en-GB"/>
        </w:rPr>
        <w:t>Black–</w:t>
      </w:r>
      <w:proofErr w:type="spellStart"/>
      <w:r w:rsidRPr="00D75907">
        <w:rPr>
          <w:rFonts w:ascii="Palatino Linotype" w:hAnsi="Palatino Linotype"/>
          <w:b/>
          <w:bCs/>
          <w:sz w:val="20"/>
          <w:szCs w:val="20"/>
          <w:lang w:val="en-GB"/>
        </w:rPr>
        <w:t>Litterman</w:t>
      </w:r>
      <w:proofErr w:type="spellEnd"/>
      <w:r w:rsidRPr="00D75907">
        <w:rPr>
          <w:rFonts w:ascii="Palatino Linotype" w:hAnsi="Palatino Linotype"/>
          <w:b/>
          <w:bCs/>
          <w:sz w:val="20"/>
          <w:szCs w:val="20"/>
          <w:lang w:val="en-GB"/>
        </w:rPr>
        <w:t xml:space="preserve"> model</w:t>
      </w:r>
      <w:r w:rsidRPr="00D75907">
        <w:rPr>
          <w:rFonts w:ascii="Palatino Linotype" w:hAnsi="Palatino Linotype"/>
          <w:sz w:val="20"/>
          <w:szCs w:val="20"/>
          <w:lang w:val="en-GB"/>
        </w:rPr>
        <w:t xml:space="preserve">, which blends investor views with a prior market equilibrium to produce more stable </w:t>
      </w:r>
      <w:proofErr w:type="gramStart"/>
      <w:r w:rsidRPr="00D75907">
        <w:rPr>
          <w:rFonts w:ascii="Palatino Linotype" w:hAnsi="Palatino Linotype"/>
          <w:sz w:val="20"/>
          <w:szCs w:val="20"/>
          <w:lang w:val="en-GB"/>
        </w:rPr>
        <w:t>portfolios[</w:t>
      </w:r>
      <w:proofErr w:type="gramEnd"/>
      <w:r w:rsidRPr="00D75907">
        <w:rPr>
          <w:rFonts w:ascii="Palatino Linotype" w:hAnsi="Palatino Linotype"/>
          <w:sz w:val="20"/>
          <w:szCs w:val="20"/>
          <w:lang w:val="en-GB"/>
        </w:rPr>
        <w:t xml:space="preserve">12]. This mitigates the sensitivity to inputs by incorporating subjective views into the </w:t>
      </w:r>
      <w:proofErr w:type="gramStart"/>
      <w:r w:rsidRPr="00D75907">
        <w:rPr>
          <w:rFonts w:ascii="Palatino Linotype" w:hAnsi="Palatino Linotype"/>
          <w:sz w:val="20"/>
          <w:szCs w:val="20"/>
          <w:lang w:val="en-GB"/>
        </w:rPr>
        <w:t>optimization[</w:t>
      </w:r>
      <w:proofErr w:type="gramEnd"/>
      <w:r w:rsidRPr="00D75907">
        <w:rPr>
          <w:rFonts w:ascii="Palatino Linotype" w:hAnsi="Palatino Linotype"/>
          <w:sz w:val="20"/>
          <w:szCs w:val="20"/>
          <w:lang w:val="en-GB"/>
        </w:rPr>
        <w:t xml:space="preserve">12]. </w:t>
      </w:r>
      <w:r w:rsidRPr="00D75907">
        <w:rPr>
          <w:rFonts w:ascii="Palatino Linotype" w:hAnsi="Palatino Linotype"/>
          <w:b/>
          <w:bCs/>
          <w:sz w:val="20"/>
          <w:szCs w:val="20"/>
          <w:lang w:val="en-GB"/>
        </w:rPr>
        <w:t>Risk parity</w:t>
      </w:r>
      <w:r w:rsidRPr="00D75907">
        <w:rPr>
          <w:rFonts w:ascii="Palatino Linotype" w:hAnsi="Palatino Linotype"/>
          <w:sz w:val="20"/>
          <w:szCs w:val="20"/>
          <w:lang w:val="en-GB"/>
        </w:rPr>
        <w:t xml:space="preserve"> strategies were also proposed to equalize risk contributions across </w:t>
      </w:r>
      <w:proofErr w:type="gramStart"/>
      <w:r w:rsidRPr="00D75907">
        <w:rPr>
          <w:rFonts w:ascii="Palatino Linotype" w:hAnsi="Palatino Linotype"/>
          <w:sz w:val="20"/>
          <w:szCs w:val="20"/>
          <w:lang w:val="en-GB"/>
        </w:rPr>
        <w:t>assets[</w:t>
      </w:r>
      <w:proofErr w:type="gramEnd"/>
      <w:r w:rsidRPr="00D75907">
        <w:rPr>
          <w:rFonts w:ascii="Palatino Linotype" w:hAnsi="Palatino Linotype"/>
          <w:sz w:val="20"/>
          <w:szCs w:val="20"/>
          <w:lang w:val="en-GB"/>
        </w:rPr>
        <w:t xml:space="preserve">13]. For example, allocating capital such that each asset contributes the same volatility can yield more consistent Sharpe ratios over time than naive 60/40 </w:t>
      </w:r>
      <w:proofErr w:type="gramStart"/>
      <w:r w:rsidRPr="00D75907">
        <w:rPr>
          <w:rFonts w:ascii="Palatino Linotype" w:hAnsi="Palatino Linotype"/>
          <w:sz w:val="20"/>
          <w:szCs w:val="20"/>
          <w:lang w:val="en-GB"/>
        </w:rPr>
        <w:t>splits[</w:t>
      </w:r>
      <w:proofErr w:type="gramEnd"/>
      <w:r w:rsidRPr="00D75907">
        <w:rPr>
          <w:rFonts w:ascii="Palatino Linotype" w:hAnsi="Palatino Linotype"/>
          <w:sz w:val="20"/>
          <w:szCs w:val="20"/>
          <w:lang w:val="en-GB"/>
        </w:rPr>
        <w:t>14]. These classical and risk</w:t>
      </w:r>
      <w:r w:rsidRPr="00D75907">
        <w:rPr>
          <w:rFonts w:ascii="Palatino Linotype" w:hAnsi="Palatino Linotype"/>
          <w:sz w:val="20"/>
          <w:szCs w:val="20"/>
          <w:lang w:val="en-GB"/>
        </w:rPr>
        <w:noBreakHyphen/>
        <w:t xml:space="preserve">focused approaches underscore the importance of accounting for estimation uncertainty and tail risk in portfolio design. They motivate the inclusion of downside risk controls (e.g., CVaR penalties) and robust optimization techniques in modern portfolio </w:t>
      </w:r>
      <w:proofErr w:type="gramStart"/>
      <w:r w:rsidRPr="00D75907">
        <w:rPr>
          <w:rFonts w:ascii="Palatino Linotype" w:hAnsi="Palatino Linotype"/>
          <w:sz w:val="20"/>
          <w:szCs w:val="20"/>
          <w:lang w:val="en-GB"/>
        </w:rPr>
        <w:t>frameworks[</w:t>
      </w:r>
      <w:proofErr w:type="gramEnd"/>
      <w:r w:rsidRPr="00D75907">
        <w:rPr>
          <w:rFonts w:ascii="Palatino Linotype" w:hAnsi="Palatino Linotype"/>
          <w:sz w:val="20"/>
          <w:szCs w:val="20"/>
          <w:lang w:val="en-GB"/>
        </w:rPr>
        <w:t>15][7].</w:t>
      </w:r>
    </w:p>
    <w:p w14:paraId="61CE7008" w14:textId="77777777" w:rsidR="00EB429C" w:rsidRPr="00D75907" w:rsidRDefault="0094282C" w:rsidP="00EB429C">
      <w:pPr>
        <w:pStyle w:val="BodyText"/>
        <w:rPr>
          <w:rFonts w:ascii="Palatino Linotype" w:hAnsi="Palatino Linotype"/>
          <w:sz w:val="20"/>
          <w:szCs w:val="20"/>
          <w:lang w:val="en-GB"/>
        </w:rPr>
      </w:pPr>
      <w:r>
        <w:rPr>
          <w:rFonts w:ascii="Palatino Linotype" w:hAnsi="Palatino Linotype"/>
          <w:sz w:val="20"/>
          <w:szCs w:val="20"/>
          <w:lang w:val="en-GB"/>
        </w:rPr>
        <w:pict w14:anchorId="59F4808D">
          <v:rect id="_x0000_i1025" style="width:0;height:1.5pt" o:hralign="center" o:hrstd="t" o:hr="t" fillcolor="#a0a0a0" stroked="f"/>
        </w:pict>
      </w:r>
    </w:p>
    <w:p w14:paraId="47ACD253" w14:textId="77777777" w:rsidR="00EB429C" w:rsidRPr="00D75907" w:rsidRDefault="00EB429C" w:rsidP="00EB429C">
      <w:pPr>
        <w:pStyle w:val="BodyText"/>
        <w:rPr>
          <w:rFonts w:ascii="Palatino Linotype" w:hAnsi="Palatino Linotype"/>
          <w:b/>
          <w:bCs/>
          <w:sz w:val="20"/>
          <w:szCs w:val="20"/>
          <w:lang w:val="en-GB"/>
        </w:rPr>
      </w:pPr>
      <w:r w:rsidRPr="00D75907">
        <w:rPr>
          <w:rFonts w:ascii="Palatino Linotype" w:hAnsi="Palatino Linotype"/>
          <w:b/>
          <w:bCs/>
          <w:sz w:val="20"/>
          <w:szCs w:val="20"/>
          <w:lang w:val="en-GB"/>
        </w:rPr>
        <w:t>Dynamic Rebalancing and Robust Optimization</w:t>
      </w:r>
    </w:p>
    <w:p w14:paraId="4C0D97D0" w14:textId="77777777" w:rsidR="00EB429C" w:rsidRPr="00D75907" w:rsidRDefault="00EB429C" w:rsidP="00EB429C">
      <w:pPr>
        <w:pStyle w:val="BodyText"/>
        <w:rPr>
          <w:rFonts w:ascii="Palatino Linotype" w:hAnsi="Palatino Linotype"/>
          <w:sz w:val="20"/>
          <w:szCs w:val="20"/>
          <w:lang w:val="en-GB"/>
        </w:rPr>
      </w:pPr>
      <w:r w:rsidRPr="00D75907">
        <w:rPr>
          <w:rFonts w:ascii="Palatino Linotype" w:hAnsi="Palatino Linotype"/>
          <w:sz w:val="20"/>
          <w:szCs w:val="20"/>
          <w:lang w:val="en-GB"/>
        </w:rPr>
        <w:t xml:space="preserve">A static portfolio optimized once may become suboptimal as market conditions evolve. Thus, dynamic rebalancing is crucial to maintain alignment with an investor’s objectives. Traditional mean–variance theory assumes a fixed risk preference and static weights, which can lead to drift and misalignment in changing </w:t>
      </w:r>
      <w:proofErr w:type="gramStart"/>
      <w:r w:rsidRPr="00D75907">
        <w:rPr>
          <w:rFonts w:ascii="Palatino Linotype" w:hAnsi="Palatino Linotype"/>
          <w:sz w:val="20"/>
          <w:szCs w:val="20"/>
          <w:lang w:val="en-GB"/>
        </w:rPr>
        <w:t>markets[</w:t>
      </w:r>
      <w:proofErr w:type="gramEnd"/>
      <w:r w:rsidRPr="00D75907">
        <w:rPr>
          <w:rFonts w:ascii="Palatino Linotype" w:hAnsi="Palatino Linotype"/>
          <w:sz w:val="20"/>
          <w:szCs w:val="20"/>
          <w:lang w:val="en-GB"/>
        </w:rPr>
        <w:t xml:space="preserve">1]. Research has explored how often portfolios should be rebalanced to balance responsiveness versus transaction costs. </w:t>
      </w:r>
      <w:r w:rsidRPr="00D75907">
        <w:rPr>
          <w:rFonts w:ascii="Palatino Linotype" w:hAnsi="Palatino Linotype"/>
          <w:b/>
          <w:bCs/>
          <w:sz w:val="20"/>
          <w:szCs w:val="20"/>
          <w:lang w:val="en-GB"/>
        </w:rPr>
        <w:t>Smith and Desormeau (2006)</w:t>
      </w:r>
      <w:r w:rsidRPr="00D75907">
        <w:rPr>
          <w:rFonts w:ascii="Palatino Linotype" w:hAnsi="Palatino Linotype"/>
          <w:sz w:val="20"/>
          <w:szCs w:val="20"/>
          <w:lang w:val="en-GB"/>
        </w:rPr>
        <w:t xml:space="preserve"> found that the optimal rebalancing frequency for stock–bond portfolios depended on market regimes (e.g., monetary policy </w:t>
      </w:r>
      <w:proofErr w:type="gramStart"/>
      <w:r w:rsidRPr="00D75907">
        <w:rPr>
          <w:rFonts w:ascii="Palatino Linotype" w:hAnsi="Palatino Linotype"/>
          <w:sz w:val="20"/>
          <w:szCs w:val="20"/>
          <w:lang w:val="en-GB"/>
        </w:rPr>
        <w:t>cycles)[</w:t>
      </w:r>
      <w:proofErr w:type="gramEnd"/>
      <w:r w:rsidRPr="00D75907">
        <w:rPr>
          <w:rFonts w:ascii="Palatino Linotype" w:hAnsi="Palatino Linotype"/>
          <w:sz w:val="20"/>
          <w:szCs w:val="20"/>
          <w:lang w:val="en-GB"/>
        </w:rPr>
        <w:t xml:space="preserve">16]. In some regimes, longer rebalancing intervals outperformed shorter ones, partly due to asset return autocorrelations over different </w:t>
      </w:r>
      <w:proofErr w:type="gramStart"/>
      <w:r w:rsidRPr="00D75907">
        <w:rPr>
          <w:rFonts w:ascii="Palatino Linotype" w:hAnsi="Palatino Linotype"/>
          <w:sz w:val="20"/>
          <w:szCs w:val="20"/>
          <w:lang w:val="en-GB"/>
        </w:rPr>
        <w:t>horizons[</w:t>
      </w:r>
      <w:proofErr w:type="gramEnd"/>
      <w:r w:rsidRPr="00D75907">
        <w:rPr>
          <w:rFonts w:ascii="Palatino Linotype" w:hAnsi="Palatino Linotype"/>
          <w:sz w:val="20"/>
          <w:szCs w:val="20"/>
          <w:lang w:val="en-GB"/>
        </w:rPr>
        <w:t>16]. In a continuous</w:t>
      </w:r>
      <w:r w:rsidRPr="00D75907">
        <w:rPr>
          <w:rFonts w:ascii="Palatino Linotype" w:hAnsi="Palatino Linotype"/>
          <w:sz w:val="20"/>
          <w:szCs w:val="20"/>
          <w:lang w:val="en-GB"/>
        </w:rPr>
        <w:noBreakHyphen/>
        <w:t xml:space="preserve">time setting, analytical results showed that continuous rebalancing offers little benefit over periodic rebalancing (e.g., annual) in the absence of transaction </w:t>
      </w:r>
      <w:proofErr w:type="gramStart"/>
      <w:r w:rsidRPr="00D75907">
        <w:rPr>
          <w:rFonts w:ascii="Palatino Linotype" w:hAnsi="Palatino Linotype"/>
          <w:sz w:val="20"/>
          <w:szCs w:val="20"/>
          <w:lang w:val="en-GB"/>
        </w:rPr>
        <w:t>costs[</w:t>
      </w:r>
      <w:proofErr w:type="gramEnd"/>
      <w:r w:rsidRPr="00D75907">
        <w:rPr>
          <w:rFonts w:ascii="Palatino Linotype" w:hAnsi="Palatino Linotype"/>
          <w:sz w:val="20"/>
          <w:szCs w:val="20"/>
          <w:lang w:val="en-GB"/>
        </w:rPr>
        <w:t>17]. More recent studies derived conditions for optimal frequency in log</w:t>
      </w:r>
      <w:r w:rsidRPr="00D75907">
        <w:rPr>
          <w:rFonts w:ascii="Palatino Linotype" w:hAnsi="Palatino Linotype"/>
          <w:sz w:val="20"/>
          <w:szCs w:val="20"/>
          <w:lang w:val="en-GB"/>
        </w:rPr>
        <w:noBreakHyphen/>
        <w:t xml:space="preserve">optimal growth </w:t>
      </w:r>
      <w:proofErr w:type="gramStart"/>
      <w:r w:rsidRPr="00D75907">
        <w:rPr>
          <w:rFonts w:ascii="Palatino Linotype" w:hAnsi="Palatino Linotype"/>
          <w:sz w:val="20"/>
          <w:szCs w:val="20"/>
          <w:lang w:val="en-GB"/>
        </w:rPr>
        <w:t>portfolios[</w:t>
      </w:r>
      <w:proofErr w:type="gramEnd"/>
      <w:r w:rsidRPr="00D75907">
        <w:rPr>
          <w:rFonts w:ascii="Palatino Linotype" w:hAnsi="Palatino Linotype"/>
          <w:sz w:val="20"/>
          <w:szCs w:val="20"/>
          <w:lang w:val="en-GB"/>
        </w:rPr>
        <w:t xml:space="preserve">17]. For example, </w:t>
      </w:r>
      <w:r w:rsidRPr="00D75907">
        <w:rPr>
          <w:rFonts w:ascii="Palatino Linotype" w:hAnsi="Palatino Linotype"/>
          <w:b/>
          <w:bCs/>
          <w:sz w:val="20"/>
          <w:szCs w:val="20"/>
          <w:lang w:val="en-GB"/>
        </w:rPr>
        <w:t xml:space="preserve">Kuhn and </w:t>
      </w:r>
      <w:proofErr w:type="spellStart"/>
      <w:r w:rsidRPr="00D75907">
        <w:rPr>
          <w:rFonts w:ascii="Palatino Linotype" w:hAnsi="Palatino Linotype"/>
          <w:b/>
          <w:bCs/>
          <w:sz w:val="20"/>
          <w:szCs w:val="20"/>
          <w:lang w:val="en-GB"/>
        </w:rPr>
        <w:t>Luenberger</w:t>
      </w:r>
      <w:proofErr w:type="spellEnd"/>
      <w:r w:rsidRPr="00D75907">
        <w:rPr>
          <w:rFonts w:ascii="Palatino Linotype" w:hAnsi="Palatino Linotype"/>
          <w:b/>
          <w:bCs/>
          <w:sz w:val="20"/>
          <w:szCs w:val="20"/>
          <w:lang w:val="en-GB"/>
        </w:rPr>
        <w:t xml:space="preserve"> (2010)</w:t>
      </w:r>
      <w:r w:rsidRPr="00D75907">
        <w:rPr>
          <w:rFonts w:ascii="Palatino Linotype" w:hAnsi="Palatino Linotype"/>
          <w:sz w:val="20"/>
          <w:szCs w:val="20"/>
          <w:lang w:val="en-GB"/>
        </w:rPr>
        <w:t xml:space="preserve"> demonstrated that rebalancing frequency should adjust based on market volatility and transaction cost levels, as continuous rebalancing only slightly improved outcomes over discrete schedules when costs were </w:t>
      </w:r>
      <w:proofErr w:type="gramStart"/>
      <w:r w:rsidRPr="00D75907">
        <w:rPr>
          <w:rFonts w:ascii="Palatino Linotype" w:hAnsi="Palatino Linotype"/>
          <w:sz w:val="20"/>
          <w:szCs w:val="20"/>
          <w:lang w:val="en-GB"/>
        </w:rPr>
        <w:t>negligible[</w:t>
      </w:r>
      <w:proofErr w:type="gramEnd"/>
      <w:r w:rsidRPr="00D75907">
        <w:rPr>
          <w:rFonts w:ascii="Palatino Linotype" w:hAnsi="Palatino Linotype"/>
          <w:sz w:val="20"/>
          <w:szCs w:val="20"/>
          <w:lang w:val="en-GB"/>
        </w:rPr>
        <w:t xml:space="preserve">17]. </w:t>
      </w:r>
      <w:r w:rsidRPr="00D75907">
        <w:rPr>
          <w:rFonts w:ascii="Palatino Linotype" w:hAnsi="Palatino Linotype"/>
          <w:b/>
          <w:bCs/>
          <w:sz w:val="20"/>
          <w:szCs w:val="20"/>
          <w:lang w:val="en-GB"/>
        </w:rPr>
        <w:t>Wong and Hsieh (2023)</w:t>
      </w:r>
      <w:r w:rsidRPr="00D75907">
        <w:rPr>
          <w:rFonts w:ascii="Palatino Linotype" w:hAnsi="Palatino Linotype"/>
          <w:sz w:val="20"/>
          <w:szCs w:val="20"/>
          <w:lang w:val="en-GB"/>
        </w:rPr>
        <w:t xml:space="preserve"> extended this by formulating a concave optimization to jointly determine optimal rebalancing frequency and asset allocation under transaction </w:t>
      </w:r>
      <w:proofErr w:type="gramStart"/>
      <w:r w:rsidRPr="00D75907">
        <w:rPr>
          <w:rFonts w:ascii="Palatino Linotype" w:hAnsi="Palatino Linotype"/>
          <w:sz w:val="20"/>
          <w:szCs w:val="20"/>
          <w:lang w:val="en-GB"/>
        </w:rPr>
        <w:t>costs[</w:t>
      </w:r>
      <w:proofErr w:type="gramEnd"/>
      <w:r w:rsidRPr="00D75907">
        <w:rPr>
          <w:rFonts w:ascii="Palatino Linotype" w:hAnsi="Palatino Linotype"/>
          <w:sz w:val="20"/>
          <w:szCs w:val="20"/>
          <w:lang w:val="en-GB"/>
        </w:rPr>
        <w:t xml:space="preserve">18]. These works highlight that the ideal rebalancing cadence is not fixed but should adapt to market conditions and trading </w:t>
      </w:r>
      <w:proofErr w:type="gramStart"/>
      <w:r w:rsidRPr="00D75907">
        <w:rPr>
          <w:rFonts w:ascii="Palatino Linotype" w:hAnsi="Palatino Linotype"/>
          <w:sz w:val="20"/>
          <w:szCs w:val="20"/>
          <w:lang w:val="en-GB"/>
        </w:rPr>
        <w:t>frictions[</w:t>
      </w:r>
      <w:proofErr w:type="gramEnd"/>
      <w:r w:rsidRPr="00D75907">
        <w:rPr>
          <w:rFonts w:ascii="Palatino Linotype" w:hAnsi="Palatino Linotype"/>
          <w:sz w:val="20"/>
          <w:szCs w:val="20"/>
          <w:lang w:val="en-GB"/>
        </w:rPr>
        <w:t>17][18].</w:t>
      </w:r>
    </w:p>
    <w:p w14:paraId="4085E25A" w14:textId="77777777" w:rsidR="00EB429C" w:rsidRPr="00D75907" w:rsidRDefault="00EB429C" w:rsidP="00EB429C">
      <w:pPr>
        <w:pStyle w:val="BodyText"/>
        <w:rPr>
          <w:rFonts w:ascii="Palatino Linotype" w:hAnsi="Palatino Linotype"/>
          <w:sz w:val="20"/>
          <w:szCs w:val="20"/>
          <w:lang w:val="en-GB"/>
        </w:rPr>
      </w:pPr>
      <w:r w:rsidRPr="00D75907">
        <w:rPr>
          <w:rFonts w:ascii="Palatino Linotype" w:hAnsi="Palatino Linotype"/>
          <w:sz w:val="20"/>
          <w:szCs w:val="20"/>
          <w:lang w:val="en-GB"/>
        </w:rPr>
        <w:t xml:space="preserve">Alongside rebalancing timing, robustness to estimation error is a major concern in portfolio optimization. Small errors in expected return inputs can lead to vastly different mean–variance optimal weights (the “error maximization” problem). To combat this, researchers developed robust optimization approaches that seek solutions performing well across a range of input </w:t>
      </w:r>
      <w:proofErr w:type="gramStart"/>
      <w:r w:rsidRPr="00D75907">
        <w:rPr>
          <w:rFonts w:ascii="Palatino Linotype" w:hAnsi="Palatino Linotype"/>
          <w:sz w:val="20"/>
          <w:szCs w:val="20"/>
          <w:lang w:val="en-GB"/>
        </w:rPr>
        <w:t>assumptions[</w:t>
      </w:r>
      <w:proofErr w:type="gramEnd"/>
      <w:r w:rsidRPr="00D75907">
        <w:rPr>
          <w:rFonts w:ascii="Palatino Linotype" w:hAnsi="Palatino Linotype"/>
          <w:sz w:val="20"/>
          <w:szCs w:val="20"/>
          <w:lang w:val="en-GB"/>
        </w:rPr>
        <w:t xml:space="preserve">19]. For instance, </w:t>
      </w:r>
      <w:r w:rsidRPr="00D75907">
        <w:rPr>
          <w:rFonts w:ascii="Palatino Linotype" w:hAnsi="Palatino Linotype"/>
          <w:b/>
          <w:bCs/>
          <w:sz w:val="20"/>
          <w:szCs w:val="20"/>
          <w:lang w:val="en-GB"/>
        </w:rPr>
        <w:t>Ceria and Stubbs (2006)</w:t>
      </w:r>
      <w:r w:rsidRPr="00D75907">
        <w:rPr>
          <w:rFonts w:ascii="Palatino Linotype" w:hAnsi="Palatino Linotype"/>
          <w:sz w:val="20"/>
          <w:szCs w:val="20"/>
          <w:lang w:val="en-GB"/>
        </w:rPr>
        <w:t xml:space="preserve"> introduced a robust portfolio selection model that minimizes the maximum deviation between an estimated efficient frontier and the true </w:t>
      </w:r>
      <w:proofErr w:type="gramStart"/>
      <w:r w:rsidRPr="00D75907">
        <w:rPr>
          <w:rFonts w:ascii="Palatino Linotype" w:hAnsi="Palatino Linotype"/>
          <w:sz w:val="20"/>
          <w:szCs w:val="20"/>
          <w:lang w:val="en-GB"/>
        </w:rPr>
        <w:t>frontier[</w:t>
      </w:r>
      <w:proofErr w:type="gramEnd"/>
      <w:r w:rsidRPr="00D75907">
        <w:rPr>
          <w:rFonts w:ascii="Palatino Linotype" w:hAnsi="Palatino Linotype"/>
          <w:sz w:val="20"/>
          <w:szCs w:val="20"/>
          <w:lang w:val="en-GB"/>
        </w:rPr>
        <w:t xml:space="preserve">19]. This approach recognizes uncertainty in </w:t>
      </w:r>
      <w:r w:rsidRPr="00D75907">
        <w:rPr>
          <w:rFonts w:ascii="Palatino Linotype" w:hAnsi="Palatino Linotype"/>
          <w:sz w:val="20"/>
          <w:szCs w:val="20"/>
          <w:lang w:val="en-GB"/>
        </w:rPr>
        <w:lastRenderedPageBreak/>
        <w:t xml:space="preserve">the estimates and produces portfolios less sensitive to input perturbations. Others have proposed adding regularization or constraint penalties to the optimization to prevent extreme weights – for example, norm constraints or Bayesian shrinkage on expected </w:t>
      </w:r>
      <w:proofErr w:type="gramStart"/>
      <w:r w:rsidRPr="00D75907">
        <w:rPr>
          <w:rFonts w:ascii="Palatino Linotype" w:hAnsi="Palatino Linotype"/>
          <w:sz w:val="20"/>
          <w:szCs w:val="20"/>
          <w:lang w:val="en-GB"/>
        </w:rPr>
        <w:t>returns[</w:t>
      </w:r>
      <w:proofErr w:type="gramEnd"/>
      <w:r w:rsidRPr="00D75907">
        <w:rPr>
          <w:rFonts w:ascii="Palatino Linotype" w:hAnsi="Palatino Linotype"/>
          <w:sz w:val="20"/>
          <w:szCs w:val="20"/>
          <w:lang w:val="en-GB"/>
        </w:rPr>
        <w:t xml:space="preserve">20]. </w:t>
      </w:r>
      <w:proofErr w:type="spellStart"/>
      <w:r w:rsidRPr="00D75907">
        <w:rPr>
          <w:rFonts w:ascii="Palatino Linotype" w:hAnsi="Palatino Linotype"/>
          <w:b/>
          <w:bCs/>
          <w:sz w:val="20"/>
          <w:szCs w:val="20"/>
          <w:lang w:val="en-GB"/>
        </w:rPr>
        <w:t>Ledoit</w:t>
      </w:r>
      <w:proofErr w:type="spellEnd"/>
      <w:r w:rsidRPr="00D75907">
        <w:rPr>
          <w:rFonts w:ascii="Palatino Linotype" w:hAnsi="Palatino Linotype"/>
          <w:b/>
          <w:bCs/>
          <w:sz w:val="20"/>
          <w:szCs w:val="20"/>
          <w:lang w:val="en-GB"/>
        </w:rPr>
        <w:t xml:space="preserve"> and Wolf’s (2004)</w:t>
      </w:r>
      <w:r w:rsidRPr="00D75907">
        <w:rPr>
          <w:rFonts w:ascii="Palatino Linotype" w:hAnsi="Palatino Linotype"/>
          <w:sz w:val="20"/>
          <w:szCs w:val="20"/>
          <w:lang w:val="en-GB"/>
        </w:rPr>
        <w:t xml:space="preserve"> covariance shrinkage is one successful example that stabilizes the covariance matrix by pulling sample correlations toward a structured target, improving out</w:t>
      </w:r>
      <w:r w:rsidRPr="00D75907">
        <w:rPr>
          <w:rFonts w:ascii="Palatino Linotype" w:hAnsi="Palatino Linotype"/>
          <w:sz w:val="20"/>
          <w:szCs w:val="20"/>
          <w:lang w:val="en-GB"/>
        </w:rPr>
        <w:noBreakHyphen/>
        <w:t>of</w:t>
      </w:r>
      <w:r w:rsidRPr="00D75907">
        <w:rPr>
          <w:rFonts w:ascii="Palatino Linotype" w:hAnsi="Palatino Linotype"/>
          <w:sz w:val="20"/>
          <w:szCs w:val="20"/>
          <w:lang w:val="en-GB"/>
        </w:rPr>
        <w:noBreakHyphen/>
        <w:t xml:space="preserve">sample </w:t>
      </w:r>
      <w:proofErr w:type="gramStart"/>
      <w:r w:rsidRPr="00D75907">
        <w:rPr>
          <w:rFonts w:ascii="Palatino Linotype" w:hAnsi="Palatino Linotype"/>
          <w:sz w:val="20"/>
          <w:szCs w:val="20"/>
          <w:lang w:val="en-GB"/>
        </w:rPr>
        <w:t>performance[</w:t>
      </w:r>
      <w:proofErr w:type="gramEnd"/>
      <w:r w:rsidRPr="00D75907">
        <w:rPr>
          <w:rFonts w:ascii="Palatino Linotype" w:hAnsi="Palatino Linotype"/>
          <w:sz w:val="20"/>
          <w:szCs w:val="20"/>
          <w:lang w:val="en-GB"/>
        </w:rPr>
        <w:t xml:space="preserve">21]. More recently, </w:t>
      </w:r>
      <w:proofErr w:type="spellStart"/>
      <w:r w:rsidRPr="00D75907">
        <w:rPr>
          <w:rFonts w:ascii="Palatino Linotype" w:hAnsi="Palatino Linotype"/>
          <w:b/>
          <w:bCs/>
          <w:sz w:val="20"/>
          <w:szCs w:val="20"/>
          <w:lang w:val="en-GB"/>
        </w:rPr>
        <w:t>Ghahtarani</w:t>
      </w:r>
      <w:proofErr w:type="spellEnd"/>
      <w:r w:rsidRPr="00D75907">
        <w:rPr>
          <w:rFonts w:ascii="Palatino Linotype" w:hAnsi="Palatino Linotype"/>
          <w:b/>
          <w:bCs/>
          <w:sz w:val="20"/>
          <w:szCs w:val="20"/>
          <w:lang w:val="en-GB"/>
        </w:rPr>
        <w:t xml:space="preserve"> et al. (2022)</w:t>
      </w:r>
      <w:r w:rsidRPr="00D75907">
        <w:rPr>
          <w:rFonts w:ascii="Palatino Linotype" w:hAnsi="Palatino Linotype"/>
          <w:sz w:val="20"/>
          <w:szCs w:val="20"/>
          <w:lang w:val="en-GB"/>
        </w:rPr>
        <w:t xml:space="preserve"> provide a comprehensive review of robust portfolio optimization techniques, including worst</w:t>
      </w:r>
      <w:r w:rsidRPr="00D75907">
        <w:rPr>
          <w:rFonts w:ascii="Palatino Linotype" w:hAnsi="Palatino Linotype"/>
          <w:sz w:val="20"/>
          <w:szCs w:val="20"/>
          <w:lang w:val="en-GB"/>
        </w:rPr>
        <w:noBreakHyphen/>
        <w:t>case (min–max) formulations and multi</w:t>
      </w:r>
      <w:r w:rsidRPr="00D75907">
        <w:rPr>
          <w:rFonts w:ascii="Palatino Linotype" w:hAnsi="Palatino Linotype"/>
          <w:sz w:val="20"/>
          <w:szCs w:val="20"/>
          <w:lang w:val="en-GB"/>
        </w:rPr>
        <w:noBreakHyphen/>
        <w:t xml:space="preserve">objective methods that incorporate risk and return </w:t>
      </w:r>
      <w:proofErr w:type="gramStart"/>
      <w:r w:rsidRPr="00D75907">
        <w:rPr>
          <w:rFonts w:ascii="Palatino Linotype" w:hAnsi="Palatino Linotype"/>
          <w:sz w:val="20"/>
          <w:szCs w:val="20"/>
          <w:lang w:val="en-GB"/>
        </w:rPr>
        <w:t>jointly[</w:t>
      </w:r>
      <w:proofErr w:type="gramEnd"/>
      <w:r w:rsidRPr="00D75907">
        <w:rPr>
          <w:rFonts w:ascii="Palatino Linotype" w:hAnsi="Palatino Linotype"/>
          <w:sz w:val="20"/>
          <w:szCs w:val="20"/>
          <w:lang w:val="en-GB"/>
        </w:rPr>
        <w:t>22][23]. Overall, the literature indicates that (</w:t>
      </w:r>
      <w:proofErr w:type="spellStart"/>
      <w:r w:rsidRPr="00D75907">
        <w:rPr>
          <w:rFonts w:ascii="Palatino Linotype" w:hAnsi="Palatino Linotype"/>
          <w:sz w:val="20"/>
          <w:szCs w:val="20"/>
          <w:lang w:val="en-GB"/>
        </w:rPr>
        <w:t>i</w:t>
      </w:r>
      <w:proofErr w:type="spellEnd"/>
      <w:r w:rsidRPr="00D75907">
        <w:rPr>
          <w:rFonts w:ascii="Palatino Linotype" w:hAnsi="Palatino Linotype"/>
          <w:sz w:val="20"/>
          <w:szCs w:val="20"/>
          <w:lang w:val="en-GB"/>
        </w:rPr>
        <w:t>) static portfolios should be periodically re</w:t>
      </w:r>
      <w:r w:rsidRPr="00D75907">
        <w:rPr>
          <w:rFonts w:ascii="Palatino Linotype" w:hAnsi="Palatino Linotype"/>
          <w:sz w:val="20"/>
          <w:szCs w:val="20"/>
          <w:lang w:val="en-GB"/>
        </w:rPr>
        <w:noBreakHyphen/>
        <w:t xml:space="preserve">optimized to respond to regime changes, and (ii) incorporating estimation uncertainty into the optimization (through robust or adaptive methods) yields portfolios that are more stable and perform better out of </w:t>
      </w:r>
      <w:proofErr w:type="gramStart"/>
      <w:r w:rsidRPr="00D75907">
        <w:rPr>
          <w:rFonts w:ascii="Palatino Linotype" w:hAnsi="Palatino Linotype"/>
          <w:sz w:val="20"/>
          <w:szCs w:val="20"/>
          <w:lang w:val="en-GB"/>
        </w:rPr>
        <w:t>sample[</w:t>
      </w:r>
      <w:proofErr w:type="gramEnd"/>
      <w:r w:rsidRPr="00D75907">
        <w:rPr>
          <w:rFonts w:ascii="Palatino Linotype" w:hAnsi="Palatino Linotype"/>
          <w:sz w:val="20"/>
          <w:szCs w:val="20"/>
          <w:lang w:val="en-GB"/>
        </w:rPr>
        <w:t>8][9]. These insights inform our approach by emphasizing dynamic risk–return calibration and the need to endogenize rebalancing decisions in a data</w:t>
      </w:r>
      <w:r w:rsidRPr="00D75907">
        <w:rPr>
          <w:rFonts w:ascii="Palatino Linotype" w:hAnsi="Palatino Linotype"/>
          <w:sz w:val="20"/>
          <w:szCs w:val="20"/>
          <w:lang w:val="en-GB"/>
        </w:rPr>
        <w:noBreakHyphen/>
        <w:t>driven way, while enforcing robustness to model error.</w:t>
      </w:r>
    </w:p>
    <w:p w14:paraId="6B495DBA" w14:textId="77777777" w:rsidR="00EB429C" w:rsidRPr="00D75907" w:rsidRDefault="0094282C" w:rsidP="00EB429C">
      <w:pPr>
        <w:pStyle w:val="BodyText"/>
        <w:rPr>
          <w:rFonts w:ascii="Palatino Linotype" w:hAnsi="Palatino Linotype"/>
          <w:sz w:val="20"/>
          <w:szCs w:val="20"/>
          <w:lang w:val="en-GB"/>
        </w:rPr>
      </w:pPr>
      <w:r>
        <w:rPr>
          <w:rFonts w:ascii="Palatino Linotype" w:hAnsi="Palatino Linotype"/>
          <w:sz w:val="20"/>
          <w:szCs w:val="20"/>
          <w:lang w:val="en-GB"/>
        </w:rPr>
        <w:pict w14:anchorId="13F49883">
          <v:rect id="_x0000_i1026" style="width:0;height:1.5pt" o:hralign="center" o:hrstd="t" o:hr="t" fillcolor="#a0a0a0" stroked="f"/>
        </w:pict>
      </w:r>
    </w:p>
    <w:p w14:paraId="789D89E6" w14:textId="77777777" w:rsidR="00EB429C" w:rsidRPr="00D75907" w:rsidRDefault="00EB429C" w:rsidP="00EB429C">
      <w:pPr>
        <w:pStyle w:val="BodyText"/>
        <w:rPr>
          <w:rFonts w:ascii="Palatino Linotype" w:hAnsi="Palatino Linotype"/>
          <w:b/>
          <w:bCs/>
          <w:sz w:val="20"/>
          <w:szCs w:val="20"/>
          <w:lang w:val="en-GB"/>
        </w:rPr>
      </w:pPr>
      <w:r w:rsidRPr="00D75907">
        <w:rPr>
          <w:rFonts w:ascii="Palatino Linotype" w:hAnsi="Palatino Linotype"/>
          <w:b/>
          <w:bCs/>
          <w:sz w:val="20"/>
          <w:szCs w:val="20"/>
          <w:lang w:val="en-GB"/>
        </w:rPr>
        <w:t>Machine Learning for Return Prediction</w:t>
      </w:r>
    </w:p>
    <w:p w14:paraId="4EC03AF5" w14:textId="38C2F4B6" w:rsidR="00EB429C" w:rsidRPr="00D75907" w:rsidRDefault="00EB429C" w:rsidP="00EB429C">
      <w:pPr>
        <w:pStyle w:val="BodyText"/>
        <w:rPr>
          <w:rFonts w:ascii="Palatino Linotype" w:hAnsi="Palatino Linotype"/>
          <w:sz w:val="20"/>
          <w:szCs w:val="20"/>
          <w:lang w:val="en-GB"/>
        </w:rPr>
      </w:pPr>
      <w:r w:rsidRPr="00D75907">
        <w:rPr>
          <w:rFonts w:ascii="Palatino Linotype" w:hAnsi="Palatino Linotype"/>
          <w:sz w:val="20"/>
          <w:szCs w:val="20"/>
          <w:lang w:val="en-GB"/>
        </w:rPr>
        <w:t xml:space="preserve">The past decade has seen rapid growth in applying machine learning (ML) to asset return prediction and factor </w:t>
      </w:r>
      <w:proofErr w:type="spellStart"/>
      <w:r w:rsidRPr="00D75907">
        <w:rPr>
          <w:rFonts w:ascii="Palatino Linotype" w:hAnsi="Palatino Linotype"/>
          <w:sz w:val="20"/>
          <w:szCs w:val="20"/>
          <w:lang w:val="en-GB"/>
        </w:rPr>
        <w:t>modeling</w:t>
      </w:r>
      <w:proofErr w:type="spellEnd"/>
      <w:r w:rsidRPr="00D75907">
        <w:rPr>
          <w:rFonts w:ascii="Palatino Linotype" w:hAnsi="Palatino Linotype"/>
          <w:sz w:val="20"/>
          <w:szCs w:val="20"/>
          <w:lang w:val="en-GB"/>
        </w:rPr>
        <w:t>. Traditional linear factor models have had mixed success predicting returns out</w:t>
      </w:r>
      <w:r w:rsidRPr="00D75907">
        <w:rPr>
          <w:rFonts w:ascii="Palatino Linotype" w:hAnsi="Palatino Linotype"/>
          <w:sz w:val="20"/>
          <w:szCs w:val="20"/>
          <w:lang w:val="en-GB"/>
        </w:rPr>
        <w:noBreakHyphen/>
        <w:t>of</w:t>
      </w:r>
      <w:r w:rsidRPr="00D75907">
        <w:rPr>
          <w:rFonts w:ascii="Palatino Linotype" w:hAnsi="Palatino Linotype"/>
          <w:sz w:val="20"/>
          <w:szCs w:val="20"/>
          <w:lang w:val="en-GB"/>
        </w:rPr>
        <w:noBreakHyphen/>
      </w:r>
      <w:proofErr w:type="gramStart"/>
      <w:r w:rsidRPr="00D75907">
        <w:rPr>
          <w:rFonts w:ascii="Palatino Linotype" w:hAnsi="Palatino Linotype"/>
          <w:sz w:val="20"/>
          <w:szCs w:val="20"/>
          <w:lang w:val="en-GB"/>
        </w:rPr>
        <w:t>sample[</w:t>
      </w:r>
      <w:proofErr w:type="gramEnd"/>
      <w:r w:rsidRPr="00D75907">
        <w:rPr>
          <w:rFonts w:ascii="Palatino Linotype" w:hAnsi="Palatino Linotype"/>
          <w:sz w:val="20"/>
          <w:szCs w:val="20"/>
          <w:lang w:val="en-GB"/>
        </w:rPr>
        <w:t xml:space="preserve">9]. In contrast, nonlinear ML methods can capture complex patterns and interactions in financial data that elude linear </w:t>
      </w:r>
      <w:proofErr w:type="gramStart"/>
      <w:r w:rsidRPr="00D75907">
        <w:rPr>
          <w:rFonts w:ascii="Palatino Linotype" w:hAnsi="Palatino Linotype"/>
          <w:sz w:val="20"/>
          <w:szCs w:val="20"/>
          <w:lang w:val="en-GB"/>
        </w:rPr>
        <w:t>models[</w:t>
      </w:r>
      <w:proofErr w:type="gramEnd"/>
      <w:r w:rsidRPr="00D75907">
        <w:rPr>
          <w:rFonts w:ascii="Palatino Linotype" w:hAnsi="Palatino Linotype"/>
          <w:sz w:val="20"/>
          <w:szCs w:val="20"/>
          <w:lang w:val="en-GB"/>
        </w:rPr>
        <w:t xml:space="preserve">24]. For example, </w:t>
      </w:r>
      <w:r w:rsidRPr="00D75907">
        <w:rPr>
          <w:rFonts w:ascii="Palatino Linotype" w:hAnsi="Palatino Linotype"/>
          <w:b/>
          <w:bCs/>
          <w:sz w:val="20"/>
          <w:szCs w:val="20"/>
          <w:lang w:val="en-GB"/>
        </w:rPr>
        <w:t>Gu, Kelly, and Xiu (2020)</w:t>
      </w:r>
      <w:r w:rsidRPr="00D75907">
        <w:rPr>
          <w:rFonts w:ascii="Palatino Linotype" w:hAnsi="Palatino Linotype"/>
          <w:sz w:val="20"/>
          <w:szCs w:val="20"/>
          <w:lang w:val="en-GB"/>
        </w:rPr>
        <w:t xml:space="preserve"> showed that tree ensembles and neural networks substantially outperform OLS in predicting U.S. stock returns, roughly doubling out</w:t>
      </w:r>
      <w:r w:rsidRPr="00D75907">
        <w:rPr>
          <w:rFonts w:ascii="Palatino Linotype" w:hAnsi="Palatino Linotype"/>
          <w:sz w:val="20"/>
          <w:szCs w:val="20"/>
          <w:lang w:val="en-GB"/>
        </w:rPr>
        <w:noBreakHyphen/>
        <w:t>of</w:t>
      </w:r>
      <w:r w:rsidRPr="00D75907">
        <w:rPr>
          <w:rFonts w:ascii="Palatino Linotype" w:hAnsi="Palatino Linotype"/>
          <w:sz w:val="20"/>
          <w:szCs w:val="20"/>
          <w:lang w:val="en-GB"/>
        </w:rPr>
        <w:noBreakHyphen/>
        <w:t xml:space="preserve">sample </w:t>
      </w:r>
      <m:oMath>
        <m:sSup>
          <m:sSupPr>
            <m:ctrlPr>
              <w:rPr>
                <w:rFonts w:ascii="Cambria Math" w:hAnsi="Cambria Math"/>
                <w:sz w:val="20"/>
                <w:szCs w:val="20"/>
                <w:lang w:val="en-GB"/>
              </w:rPr>
            </m:ctrlPr>
          </m:sSupPr>
          <m:e>
            <m:r>
              <w:rPr>
                <w:rFonts w:ascii="Cambria Math" w:hAnsi="Cambria Math"/>
                <w:sz w:val="20"/>
                <w:szCs w:val="20"/>
                <w:lang w:val="en-GB"/>
              </w:rPr>
              <m:t>R</m:t>
            </m:r>
          </m:e>
          <m:sup>
            <m:r>
              <w:rPr>
                <w:rFonts w:ascii="Cambria Math" w:hAnsi="Cambria Math"/>
                <w:sz w:val="20"/>
                <w:szCs w:val="20"/>
                <w:lang w:val="en-GB"/>
              </w:rPr>
              <m:t>2</m:t>
            </m:r>
          </m:sup>
        </m:sSup>
      </m:oMath>
      <w:r w:rsidRPr="00D75907">
        <w:rPr>
          <w:rFonts w:ascii="Palatino Linotype" w:hAnsi="Palatino Linotype"/>
          <w:sz w:val="20"/>
          <w:szCs w:val="20"/>
          <w:lang w:val="en-GB"/>
        </w:rPr>
        <w:t xml:space="preserve">by exploiting nonlinear effects among firm </w:t>
      </w:r>
      <w:proofErr w:type="gramStart"/>
      <w:r w:rsidRPr="00D75907">
        <w:rPr>
          <w:rFonts w:ascii="Palatino Linotype" w:hAnsi="Palatino Linotype"/>
          <w:sz w:val="20"/>
          <w:szCs w:val="20"/>
          <w:lang w:val="en-GB"/>
        </w:rPr>
        <w:t>characteristics[</w:t>
      </w:r>
      <w:proofErr w:type="gramEnd"/>
      <w:r w:rsidRPr="00D75907">
        <w:rPr>
          <w:rFonts w:ascii="Palatino Linotype" w:hAnsi="Palatino Linotype"/>
          <w:sz w:val="20"/>
          <w:szCs w:val="20"/>
          <w:lang w:val="en-GB"/>
        </w:rPr>
        <w:t xml:space="preserve">25]. Similarly, </w:t>
      </w:r>
      <w:r w:rsidRPr="00D75907">
        <w:rPr>
          <w:rFonts w:ascii="Palatino Linotype" w:hAnsi="Palatino Linotype"/>
          <w:b/>
          <w:bCs/>
          <w:sz w:val="20"/>
          <w:szCs w:val="20"/>
          <w:lang w:val="en-GB"/>
        </w:rPr>
        <w:t>Fischer and Krauss (2018)</w:t>
      </w:r>
      <w:r w:rsidRPr="00D75907">
        <w:rPr>
          <w:rFonts w:ascii="Palatino Linotype" w:hAnsi="Palatino Linotype"/>
          <w:sz w:val="20"/>
          <w:szCs w:val="20"/>
          <w:lang w:val="en-GB"/>
        </w:rPr>
        <w:t xml:space="preserve"> found that Long Short</w:t>
      </w:r>
      <w:r w:rsidRPr="00D75907">
        <w:rPr>
          <w:rFonts w:ascii="Palatino Linotype" w:hAnsi="Palatino Linotype"/>
          <w:sz w:val="20"/>
          <w:szCs w:val="20"/>
          <w:lang w:val="en-GB"/>
        </w:rPr>
        <w:noBreakHyphen/>
        <w:t>Term Memory (LSTM) networks could predict short</w:t>
      </w:r>
      <w:r w:rsidRPr="00D75907">
        <w:rPr>
          <w:rFonts w:ascii="Palatino Linotype" w:hAnsi="Palatino Linotype"/>
          <w:sz w:val="20"/>
          <w:szCs w:val="20"/>
          <w:lang w:val="en-GB"/>
        </w:rPr>
        <w:noBreakHyphen/>
        <w:t xml:space="preserve">term stock movements with greater accuracy, yielding significantly higher Sharpe ratios in a trading strategy on S&amp;P 500 </w:t>
      </w:r>
      <w:proofErr w:type="gramStart"/>
      <w:r w:rsidRPr="00D75907">
        <w:rPr>
          <w:rFonts w:ascii="Palatino Linotype" w:hAnsi="Palatino Linotype"/>
          <w:sz w:val="20"/>
          <w:szCs w:val="20"/>
          <w:lang w:val="en-GB"/>
        </w:rPr>
        <w:t>stocks[</w:t>
      </w:r>
      <w:proofErr w:type="gramEnd"/>
      <w:r w:rsidRPr="00D75907">
        <w:rPr>
          <w:rFonts w:ascii="Palatino Linotype" w:hAnsi="Palatino Linotype"/>
          <w:sz w:val="20"/>
          <w:szCs w:val="20"/>
          <w:lang w:val="en-GB"/>
        </w:rPr>
        <w:t xml:space="preserve">26]. These studies demonstrate the promise of ML in extracting return signals from large, noisy data. Techniques like random forests and gradient boosted trees excel at uncovering important predictors from many candidates, even when only a few features have true predictive </w:t>
      </w:r>
      <w:proofErr w:type="gramStart"/>
      <w:r w:rsidRPr="00D75907">
        <w:rPr>
          <w:rFonts w:ascii="Palatino Linotype" w:hAnsi="Palatino Linotype"/>
          <w:sz w:val="20"/>
          <w:szCs w:val="20"/>
          <w:lang w:val="en-GB"/>
        </w:rPr>
        <w:t>power[</w:t>
      </w:r>
      <w:proofErr w:type="gramEnd"/>
      <w:r w:rsidRPr="00D75907">
        <w:rPr>
          <w:rFonts w:ascii="Palatino Linotype" w:hAnsi="Palatino Linotype"/>
          <w:sz w:val="20"/>
          <w:szCs w:val="20"/>
          <w:lang w:val="en-GB"/>
        </w:rPr>
        <w:t xml:space="preserve">27]. Indeed, studies find that among hundreds of characteristics, a small subset drives most predictability – consistent with ML algorithms’ ability to perform automatic variable </w:t>
      </w:r>
      <w:proofErr w:type="gramStart"/>
      <w:r w:rsidRPr="00D75907">
        <w:rPr>
          <w:rFonts w:ascii="Palatino Linotype" w:hAnsi="Palatino Linotype"/>
          <w:sz w:val="20"/>
          <w:szCs w:val="20"/>
          <w:lang w:val="en-GB"/>
        </w:rPr>
        <w:t>selection[</w:t>
      </w:r>
      <w:proofErr w:type="gramEnd"/>
      <w:r w:rsidRPr="00D75907">
        <w:rPr>
          <w:rFonts w:ascii="Palatino Linotype" w:hAnsi="Palatino Linotype"/>
          <w:sz w:val="20"/>
          <w:szCs w:val="20"/>
          <w:lang w:val="en-GB"/>
        </w:rPr>
        <w:t>28][29].</w:t>
      </w:r>
    </w:p>
    <w:p w14:paraId="3FA2B354" w14:textId="77777777" w:rsidR="00EB429C" w:rsidRPr="00D75907" w:rsidRDefault="00EB429C" w:rsidP="00EB429C">
      <w:pPr>
        <w:pStyle w:val="BodyText"/>
        <w:rPr>
          <w:rFonts w:ascii="Palatino Linotype" w:hAnsi="Palatino Linotype"/>
          <w:sz w:val="20"/>
          <w:szCs w:val="20"/>
          <w:lang w:val="en-GB"/>
        </w:rPr>
      </w:pPr>
      <w:r w:rsidRPr="00D75907">
        <w:rPr>
          <w:rFonts w:ascii="Palatino Linotype" w:hAnsi="Palatino Linotype"/>
          <w:sz w:val="20"/>
          <w:szCs w:val="20"/>
          <w:lang w:val="en-GB"/>
        </w:rPr>
        <w:t xml:space="preserve">A challenge with complex ML models is preserving interpretability and economic meaning. There is a growing body of work on “interpretable ML” for asset pricing. </w:t>
      </w:r>
      <w:r w:rsidRPr="00D75907">
        <w:rPr>
          <w:rFonts w:ascii="Palatino Linotype" w:hAnsi="Palatino Linotype"/>
          <w:b/>
          <w:bCs/>
          <w:sz w:val="20"/>
          <w:szCs w:val="20"/>
          <w:lang w:val="en-GB"/>
        </w:rPr>
        <w:t>Feng et al. (2024)</w:t>
      </w:r>
      <w:r w:rsidRPr="00D75907">
        <w:rPr>
          <w:rFonts w:ascii="Palatino Linotype" w:hAnsi="Palatino Linotype"/>
          <w:sz w:val="20"/>
          <w:szCs w:val="20"/>
          <w:lang w:val="en-GB"/>
        </w:rPr>
        <w:t xml:space="preserve"> train deep neural nets on characteristic</w:t>
      </w:r>
      <w:r w:rsidRPr="00D75907">
        <w:rPr>
          <w:rFonts w:ascii="Palatino Linotype" w:hAnsi="Palatino Linotype"/>
          <w:sz w:val="20"/>
          <w:szCs w:val="20"/>
          <w:lang w:val="en-GB"/>
        </w:rPr>
        <w:noBreakHyphen/>
        <w:t xml:space="preserve">sorted portfolios with an economic </w:t>
      </w:r>
      <w:proofErr w:type="gramStart"/>
      <w:r w:rsidRPr="00D75907">
        <w:rPr>
          <w:rFonts w:ascii="Palatino Linotype" w:hAnsi="Palatino Linotype"/>
          <w:sz w:val="20"/>
          <w:szCs w:val="20"/>
          <w:lang w:val="en-GB"/>
        </w:rPr>
        <w:t>objective, but</w:t>
      </w:r>
      <w:proofErr w:type="gramEnd"/>
      <w:r w:rsidRPr="00D75907">
        <w:rPr>
          <w:rFonts w:ascii="Palatino Linotype" w:hAnsi="Palatino Linotype"/>
          <w:sz w:val="20"/>
          <w:szCs w:val="20"/>
          <w:lang w:val="en-GB"/>
        </w:rPr>
        <w:t xml:space="preserve"> then interpret the learned factors in terms of traditional finance </w:t>
      </w:r>
      <w:proofErr w:type="gramStart"/>
      <w:r w:rsidRPr="00D75907">
        <w:rPr>
          <w:rFonts w:ascii="Palatino Linotype" w:hAnsi="Palatino Linotype"/>
          <w:sz w:val="20"/>
          <w:szCs w:val="20"/>
          <w:lang w:val="en-GB"/>
        </w:rPr>
        <w:t>concepts[</w:t>
      </w:r>
      <w:proofErr w:type="gramEnd"/>
      <w:r w:rsidRPr="00D75907">
        <w:rPr>
          <w:rFonts w:ascii="Palatino Linotype" w:hAnsi="Palatino Linotype"/>
          <w:sz w:val="20"/>
          <w:szCs w:val="20"/>
          <w:lang w:val="en-GB"/>
        </w:rPr>
        <w:t xml:space="preserve">30]. </w:t>
      </w:r>
      <w:proofErr w:type="spellStart"/>
      <w:r w:rsidRPr="00D75907">
        <w:rPr>
          <w:rFonts w:ascii="Palatino Linotype" w:hAnsi="Palatino Linotype"/>
          <w:b/>
          <w:bCs/>
          <w:sz w:val="20"/>
          <w:szCs w:val="20"/>
          <w:lang w:val="en-GB"/>
        </w:rPr>
        <w:t>Kapetanios</w:t>
      </w:r>
      <w:proofErr w:type="spellEnd"/>
      <w:r w:rsidRPr="00D75907">
        <w:rPr>
          <w:rFonts w:ascii="Palatino Linotype" w:hAnsi="Palatino Linotype"/>
          <w:b/>
          <w:bCs/>
          <w:sz w:val="20"/>
          <w:szCs w:val="20"/>
          <w:lang w:val="en-GB"/>
        </w:rPr>
        <w:t xml:space="preserve"> et al. (2013/2023)</w:t>
      </w:r>
      <w:r w:rsidRPr="00D75907">
        <w:rPr>
          <w:rFonts w:ascii="Palatino Linotype" w:hAnsi="Palatino Linotype"/>
          <w:sz w:val="20"/>
          <w:szCs w:val="20"/>
          <w:lang w:val="en-GB"/>
        </w:rPr>
        <w:t xml:space="preserve"> impose penalties to discourage sensitivity to any single input, so their neural network’s predictions can be explained by a sparse set of factor </w:t>
      </w:r>
      <w:proofErr w:type="gramStart"/>
      <w:r w:rsidRPr="00D75907">
        <w:rPr>
          <w:rFonts w:ascii="Palatino Linotype" w:hAnsi="Palatino Linotype"/>
          <w:sz w:val="20"/>
          <w:szCs w:val="20"/>
          <w:lang w:val="en-GB"/>
        </w:rPr>
        <w:t>loadings[</w:t>
      </w:r>
      <w:proofErr w:type="gramEnd"/>
      <w:r w:rsidRPr="00D75907">
        <w:rPr>
          <w:rFonts w:ascii="Palatino Linotype" w:hAnsi="Palatino Linotype"/>
          <w:sz w:val="20"/>
          <w:szCs w:val="20"/>
          <w:lang w:val="en-GB"/>
        </w:rPr>
        <w:t>31]. These approaches strive to combine the flexibility of ML with the clarity of classic factor models. In our work, we follow a similar spirit by using gradient boosted trees (</w:t>
      </w:r>
      <w:proofErr w:type="spellStart"/>
      <w:r w:rsidRPr="00D75907">
        <w:rPr>
          <w:rFonts w:ascii="Palatino Linotype" w:hAnsi="Palatino Linotype"/>
          <w:sz w:val="20"/>
          <w:szCs w:val="20"/>
          <w:lang w:val="en-GB"/>
        </w:rPr>
        <w:t>XGBoost</w:t>
      </w:r>
      <w:proofErr w:type="spellEnd"/>
      <w:r w:rsidRPr="00D75907">
        <w:rPr>
          <w:rFonts w:ascii="Palatino Linotype" w:hAnsi="Palatino Linotype"/>
          <w:sz w:val="20"/>
          <w:szCs w:val="20"/>
          <w:lang w:val="en-GB"/>
        </w:rPr>
        <w:t xml:space="preserve">) to predict returns, which can capture nonlinear relationships, and then extracting feature importance with </w:t>
      </w:r>
      <w:r w:rsidRPr="00D75907">
        <w:rPr>
          <w:rFonts w:ascii="Palatino Linotype" w:hAnsi="Palatino Linotype"/>
          <w:b/>
          <w:bCs/>
          <w:sz w:val="20"/>
          <w:szCs w:val="20"/>
          <w:lang w:val="en-GB"/>
        </w:rPr>
        <w:t>SHAP</w:t>
      </w:r>
      <w:r w:rsidRPr="00D75907">
        <w:rPr>
          <w:rFonts w:ascii="Palatino Linotype" w:hAnsi="Palatino Linotype"/>
          <w:sz w:val="20"/>
          <w:szCs w:val="20"/>
          <w:lang w:val="en-GB"/>
        </w:rPr>
        <w:t xml:space="preserve"> values to retain a layer of </w:t>
      </w:r>
      <w:proofErr w:type="gramStart"/>
      <w:r w:rsidRPr="00D75907">
        <w:rPr>
          <w:rFonts w:ascii="Palatino Linotype" w:hAnsi="Palatino Linotype"/>
          <w:sz w:val="20"/>
          <w:szCs w:val="20"/>
          <w:lang w:val="en-GB"/>
        </w:rPr>
        <w:t>interpretability[</w:t>
      </w:r>
      <w:proofErr w:type="gramEnd"/>
      <w:r w:rsidRPr="00D75907">
        <w:rPr>
          <w:rFonts w:ascii="Palatino Linotype" w:hAnsi="Palatino Linotype"/>
          <w:sz w:val="20"/>
          <w:szCs w:val="20"/>
          <w:lang w:val="en-GB"/>
        </w:rPr>
        <w:t>32][33]. In summary, ML techniques can significantly improve return forecasting by detecting complex, dynamic patterns (e.g., nonlinear interactions, regime</w:t>
      </w:r>
      <w:r w:rsidRPr="00D75907">
        <w:rPr>
          <w:rFonts w:ascii="Palatino Linotype" w:hAnsi="Palatino Linotype"/>
          <w:sz w:val="20"/>
          <w:szCs w:val="20"/>
          <w:lang w:val="en-GB"/>
        </w:rPr>
        <w:noBreakHyphen/>
        <w:t xml:space="preserve">dependent effects) that static models </w:t>
      </w:r>
      <w:proofErr w:type="gramStart"/>
      <w:r w:rsidRPr="00D75907">
        <w:rPr>
          <w:rFonts w:ascii="Palatino Linotype" w:hAnsi="Palatino Linotype"/>
          <w:sz w:val="20"/>
          <w:szCs w:val="20"/>
          <w:lang w:val="en-GB"/>
        </w:rPr>
        <w:t>miss[</w:t>
      </w:r>
      <w:proofErr w:type="gramEnd"/>
      <w:r w:rsidRPr="00D75907">
        <w:rPr>
          <w:rFonts w:ascii="Palatino Linotype" w:hAnsi="Palatino Linotype"/>
          <w:sz w:val="20"/>
          <w:szCs w:val="20"/>
          <w:lang w:val="en-GB"/>
        </w:rPr>
        <w:t xml:space="preserve">25]. By coupling these techniques with interpretability tools, one can build predictive models that not only provide better signals but also offer explanations linked to economic drivers (e.g., “momentum” vs. “value” </w:t>
      </w:r>
      <w:proofErr w:type="gramStart"/>
      <w:r w:rsidRPr="00D75907">
        <w:rPr>
          <w:rFonts w:ascii="Palatino Linotype" w:hAnsi="Palatino Linotype"/>
          <w:sz w:val="20"/>
          <w:szCs w:val="20"/>
          <w:lang w:val="en-GB"/>
        </w:rPr>
        <w:t>contributions)[</w:t>
      </w:r>
      <w:proofErr w:type="gramEnd"/>
      <w:r w:rsidRPr="00D75907">
        <w:rPr>
          <w:rFonts w:ascii="Palatino Linotype" w:hAnsi="Palatino Linotype"/>
          <w:sz w:val="20"/>
          <w:szCs w:val="20"/>
          <w:lang w:val="en-GB"/>
        </w:rPr>
        <w:t xml:space="preserve">32][30]. These advances form the basis for the </w:t>
      </w:r>
      <w:r w:rsidRPr="00D75907">
        <w:rPr>
          <w:rFonts w:ascii="Palatino Linotype" w:hAnsi="Palatino Linotype"/>
          <w:b/>
          <w:bCs/>
          <w:sz w:val="20"/>
          <w:szCs w:val="20"/>
          <w:lang w:val="en-GB"/>
        </w:rPr>
        <w:t>signal generation</w:t>
      </w:r>
      <w:r w:rsidRPr="00D75907">
        <w:rPr>
          <w:rFonts w:ascii="Palatino Linotype" w:hAnsi="Palatino Linotype"/>
          <w:sz w:val="20"/>
          <w:szCs w:val="20"/>
          <w:lang w:val="en-GB"/>
        </w:rPr>
        <w:t xml:space="preserve"> stage in our framework, where a learned model produces return predictions accompanied by factor attributions.</w:t>
      </w:r>
    </w:p>
    <w:p w14:paraId="5FC66DB0" w14:textId="77777777" w:rsidR="00EB429C" w:rsidRPr="00D75907" w:rsidRDefault="0094282C" w:rsidP="00EB429C">
      <w:pPr>
        <w:pStyle w:val="BodyText"/>
        <w:rPr>
          <w:rFonts w:ascii="Palatino Linotype" w:hAnsi="Palatino Linotype"/>
          <w:sz w:val="20"/>
          <w:szCs w:val="20"/>
          <w:lang w:val="en-GB"/>
        </w:rPr>
      </w:pPr>
      <w:r>
        <w:rPr>
          <w:rFonts w:ascii="Palatino Linotype" w:hAnsi="Palatino Linotype"/>
          <w:sz w:val="20"/>
          <w:szCs w:val="20"/>
          <w:lang w:val="en-GB"/>
        </w:rPr>
        <w:pict w14:anchorId="298B93A9">
          <v:rect id="_x0000_i1027" style="width:0;height:1.5pt" o:hralign="center" o:hrstd="t" o:hr="t" fillcolor="#a0a0a0" stroked="f"/>
        </w:pict>
      </w:r>
    </w:p>
    <w:p w14:paraId="5A6AE06A" w14:textId="77777777" w:rsidR="00EB429C" w:rsidRPr="00D75907" w:rsidRDefault="00EB429C" w:rsidP="00EB429C">
      <w:pPr>
        <w:pStyle w:val="BodyText"/>
        <w:rPr>
          <w:rFonts w:ascii="Palatino Linotype" w:hAnsi="Palatino Linotype"/>
          <w:b/>
          <w:bCs/>
          <w:sz w:val="20"/>
          <w:szCs w:val="20"/>
          <w:lang w:val="en-GB"/>
        </w:rPr>
      </w:pPr>
      <w:r w:rsidRPr="00D75907">
        <w:rPr>
          <w:rFonts w:ascii="Palatino Linotype" w:hAnsi="Palatino Linotype"/>
          <w:b/>
          <w:bCs/>
          <w:sz w:val="20"/>
          <w:szCs w:val="20"/>
          <w:lang w:val="en-GB"/>
        </w:rPr>
        <w:lastRenderedPageBreak/>
        <w:t>Deep Reinforcement Learning in Finance</w:t>
      </w:r>
    </w:p>
    <w:p w14:paraId="5130166D" w14:textId="77777777" w:rsidR="00EB429C" w:rsidRPr="00D75907" w:rsidRDefault="00EB429C" w:rsidP="00EB429C">
      <w:pPr>
        <w:pStyle w:val="BodyText"/>
        <w:rPr>
          <w:rFonts w:ascii="Palatino Linotype" w:hAnsi="Palatino Linotype"/>
          <w:sz w:val="20"/>
          <w:szCs w:val="20"/>
          <w:lang w:val="en-GB"/>
        </w:rPr>
      </w:pPr>
      <w:r w:rsidRPr="00D75907">
        <w:rPr>
          <w:rFonts w:ascii="Palatino Linotype" w:hAnsi="Palatino Linotype"/>
          <w:sz w:val="20"/>
          <w:szCs w:val="20"/>
          <w:lang w:val="en-GB"/>
        </w:rPr>
        <w:t xml:space="preserve">Building on improved predictive </w:t>
      </w:r>
      <w:proofErr w:type="spellStart"/>
      <w:r w:rsidRPr="00D75907">
        <w:rPr>
          <w:rFonts w:ascii="Palatino Linotype" w:hAnsi="Palatino Linotype"/>
          <w:sz w:val="20"/>
          <w:szCs w:val="20"/>
          <w:lang w:val="en-GB"/>
        </w:rPr>
        <w:t>modeling</w:t>
      </w:r>
      <w:proofErr w:type="spellEnd"/>
      <w:r w:rsidRPr="00D75907">
        <w:rPr>
          <w:rFonts w:ascii="Palatino Linotype" w:hAnsi="Palatino Linotype"/>
          <w:sz w:val="20"/>
          <w:szCs w:val="20"/>
          <w:lang w:val="en-GB"/>
        </w:rPr>
        <w:t>, researchers have increasingly turned to reinforcement learning (RL) – and specifically deep reinforcement learning (DRL) – for sequential decision</w:t>
      </w:r>
      <w:r w:rsidRPr="00D75907">
        <w:rPr>
          <w:rFonts w:ascii="Palatino Linotype" w:hAnsi="Palatino Linotype"/>
          <w:sz w:val="20"/>
          <w:szCs w:val="20"/>
          <w:lang w:val="en-GB"/>
        </w:rPr>
        <w:noBreakHyphen/>
        <w:t>making in finance. Unlike supervised learning, RL directly optimizes decision strategies for objectives like long</w:t>
      </w:r>
      <w:r w:rsidRPr="00D75907">
        <w:rPr>
          <w:rFonts w:ascii="Palatino Linotype" w:hAnsi="Palatino Linotype"/>
          <w:sz w:val="20"/>
          <w:szCs w:val="20"/>
          <w:lang w:val="en-GB"/>
        </w:rPr>
        <w:noBreakHyphen/>
        <w:t>term return or risk</w:t>
      </w:r>
      <w:r w:rsidRPr="00D75907">
        <w:rPr>
          <w:rFonts w:ascii="Palatino Linotype" w:hAnsi="Palatino Linotype"/>
          <w:sz w:val="20"/>
          <w:szCs w:val="20"/>
          <w:lang w:val="en-GB"/>
        </w:rPr>
        <w:noBreakHyphen/>
        <w:t xml:space="preserve">adjusted return. Early work by </w:t>
      </w:r>
      <w:r w:rsidRPr="00D75907">
        <w:rPr>
          <w:rFonts w:ascii="Palatino Linotype" w:hAnsi="Palatino Linotype"/>
          <w:b/>
          <w:bCs/>
          <w:sz w:val="20"/>
          <w:szCs w:val="20"/>
          <w:lang w:val="en-GB"/>
        </w:rPr>
        <w:t>Moody et al. (1998)</w:t>
      </w:r>
      <w:r w:rsidRPr="00D75907">
        <w:rPr>
          <w:rFonts w:ascii="Palatino Linotype" w:hAnsi="Palatino Linotype"/>
          <w:sz w:val="20"/>
          <w:szCs w:val="20"/>
          <w:lang w:val="en-GB"/>
        </w:rPr>
        <w:t xml:space="preserve"> pioneered this approach by training trading systems to maximize a performance objective (such as the Sharpe ratio) rather than minimize prediction </w:t>
      </w:r>
      <w:proofErr w:type="gramStart"/>
      <w:r w:rsidRPr="00D75907">
        <w:rPr>
          <w:rFonts w:ascii="Palatino Linotype" w:hAnsi="Palatino Linotype"/>
          <w:sz w:val="20"/>
          <w:szCs w:val="20"/>
          <w:lang w:val="en-GB"/>
        </w:rPr>
        <w:t>error[</w:t>
      </w:r>
      <w:proofErr w:type="gramEnd"/>
      <w:r w:rsidRPr="00D75907">
        <w:rPr>
          <w:rFonts w:ascii="Palatino Linotype" w:hAnsi="Palatino Linotype"/>
          <w:sz w:val="20"/>
          <w:szCs w:val="20"/>
          <w:lang w:val="en-GB"/>
        </w:rPr>
        <w:t xml:space="preserve">34]. This “direct reinforcement” idea demonstrated that an agent could learn trading rules that react to market data and maximize profitability </w:t>
      </w:r>
      <w:proofErr w:type="gramStart"/>
      <w:r w:rsidRPr="00D75907">
        <w:rPr>
          <w:rFonts w:ascii="Palatino Linotype" w:hAnsi="Palatino Linotype"/>
          <w:sz w:val="20"/>
          <w:szCs w:val="20"/>
          <w:lang w:val="en-GB"/>
        </w:rPr>
        <w:t>metrics[</w:t>
      </w:r>
      <w:proofErr w:type="gramEnd"/>
      <w:r w:rsidRPr="00D75907">
        <w:rPr>
          <w:rFonts w:ascii="Palatino Linotype" w:hAnsi="Palatino Linotype"/>
          <w:sz w:val="20"/>
          <w:szCs w:val="20"/>
          <w:lang w:val="en-GB"/>
        </w:rPr>
        <w:t xml:space="preserve">34]. </w:t>
      </w:r>
      <w:r w:rsidRPr="00D75907">
        <w:rPr>
          <w:rFonts w:ascii="Palatino Linotype" w:hAnsi="Palatino Linotype"/>
          <w:b/>
          <w:bCs/>
          <w:sz w:val="20"/>
          <w:szCs w:val="20"/>
          <w:lang w:val="en-GB"/>
        </w:rPr>
        <w:t>Almahdi and Yang (2017)</w:t>
      </w:r>
      <w:r w:rsidRPr="00D75907">
        <w:rPr>
          <w:rFonts w:ascii="Palatino Linotype" w:hAnsi="Palatino Linotype"/>
          <w:sz w:val="20"/>
          <w:szCs w:val="20"/>
          <w:lang w:val="en-GB"/>
        </w:rPr>
        <w:t xml:space="preserve"> applied a recurrent RL algorithm to manage a portfolio and explicitly maximize the Sharpe ratio, finding that the risk</w:t>
      </w:r>
      <w:r w:rsidRPr="00D75907">
        <w:rPr>
          <w:rFonts w:ascii="Palatino Linotype" w:hAnsi="Palatino Linotype"/>
          <w:sz w:val="20"/>
          <w:szCs w:val="20"/>
          <w:lang w:val="en-GB"/>
        </w:rPr>
        <w:noBreakHyphen/>
        <w:t xml:space="preserve">adjusted objective yielded more stable performance than optimizing returns </w:t>
      </w:r>
      <w:proofErr w:type="gramStart"/>
      <w:r w:rsidRPr="00D75907">
        <w:rPr>
          <w:rFonts w:ascii="Palatino Linotype" w:hAnsi="Palatino Linotype"/>
          <w:sz w:val="20"/>
          <w:szCs w:val="20"/>
          <w:lang w:val="en-GB"/>
        </w:rPr>
        <w:t>alone[</w:t>
      </w:r>
      <w:proofErr w:type="gramEnd"/>
      <w:r w:rsidRPr="00D75907">
        <w:rPr>
          <w:rFonts w:ascii="Palatino Linotype" w:hAnsi="Palatino Linotype"/>
          <w:sz w:val="20"/>
          <w:szCs w:val="20"/>
          <w:lang w:val="en-GB"/>
        </w:rPr>
        <w:t>35]. These studies introduced RL as a viable approach to dynamic portfolio management, especially when the objective is not just returns but a trade</w:t>
      </w:r>
      <w:r w:rsidRPr="00D75907">
        <w:rPr>
          <w:rFonts w:ascii="Palatino Linotype" w:hAnsi="Palatino Linotype"/>
          <w:sz w:val="20"/>
          <w:szCs w:val="20"/>
          <w:lang w:val="en-GB"/>
        </w:rPr>
        <w:noBreakHyphen/>
        <w:t>off with risk.</w:t>
      </w:r>
    </w:p>
    <w:p w14:paraId="3CD93E39" w14:textId="77777777" w:rsidR="00EB429C" w:rsidRPr="00D75907" w:rsidRDefault="00EB429C" w:rsidP="00EB429C">
      <w:pPr>
        <w:pStyle w:val="BodyText"/>
        <w:rPr>
          <w:rFonts w:ascii="Palatino Linotype" w:hAnsi="Palatino Linotype"/>
          <w:sz w:val="20"/>
          <w:szCs w:val="20"/>
          <w:lang w:val="en-GB"/>
        </w:rPr>
      </w:pPr>
      <w:r w:rsidRPr="00D75907">
        <w:rPr>
          <w:rFonts w:ascii="Palatino Linotype" w:hAnsi="Palatino Linotype"/>
          <w:sz w:val="20"/>
          <w:szCs w:val="20"/>
          <w:lang w:val="en-GB"/>
        </w:rPr>
        <w:t>The advent of deep learning greatly expanded RL’s capabilities by allowing agents to handle high</w:t>
      </w:r>
      <w:r w:rsidRPr="00D75907">
        <w:rPr>
          <w:rFonts w:ascii="Palatino Linotype" w:hAnsi="Palatino Linotype"/>
          <w:sz w:val="20"/>
          <w:szCs w:val="20"/>
          <w:lang w:val="en-GB"/>
        </w:rPr>
        <w:noBreakHyphen/>
        <w:t xml:space="preserve">dimensional state information (e.g., many assets, technical indicators) and learn complex policies. One of the first deep RL frameworks for portfolio management was by </w:t>
      </w:r>
      <w:r w:rsidRPr="00D75907">
        <w:rPr>
          <w:rFonts w:ascii="Palatino Linotype" w:hAnsi="Palatino Linotype"/>
          <w:b/>
          <w:bCs/>
          <w:sz w:val="20"/>
          <w:szCs w:val="20"/>
          <w:lang w:val="en-GB"/>
        </w:rPr>
        <w:t>Jiang et al. (2017)</w:t>
      </w:r>
      <w:r w:rsidRPr="00D75907">
        <w:rPr>
          <w:rFonts w:ascii="Palatino Linotype" w:hAnsi="Palatino Linotype"/>
          <w:sz w:val="20"/>
          <w:szCs w:val="20"/>
          <w:lang w:val="en-GB"/>
        </w:rPr>
        <w:t xml:space="preserve">, who designed a neural policy (with CNN and RNN layers) to allocate among </w:t>
      </w:r>
      <w:proofErr w:type="gramStart"/>
      <w:r w:rsidRPr="00D75907">
        <w:rPr>
          <w:rFonts w:ascii="Palatino Linotype" w:hAnsi="Palatino Linotype"/>
          <w:sz w:val="20"/>
          <w:szCs w:val="20"/>
          <w:lang w:val="en-GB"/>
        </w:rPr>
        <w:t>cryptocurrencies[</w:t>
      </w:r>
      <w:proofErr w:type="gramEnd"/>
      <w:r w:rsidRPr="00D75907">
        <w:rPr>
          <w:rFonts w:ascii="Palatino Linotype" w:hAnsi="Palatino Linotype"/>
          <w:sz w:val="20"/>
          <w:szCs w:val="20"/>
          <w:lang w:val="en-GB"/>
        </w:rPr>
        <w:t>36]. The DRL agent learned to significantly outperform market benchmarks, achieving several</w:t>
      </w:r>
      <w:r w:rsidRPr="00D75907">
        <w:rPr>
          <w:rFonts w:ascii="Palatino Linotype" w:hAnsi="Palatino Linotype"/>
          <w:sz w:val="20"/>
          <w:szCs w:val="20"/>
          <w:lang w:val="en-GB"/>
        </w:rPr>
        <w:noBreakHyphen/>
        <w:t xml:space="preserve">fold portfolio growth in </w:t>
      </w:r>
      <w:proofErr w:type="spellStart"/>
      <w:proofErr w:type="gramStart"/>
      <w:r w:rsidRPr="00D75907">
        <w:rPr>
          <w:rFonts w:ascii="Palatino Linotype" w:hAnsi="Palatino Linotype"/>
          <w:sz w:val="20"/>
          <w:szCs w:val="20"/>
          <w:lang w:val="en-GB"/>
        </w:rPr>
        <w:t>backtests</w:t>
      </w:r>
      <w:proofErr w:type="spellEnd"/>
      <w:r w:rsidRPr="00D75907">
        <w:rPr>
          <w:rFonts w:ascii="Palatino Linotype" w:hAnsi="Palatino Linotype"/>
          <w:sz w:val="20"/>
          <w:szCs w:val="20"/>
          <w:lang w:val="en-GB"/>
        </w:rPr>
        <w:t>[</w:t>
      </w:r>
      <w:proofErr w:type="gramEnd"/>
      <w:r w:rsidRPr="00D75907">
        <w:rPr>
          <w:rFonts w:ascii="Palatino Linotype" w:hAnsi="Palatino Linotype"/>
          <w:sz w:val="20"/>
          <w:szCs w:val="20"/>
          <w:lang w:val="en-GB"/>
        </w:rPr>
        <w:t xml:space="preserve">36]. Similarly, </w:t>
      </w:r>
      <w:r w:rsidRPr="00D75907">
        <w:rPr>
          <w:rFonts w:ascii="Palatino Linotype" w:hAnsi="Palatino Linotype"/>
          <w:b/>
          <w:bCs/>
          <w:sz w:val="20"/>
          <w:szCs w:val="20"/>
          <w:lang w:val="en-GB"/>
        </w:rPr>
        <w:t>Xiong et al. (2018)</w:t>
      </w:r>
      <w:r w:rsidRPr="00D75907">
        <w:rPr>
          <w:rFonts w:ascii="Palatino Linotype" w:hAnsi="Palatino Linotype"/>
          <w:sz w:val="20"/>
          <w:szCs w:val="20"/>
          <w:lang w:val="en-GB"/>
        </w:rPr>
        <w:t xml:space="preserve"> showed that an actor–critic DRL agent (using Deep Deterministic Policy Gradient) could trade a stock portfolio with higher cumulative returns and Sharpe ratio than heuristic </w:t>
      </w:r>
      <w:proofErr w:type="gramStart"/>
      <w:r w:rsidRPr="00D75907">
        <w:rPr>
          <w:rFonts w:ascii="Palatino Linotype" w:hAnsi="Palatino Linotype"/>
          <w:sz w:val="20"/>
          <w:szCs w:val="20"/>
          <w:lang w:val="en-GB"/>
        </w:rPr>
        <w:t>strategies[</w:t>
      </w:r>
      <w:proofErr w:type="gramEnd"/>
      <w:r w:rsidRPr="00D75907">
        <w:rPr>
          <w:rFonts w:ascii="Palatino Linotype" w:hAnsi="Palatino Linotype"/>
          <w:sz w:val="20"/>
          <w:szCs w:val="20"/>
          <w:lang w:val="en-GB"/>
        </w:rPr>
        <w:t xml:space="preserve">37]. To support research in this area, libraries like </w:t>
      </w:r>
      <w:proofErr w:type="spellStart"/>
      <w:r w:rsidRPr="00D75907">
        <w:rPr>
          <w:rFonts w:ascii="Palatino Linotype" w:hAnsi="Palatino Linotype"/>
          <w:b/>
          <w:bCs/>
          <w:sz w:val="20"/>
          <w:szCs w:val="20"/>
          <w:lang w:val="en-GB"/>
        </w:rPr>
        <w:t>FinRL</w:t>
      </w:r>
      <w:proofErr w:type="spellEnd"/>
      <w:r w:rsidRPr="00D75907">
        <w:rPr>
          <w:rFonts w:ascii="Palatino Linotype" w:hAnsi="Palatino Linotype"/>
          <w:sz w:val="20"/>
          <w:szCs w:val="20"/>
          <w:lang w:val="en-GB"/>
        </w:rPr>
        <w:t xml:space="preserve"> were developed; </w:t>
      </w:r>
      <w:r w:rsidRPr="00D75907">
        <w:rPr>
          <w:rFonts w:ascii="Palatino Linotype" w:hAnsi="Palatino Linotype"/>
          <w:b/>
          <w:bCs/>
          <w:sz w:val="20"/>
          <w:szCs w:val="20"/>
          <w:lang w:val="en-GB"/>
        </w:rPr>
        <w:t>Liu et al. (2021)</w:t>
      </w:r>
      <w:r w:rsidRPr="00D75907">
        <w:rPr>
          <w:rFonts w:ascii="Palatino Linotype" w:hAnsi="Palatino Linotype"/>
          <w:sz w:val="20"/>
          <w:szCs w:val="20"/>
          <w:lang w:val="en-GB"/>
        </w:rPr>
        <w:t xml:space="preserve"> introduced </w:t>
      </w:r>
      <w:proofErr w:type="spellStart"/>
      <w:r w:rsidRPr="00D75907">
        <w:rPr>
          <w:rFonts w:ascii="Palatino Linotype" w:hAnsi="Palatino Linotype"/>
          <w:sz w:val="20"/>
          <w:szCs w:val="20"/>
          <w:lang w:val="en-GB"/>
        </w:rPr>
        <w:t>FinRL</w:t>
      </w:r>
      <w:proofErr w:type="spellEnd"/>
      <w:r w:rsidRPr="00D75907">
        <w:rPr>
          <w:rFonts w:ascii="Palatino Linotype" w:hAnsi="Palatino Linotype"/>
          <w:sz w:val="20"/>
          <w:szCs w:val="20"/>
          <w:lang w:val="en-GB"/>
        </w:rPr>
        <w:t xml:space="preserve"> as an open</w:t>
      </w:r>
      <w:r w:rsidRPr="00D75907">
        <w:rPr>
          <w:rFonts w:ascii="Palatino Linotype" w:hAnsi="Palatino Linotype"/>
          <w:sz w:val="20"/>
          <w:szCs w:val="20"/>
          <w:lang w:val="en-GB"/>
        </w:rPr>
        <w:noBreakHyphen/>
        <w:t xml:space="preserve">source DRL toolkit for finance, providing implementations of DQN, DDPG, PPO, and other algorithms on portfolio </w:t>
      </w:r>
      <w:proofErr w:type="gramStart"/>
      <w:r w:rsidRPr="00D75907">
        <w:rPr>
          <w:rFonts w:ascii="Palatino Linotype" w:hAnsi="Palatino Linotype"/>
          <w:sz w:val="20"/>
          <w:szCs w:val="20"/>
          <w:lang w:val="en-GB"/>
        </w:rPr>
        <w:t>tasks[</w:t>
      </w:r>
      <w:proofErr w:type="gramEnd"/>
      <w:r w:rsidRPr="00D75907">
        <w:rPr>
          <w:rFonts w:ascii="Palatino Linotype" w:hAnsi="Palatino Linotype"/>
          <w:sz w:val="20"/>
          <w:szCs w:val="20"/>
          <w:lang w:val="en-GB"/>
        </w:rPr>
        <w:t xml:space="preserve">38]. Studies using </w:t>
      </w:r>
      <w:proofErr w:type="spellStart"/>
      <w:r w:rsidRPr="00D75907">
        <w:rPr>
          <w:rFonts w:ascii="Palatino Linotype" w:hAnsi="Palatino Linotype"/>
          <w:sz w:val="20"/>
          <w:szCs w:val="20"/>
          <w:lang w:val="en-GB"/>
        </w:rPr>
        <w:t>FinRL</w:t>
      </w:r>
      <w:proofErr w:type="spellEnd"/>
      <w:r w:rsidRPr="00D75907">
        <w:rPr>
          <w:rFonts w:ascii="Palatino Linotype" w:hAnsi="Palatino Linotype"/>
          <w:sz w:val="20"/>
          <w:szCs w:val="20"/>
          <w:lang w:val="en-GB"/>
        </w:rPr>
        <w:t xml:space="preserve"> demonstrated that DRL agents can outperform market indices even when considering transaction costs and risk management </w:t>
      </w:r>
      <w:proofErr w:type="gramStart"/>
      <w:r w:rsidRPr="00D75907">
        <w:rPr>
          <w:rFonts w:ascii="Palatino Linotype" w:hAnsi="Palatino Linotype"/>
          <w:sz w:val="20"/>
          <w:szCs w:val="20"/>
          <w:lang w:val="en-GB"/>
        </w:rPr>
        <w:t>rules[</w:t>
      </w:r>
      <w:proofErr w:type="gramEnd"/>
      <w:r w:rsidRPr="00D75907">
        <w:rPr>
          <w:rFonts w:ascii="Palatino Linotype" w:hAnsi="Palatino Linotype"/>
          <w:sz w:val="20"/>
          <w:szCs w:val="20"/>
          <w:lang w:val="en-GB"/>
        </w:rPr>
        <w:t xml:space="preserve">38]. </w:t>
      </w:r>
      <w:r w:rsidRPr="00D75907">
        <w:rPr>
          <w:rFonts w:ascii="Palatino Linotype" w:hAnsi="Palatino Linotype"/>
          <w:b/>
          <w:bCs/>
          <w:sz w:val="20"/>
          <w:szCs w:val="20"/>
          <w:lang w:val="en-GB"/>
        </w:rPr>
        <w:t>Proximal Policy Optimization (PPO)</w:t>
      </w:r>
      <w:proofErr w:type="gramStart"/>
      <w:r w:rsidRPr="00D75907">
        <w:rPr>
          <w:rFonts w:ascii="Palatino Linotype" w:hAnsi="Palatino Linotype"/>
          <w:sz w:val="20"/>
          <w:szCs w:val="20"/>
          <w:lang w:val="en-GB"/>
        </w:rPr>
        <w:t>, in particular, has</w:t>
      </w:r>
      <w:proofErr w:type="gramEnd"/>
      <w:r w:rsidRPr="00D75907">
        <w:rPr>
          <w:rFonts w:ascii="Palatino Linotype" w:hAnsi="Palatino Linotype"/>
          <w:sz w:val="20"/>
          <w:szCs w:val="20"/>
          <w:lang w:val="en-GB"/>
        </w:rPr>
        <w:t xml:space="preserve"> emerged as a strong choice in financial applications due to its training stability in noisy, non</w:t>
      </w:r>
      <w:r w:rsidRPr="00D75907">
        <w:rPr>
          <w:rFonts w:ascii="Palatino Linotype" w:hAnsi="Palatino Linotype"/>
          <w:sz w:val="20"/>
          <w:szCs w:val="20"/>
          <w:lang w:val="en-GB"/>
        </w:rPr>
        <w:noBreakHyphen/>
        <w:t xml:space="preserve">stationary </w:t>
      </w:r>
      <w:proofErr w:type="gramStart"/>
      <w:r w:rsidRPr="00D75907">
        <w:rPr>
          <w:rFonts w:ascii="Palatino Linotype" w:hAnsi="Palatino Linotype"/>
          <w:sz w:val="20"/>
          <w:szCs w:val="20"/>
          <w:lang w:val="en-GB"/>
        </w:rPr>
        <w:t>environments[</w:t>
      </w:r>
      <w:proofErr w:type="gramEnd"/>
      <w:r w:rsidRPr="00D75907">
        <w:rPr>
          <w:rFonts w:ascii="Palatino Linotype" w:hAnsi="Palatino Linotype"/>
          <w:sz w:val="20"/>
          <w:szCs w:val="20"/>
          <w:lang w:val="en-GB"/>
        </w:rPr>
        <w:t xml:space="preserve">39]. Recent research continues to push the frontier of DRL in finance. For example, </w:t>
      </w:r>
      <w:r w:rsidRPr="00D75907">
        <w:rPr>
          <w:rFonts w:ascii="Palatino Linotype" w:hAnsi="Palatino Linotype"/>
          <w:b/>
          <w:bCs/>
          <w:sz w:val="20"/>
          <w:szCs w:val="20"/>
          <w:lang w:val="en-GB"/>
        </w:rPr>
        <w:t>Gao et al. (2023)</w:t>
      </w:r>
      <w:r w:rsidRPr="00D75907">
        <w:rPr>
          <w:rFonts w:ascii="Palatino Linotype" w:hAnsi="Palatino Linotype"/>
          <w:sz w:val="20"/>
          <w:szCs w:val="20"/>
          <w:lang w:val="en-GB"/>
        </w:rPr>
        <w:t xml:space="preserve"> proposed </w:t>
      </w:r>
      <w:proofErr w:type="spellStart"/>
      <w:r w:rsidRPr="00D75907">
        <w:rPr>
          <w:rFonts w:ascii="Palatino Linotype" w:hAnsi="Palatino Linotype"/>
          <w:b/>
          <w:bCs/>
          <w:sz w:val="20"/>
          <w:szCs w:val="20"/>
          <w:lang w:val="en-GB"/>
        </w:rPr>
        <w:t>StockFormer</w:t>
      </w:r>
      <w:proofErr w:type="spellEnd"/>
      <w:r w:rsidRPr="00D75907">
        <w:rPr>
          <w:rFonts w:ascii="Palatino Linotype" w:hAnsi="Palatino Linotype"/>
          <w:sz w:val="20"/>
          <w:szCs w:val="20"/>
          <w:lang w:val="en-GB"/>
        </w:rPr>
        <w:t>, an architecture combining transformer networks (to encode long</w:t>
      </w:r>
      <w:r w:rsidRPr="00D75907">
        <w:rPr>
          <w:rFonts w:ascii="Palatino Linotype" w:hAnsi="Palatino Linotype"/>
          <w:sz w:val="20"/>
          <w:szCs w:val="20"/>
          <w:lang w:val="en-GB"/>
        </w:rPr>
        <w:noBreakHyphen/>
        <w:t>term and short</w:t>
      </w:r>
      <w:r w:rsidRPr="00D75907">
        <w:rPr>
          <w:rFonts w:ascii="Palatino Linotype" w:hAnsi="Palatino Linotype"/>
          <w:sz w:val="20"/>
          <w:szCs w:val="20"/>
          <w:lang w:val="en-GB"/>
        </w:rPr>
        <w:noBreakHyphen/>
        <w:t xml:space="preserve">term patterns) with an RL trading </w:t>
      </w:r>
      <w:proofErr w:type="gramStart"/>
      <w:r w:rsidRPr="00D75907">
        <w:rPr>
          <w:rFonts w:ascii="Palatino Linotype" w:hAnsi="Palatino Linotype"/>
          <w:sz w:val="20"/>
          <w:szCs w:val="20"/>
          <w:lang w:val="en-GB"/>
        </w:rPr>
        <w:t>agent[</w:t>
      </w:r>
      <w:proofErr w:type="gramEnd"/>
      <w:r w:rsidRPr="00D75907">
        <w:rPr>
          <w:rFonts w:ascii="Palatino Linotype" w:hAnsi="Palatino Linotype"/>
          <w:sz w:val="20"/>
          <w:szCs w:val="20"/>
          <w:lang w:val="en-GB"/>
        </w:rPr>
        <w:t xml:space="preserve">40]. </w:t>
      </w:r>
      <w:proofErr w:type="spellStart"/>
      <w:r w:rsidRPr="00D75907">
        <w:rPr>
          <w:rFonts w:ascii="Palatino Linotype" w:hAnsi="Palatino Linotype"/>
          <w:sz w:val="20"/>
          <w:szCs w:val="20"/>
          <w:lang w:val="en-GB"/>
        </w:rPr>
        <w:t>StockFormer</w:t>
      </w:r>
      <w:proofErr w:type="spellEnd"/>
      <w:r w:rsidRPr="00D75907">
        <w:rPr>
          <w:rFonts w:ascii="Palatino Linotype" w:hAnsi="Palatino Linotype"/>
          <w:sz w:val="20"/>
          <w:szCs w:val="20"/>
          <w:lang w:val="en-GB"/>
        </w:rPr>
        <w:t xml:space="preserve"> achieved state</w:t>
      </w:r>
      <w:r w:rsidRPr="00D75907">
        <w:rPr>
          <w:rFonts w:ascii="Palatino Linotype" w:hAnsi="Palatino Linotype"/>
          <w:sz w:val="20"/>
          <w:szCs w:val="20"/>
          <w:lang w:val="en-GB"/>
        </w:rPr>
        <w:noBreakHyphen/>
        <w:t>of</w:t>
      </w:r>
      <w:r w:rsidRPr="00D75907">
        <w:rPr>
          <w:rFonts w:ascii="Palatino Linotype" w:hAnsi="Palatino Linotype"/>
          <w:sz w:val="20"/>
          <w:szCs w:val="20"/>
          <w:lang w:val="en-GB"/>
        </w:rPr>
        <w:noBreakHyphen/>
        <w:t>the</w:t>
      </w:r>
      <w:r w:rsidRPr="00D75907">
        <w:rPr>
          <w:rFonts w:ascii="Palatino Linotype" w:hAnsi="Palatino Linotype"/>
          <w:sz w:val="20"/>
          <w:szCs w:val="20"/>
          <w:lang w:val="en-GB"/>
        </w:rPr>
        <w:noBreakHyphen/>
        <w:t xml:space="preserve">art results on U.S. stock markets, beating prior DRL and traditional strategies on return and Sharpe </w:t>
      </w:r>
      <w:proofErr w:type="gramStart"/>
      <w:r w:rsidRPr="00D75907">
        <w:rPr>
          <w:rFonts w:ascii="Palatino Linotype" w:hAnsi="Palatino Linotype"/>
          <w:sz w:val="20"/>
          <w:szCs w:val="20"/>
          <w:lang w:val="en-GB"/>
        </w:rPr>
        <w:t>ratio[</w:t>
      </w:r>
      <w:proofErr w:type="gramEnd"/>
      <w:r w:rsidRPr="00D75907">
        <w:rPr>
          <w:rFonts w:ascii="Palatino Linotype" w:hAnsi="Palatino Linotype"/>
          <w:sz w:val="20"/>
          <w:szCs w:val="20"/>
          <w:lang w:val="en-GB"/>
        </w:rPr>
        <w:t>40]. Other innovations include multi</w:t>
      </w:r>
      <w:r w:rsidRPr="00D75907">
        <w:rPr>
          <w:rFonts w:ascii="Palatino Linotype" w:hAnsi="Palatino Linotype"/>
          <w:sz w:val="20"/>
          <w:szCs w:val="20"/>
          <w:lang w:val="en-GB"/>
        </w:rPr>
        <w:noBreakHyphen/>
        <w:t xml:space="preserve">agent or ensemble approaches: </w:t>
      </w:r>
      <w:r w:rsidRPr="00D75907">
        <w:rPr>
          <w:rFonts w:ascii="Palatino Linotype" w:hAnsi="Palatino Linotype"/>
          <w:b/>
          <w:bCs/>
          <w:sz w:val="20"/>
          <w:szCs w:val="20"/>
          <w:lang w:val="en-GB"/>
        </w:rPr>
        <w:t>Choudhary et al. (2025)</w:t>
      </w:r>
      <w:r w:rsidRPr="00D75907">
        <w:rPr>
          <w:rFonts w:ascii="Palatino Linotype" w:hAnsi="Palatino Linotype"/>
          <w:sz w:val="20"/>
          <w:szCs w:val="20"/>
          <w:lang w:val="en-GB"/>
        </w:rPr>
        <w:t xml:space="preserve"> train three separate agents optimized for return, volatility (Sharpe), and drawdown, then combine their actions into one policy – which outperformed single</w:t>
      </w:r>
      <w:r w:rsidRPr="00D75907">
        <w:rPr>
          <w:rFonts w:ascii="Palatino Linotype" w:hAnsi="Palatino Linotype"/>
          <w:sz w:val="20"/>
          <w:szCs w:val="20"/>
          <w:lang w:val="en-GB"/>
        </w:rPr>
        <w:noBreakHyphen/>
        <w:t xml:space="preserve">objective agents on both returns and risk </w:t>
      </w:r>
      <w:proofErr w:type="gramStart"/>
      <w:r w:rsidRPr="00D75907">
        <w:rPr>
          <w:rFonts w:ascii="Palatino Linotype" w:hAnsi="Palatino Linotype"/>
          <w:sz w:val="20"/>
          <w:szCs w:val="20"/>
          <w:lang w:val="en-GB"/>
        </w:rPr>
        <w:t>metrics[</w:t>
      </w:r>
      <w:proofErr w:type="gramEnd"/>
      <w:r w:rsidRPr="00D75907">
        <w:rPr>
          <w:rFonts w:ascii="Palatino Linotype" w:hAnsi="Palatino Linotype"/>
          <w:sz w:val="20"/>
          <w:szCs w:val="20"/>
          <w:lang w:val="en-GB"/>
        </w:rPr>
        <w:t xml:space="preserve">41]. </w:t>
      </w:r>
      <w:r w:rsidRPr="00D75907">
        <w:rPr>
          <w:rFonts w:ascii="Palatino Linotype" w:hAnsi="Palatino Linotype"/>
          <w:b/>
          <w:bCs/>
          <w:sz w:val="20"/>
          <w:szCs w:val="20"/>
          <w:lang w:val="en-GB"/>
        </w:rPr>
        <w:t>Wang and Liu (2025)</w:t>
      </w:r>
      <w:r w:rsidRPr="00D75907">
        <w:rPr>
          <w:rFonts w:ascii="Palatino Linotype" w:hAnsi="Palatino Linotype"/>
          <w:sz w:val="20"/>
          <w:szCs w:val="20"/>
          <w:lang w:val="en-GB"/>
        </w:rPr>
        <w:t xml:space="preserve"> similarly developed an adaptive risk</w:t>
      </w:r>
      <w:r w:rsidRPr="00D75907">
        <w:rPr>
          <w:rFonts w:ascii="Palatino Linotype" w:hAnsi="Palatino Linotype"/>
          <w:sz w:val="20"/>
          <w:szCs w:val="20"/>
          <w:lang w:val="en-GB"/>
        </w:rPr>
        <w:noBreakHyphen/>
        <w:t>sensitive trading agent that switches among multiple RL models depending on the volatility regime, improving stability and tail</w:t>
      </w:r>
      <w:r w:rsidRPr="00D75907">
        <w:rPr>
          <w:rFonts w:ascii="Palatino Linotype" w:hAnsi="Palatino Linotype"/>
          <w:sz w:val="20"/>
          <w:szCs w:val="20"/>
          <w:lang w:val="en-GB"/>
        </w:rPr>
        <w:noBreakHyphen/>
        <w:t xml:space="preserve">risk </w:t>
      </w:r>
      <w:proofErr w:type="gramStart"/>
      <w:r w:rsidRPr="00D75907">
        <w:rPr>
          <w:rFonts w:ascii="Palatino Linotype" w:hAnsi="Palatino Linotype"/>
          <w:sz w:val="20"/>
          <w:szCs w:val="20"/>
          <w:lang w:val="en-GB"/>
        </w:rPr>
        <w:t>control[</w:t>
      </w:r>
      <w:proofErr w:type="gramEnd"/>
      <w:r w:rsidRPr="00D75907">
        <w:rPr>
          <w:rFonts w:ascii="Palatino Linotype" w:hAnsi="Palatino Linotype"/>
          <w:sz w:val="20"/>
          <w:szCs w:val="20"/>
          <w:lang w:val="en-GB"/>
        </w:rPr>
        <w:t xml:space="preserve">42]. Overall, the literature shows that DRL is a powerful tool for adaptive portfolio management, capable of ingesting diverse data (prices, indicators, even news) and learning nuanced trading </w:t>
      </w:r>
      <w:proofErr w:type="gramStart"/>
      <w:r w:rsidRPr="00D75907">
        <w:rPr>
          <w:rFonts w:ascii="Palatino Linotype" w:hAnsi="Palatino Linotype"/>
          <w:sz w:val="20"/>
          <w:szCs w:val="20"/>
          <w:lang w:val="en-GB"/>
        </w:rPr>
        <w:t>strategies[</w:t>
      </w:r>
      <w:proofErr w:type="gramEnd"/>
      <w:r w:rsidRPr="00D75907">
        <w:rPr>
          <w:rFonts w:ascii="Palatino Linotype" w:hAnsi="Palatino Linotype"/>
          <w:sz w:val="20"/>
          <w:szCs w:val="20"/>
          <w:lang w:val="en-GB"/>
        </w:rPr>
        <w:t xml:space="preserve">43][44]. However, a common critique of early DRL applications is that they often operate as “black boxes,” making it unclear why an action is taken or how to enforce specific risk </w:t>
      </w:r>
      <w:proofErr w:type="gramStart"/>
      <w:r w:rsidRPr="00D75907">
        <w:rPr>
          <w:rFonts w:ascii="Palatino Linotype" w:hAnsi="Palatino Linotype"/>
          <w:sz w:val="20"/>
          <w:szCs w:val="20"/>
          <w:lang w:val="en-GB"/>
        </w:rPr>
        <w:t>constraints[</w:t>
      </w:r>
      <w:proofErr w:type="gramEnd"/>
      <w:r w:rsidRPr="00D75907">
        <w:rPr>
          <w:rFonts w:ascii="Palatino Linotype" w:hAnsi="Palatino Linotype"/>
          <w:sz w:val="20"/>
          <w:szCs w:val="20"/>
          <w:lang w:val="en-GB"/>
        </w:rPr>
        <w:t>50][45]. This motivates the integration of domain knowledge and interpretability into the RL framework – precisely the gap our hierarchical approach aims to fill.</w:t>
      </w:r>
    </w:p>
    <w:p w14:paraId="7534D663" w14:textId="77777777" w:rsidR="00EB429C" w:rsidRPr="00D75907" w:rsidRDefault="0094282C" w:rsidP="00EB429C">
      <w:pPr>
        <w:pStyle w:val="BodyText"/>
        <w:rPr>
          <w:rFonts w:ascii="Palatino Linotype" w:hAnsi="Palatino Linotype"/>
          <w:sz w:val="20"/>
          <w:szCs w:val="20"/>
          <w:lang w:val="en-GB"/>
        </w:rPr>
      </w:pPr>
      <w:r>
        <w:rPr>
          <w:rFonts w:ascii="Palatino Linotype" w:hAnsi="Palatino Linotype"/>
          <w:sz w:val="20"/>
          <w:szCs w:val="20"/>
          <w:lang w:val="en-GB"/>
        </w:rPr>
        <w:pict w14:anchorId="6AAC8B77">
          <v:rect id="_x0000_i1028" style="width:0;height:1.5pt" o:hralign="center" o:hrstd="t" o:hr="t" fillcolor="#a0a0a0" stroked="f"/>
        </w:pict>
      </w:r>
    </w:p>
    <w:p w14:paraId="07119153" w14:textId="77777777" w:rsidR="00EB429C" w:rsidRPr="00D75907" w:rsidRDefault="00EB429C" w:rsidP="00EB429C">
      <w:pPr>
        <w:pStyle w:val="BodyText"/>
        <w:rPr>
          <w:rFonts w:ascii="Palatino Linotype" w:hAnsi="Palatino Linotype"/>
          <w:b/>
          <w:bCs/>
          <w:sz w:val="20"/>
          <w:szCs w:val="20"/>
          <w:lang w:val="en-GB"/>
        </w:rPr>
      </w:pPr>
      <w:r w:rsidRPr="00D75907">
        <w:rPr>
          <w:rFonts w:ascii="Palatino Linotype" w:hAnsi="Palatino Linotype"/>
          <w:b/>
          <w:bCs/>
          <w:sz w:val="20"/>
          <w:szCs w:val="20"/>
          <w:lang w:val="en-GB"/>
        </w:rPr>
        <w:t>Explainable AI and SHAP</w:t>
      </w:r>
      <w:r w:rsidRPr="00D75907">
        <w:rPr>
          <w:rFonts w:ascii="Palatino Linotype" w:hAnsi="Palatino Linotype"/>
          <w:b/>
          <w:bCs/>
          <w:sz w:val="20"/>
          <w:szCs w:val="20"/>
          <w:lang w:val="en-GB"/>
        </w:rPr>
        <w:noBreakHyphen/>
        <w:t>Based Interpretability</w:t>
      </w:r>
    </w:p>
    <w:p w14:paraId="4800CC48" w14:textId="77777777" w:rsidR="00EB429C" w:rsidRPr="00D75907" w:rsidRDefault="00EB429C" w:rsidP="00EB429C">
      <w:pPr>
        <w:pStyle w:val="BodyText"/>
        <w:rPr>
          <w:rFonts w:ascii="Palatino Linotype" w:hAnsi="Palatino Linotype"/>
          <w:sz w:val="20"/>
          <w:szCs w:val="20"/>
          <w:lang w:val="en-GB"/>
        </w:rPr>
      </w:pPr>
      <w:r w:rsidRPr="00D75907">
        <w:rPr>
          <w:rFonts w:ascii="Palatino Linotype" w:hAnsi="Palatino Linotype"/>
          <w:sz w:val="20"/>
          <w:szCs w:val="20"/>
          <w:lang w:val="en-GB"/>
        </w:rPr>
        <w:t xml:space="preserve">In financial services, where decisions can have high stakes and are subject to regulatory scrutiny, the importance of </w:t>
      </w:r>
      <w:r w:rsidRPr="00D75907">
        <w:rPr>
          <w:rFonts w:ascii="Palatino Linotype" w:hAnsi="Palatino Linotype"/>
          <w:b/>
          <w:bCs/>
          <w:sz w:val="20"/>
          <w:szCs w:val="20"/>
          <w:lang w:val="en-GB"/>
        </w:rPr>
        <w:t>explainable AI (XAI)</w:t>
      </w:r>
      <w:r w:rsidRPr="00D75907">
        <w:rPr>
          <w:rFonts w:ascii="Palatino Linotype" w:hAnsi="Palatino Linotype"/>
          <w:sz w:val="20"/>
          <w:szCs w:val="20"/>
          <w:lang w:val="en-GB"/>
        </w:rPr>
        <w:t xml:space="preserve"> cannot be </w:t>
      </w:r>
      <w:proofErr w:type="gramStart"/>
      <w:r w:rsidRPr="00D75907">
        <w:rPr>
          <w:rFonts w:ascii="Palatino Linotype" w:hAnsi="Palatino Linotype"/>
          <w:sz w:val="20"/>
          <w:szCs w:val="20"/>
          <w:lang w:val="en-GB"/>
        </w:rPr>
        <w:t>overstated[</w:t>
      </w:r>
      <w:proofErr w:type="gramEnd"/>
      <w:r w:rsidRPr="00D75907">
        <w:rPr>
          <w:rFonts w:ascii="Palatino Linotype" w:hAnsi="Palatino Linotype"/>
          <w:sz w:val="20"/>
          <w:szCs w:val="20"/>
          <w:lang w:val="en-GB"/>
        </w:rPr>
        <w:t xml:space="preserve">33]. Users and regulators increasingly demand </w:t>
      </w:r>
      <w:r w:rsidRPr="00D75907">
        <w:rPr>
          <w:rFonts w:ascii="Palatino Linotype" w:hAnsi="Palatino Linotype"/>
          <w:sz w:val="20"/>
          <w:szCs w:val="20"/>
          <w:lang w:val="en-GB"/>
        </w:rPr>
        <w:lastRenderedPageBreak/>
        <w:t>to know why a model or agent made a recommendation – be it a trade, an investment, or a credit decision. Traditional black</w:t>
      </w:r>
      <w:r w:rsidRPr="00D75907">
        <w:rPr>
          <w:rFonts w:ascii="Palatino Linotype" w:hAnsi="Palatino Linotype"/>
          <w:sz w:val="20"/>
          <w:szCs w:val="20"/>
          <w:lang w:val="en-GB"/>
        </w:rPr>
        <w:noBreakHyphen/>
        <w:t>box models provide little insight, which hinders trust and adoption. To address this, researchers have adopted model</w:t>
      </w:r>
      <w:r w:rsidRPr="00D75907">
        <w:rPr>
          <w:rFonts w:ascii="Palatino Linotype" w:hAnsi="Palatino Linotype"/>
          <w:sz w:val="20"/>
          <w:szCs w:val="20"/>
          <w:lang w:val="en-GB"/>
        </w:rPr>
        <w:noBreakHyphen/>
        <w:t xml:space="preserve">agnostic explanation techniques. A leading approach is </w:t>
      </w:r>
      <w:r w:rsidRPr="00D75907">
        <w:rPr>
          <w:rFonts w:ascii="Palatino Linotype" w:hAnsi="Palatino Linotype"/>
          <w:b/>
          <w:bCs/>
          <w:sz w:val="20"/>
          <w:szCs w:val="20"/>
          <w:lang w:val="en-GB"/>
        </w:rPr>
        <w:t>SHAP (Shapley Additive Explanations)</w:t>
      </w:r>
      <w:r w:rsidRPr="00D75907">
        <w:rPr>
          <w:rFonts w:ascii="Palatino Linotype" w:hAnsi="Palatino Linotype"/>
          <w:sz w:val="20"/>
          <w:szCs w:val="20"/>
          <w:lang w:val="en-GB"/>
        </w:rPr>
        <w:t xml:space="preserve"> by </w:t>
      </w:r>
      <w:r w:rsidRPr="00D75907">
        <w:rPr>
          <w:rFonts w:ascii="Palatino Linotype" w:hAnsi="Palatino Linotype"/>
          <w:b/>
          <w:bCs/>
          <w:sz w:val="20"/>
          <w:szCs w:val="20"/>
          <w:lang w:val="en-GB"/>
        </w:rPr>
        <w:t>Lundberg and Lee (2017)</w:t>
      </w:r>
      <w:r w:rsidRPr="00D75907">
        <w:rPr>
          <w:rFonts w:ascii="Palatino Linotype" w:hAnsi="Palatino Linotype"/>
          <w:sz w:val="20"/>
          <w:szCs w:val="20"/>
          <w:lang w:val="en-GB"/>
        </w:rPr>
        <w:t xml:space="preserve">, which assigns each feature an importance value for a given prediction, based on Shapley values from cooperative game </w:t>
      </w:r>
      <w:proofErr w:type="gramStart"/>
      <w:r w:rsidRPr="00D75907">
        <w:rPr>
          <w:rFonts w:ascii="Palatino Linotype" w:hAnsi="Palatino Linotype"/>
          <w:sz w:val="20"/>
          <w:szCs w:val="20"/>
          <w:lang w:val="en-GB"/>
        </w:rPr>
        <w:t>theory[</w:t>
      </w:r>
      <w:proofErr w:type="gramEnd"/>
      <w:r w:rsidRPr="00D75907">
        <w:rPr>
          <w:rFonts w:ascii="Palatino Linotype" w:hAnsi="Palatino Linotype"/>
          <w:sz w:val="20"/>
          <w:szCs w:val="20"/>
          <w:lang w:val="en-GB"/>
        </w:rPr>
        <w:t xml:space="preserve">32]. SHAP provides consistent and locally accurate attributions, and it has quickly gained traction in finance </w:t>
      </w:r>
      <w:proofErr w:type="gramStart"/>
      <w:r w:rsidRPr="00D75907">
        <w:rPr>
          <w:rFonts w:ascii="Palatino Linotype" w:hAnsi="Palatino Linotype"/>
          <w:sz w:val="20"/>
          <w:szCs w:val="20"/>
          <w:lang w:val="en-GB"/>
        </w:rPr>
        <w:t>as a way to</w:t>
      </w:r>
      <w:proofErr w:type="gramEnd"/>
      <w:r w:rsidRPr="00D75907">
        <w:rPr>
          <w:rFonts w:ascii="Palatino Linotype" w:hAnsi="Palatino Linotype"/>
          <w:sz w:val="20"/>
          <w:szCs w:val="20"/>
          <w:lang w:val="en-GB"/>
        </w:rPr>
        <w:t xml:space="preserve"> peel back the layers of complex </w:t>
      </w:r>
      <w:proofErr w:type="gramStart"/>
      <w:r w:rsidRPr="00D75907">
        <w:rPr>
          <w:rFonts w:ascii="Palatino Linotype" w:hAnsi="Palatino Linotype"/>
          <w:sz w:val="20"/>
          <w:szCs w:val="20"/>
          <w:lang w:val="en-GB"/>
        </w:rPr>
        <w:t>models[</w:t>
      </w:r>
      <w:proofErr w:type="gramEnd"/>
      <w:r w:rsidRPr="00D75907">
        <w:rPr>
          <w:rFonts w:ascii="Palatino Linotype" w:hAnsi="Palatino Linotype"/>
          <w:sz w:val="20"/>
          <w:szCs w:val="20"/>
          <w:lang w:val="en-GB"/>
        </w:rPr>
        <w:t xml:space="preserve">32]. For instance, one can apply SHAP to a stock return prediction model to see which factors (e.g., momentum, valuation ratios, sentiment) are driving a particular stock’s </w:t>
      </w:r>
      <w:proofErr w:type="gramStart"/>
      <w:r w:rsidRPr="00D75907">
        <w:rPr>
          <w:rFonts w:ascii="Palatino Linotype" w:hAnsi="Palatino Linotype"/>
          <w:sz w:val="20"/>
          <w:szCs w:val="20"/>
          <w:lang w:val="en-GB"/>
        </w:rPr>
        <w:t>forecast[</w:t>
      </w:r>
      <w:proofErr w:type="gramEnd"/>
      <w:r w:rsidRPr="00D75907">
        <w:rPr>
          <w:rFonts w:ascii="Palatino Linotype" w:hAnsi="Palatino Linotype"/>
          <w:sz w:val="20"/>
          <w:szCs w:val="20"/>
          <w:lang w:val="en-GB"/>
        </w:rPr>
        <w:t>32].</w:t>
      </w:r>
    </w:p>
    <w:p w14:paraId="61A9C9A9" w14:textId="77777777" w:rsidR="00EB429C" w:rsidRPr="00D75907" w:rsidRDefault="00EB429C" w:rsidP="00EB429C">
      <w:pPr>
        <w:pStyle w:val="BodyText"/>
        <w:rPr>
          <w:rFonts w:ascii="Palatino Linotype" w:hAnsi="Palatino Linotype"/>
          <w:sz w:val="20"/>
          <w:szCs w:val="20"/>
          <w:lang w:val="en-GB"/>
        </w:rPr>
      </w:pPr>
      <w:r w:rsidRPr="00D75907">
        <w:rPr>
          <w:rFonts w:ascii="Palatino Linotype" w:hAnsi="Palatino Linotype"/>
          <w:sz w:val="20"/>
          <w:szCs w:val="20"/>
          <w:lang w:val="en-GB"/>
        </w:rPr>
        <w:t xml:space="preserve">Recent studies have begun incorporating XAI tools directly into trading and portfolio systems. </w:t>
      </w:r>
      <w:r w:rsidRPr="00D75907">
        <w:rPr>
          <w:rFonts w:ascii="Palatino Linotype" w:hAnsi="Palatino Linotype"/>
          <w:b/>
          <w:bCs/>
          <w:sz w:val="20"/>
          <w:szCs w:val="20"/>
          <w:lang w:val="en-GB"/>
        </w:rPr>
        <w:t>De la Rica Escudero et al. (2024)</w:t>
      </w:r>
      <w:r w:rsidRPr="00D75907">
        <w:rPr>
          <w:rFonts w:ascii="Palatino Linotype" w:hAnsi="Palatino Linotype"/>
          <w:sz w:val="20"/>
          <w:szCs w:val="20"/>
          <w:lang w:val="en-GB"/>
        </w:rPr>
        <w:t xml:space="preserve"> developed an explainable deep RL framework for portfolio management, using SHAP (and LIME) to explain the agent’s actions at each </w:t>
      </w:r>
      <w:proofErr w:type="gramStart"/>
      <w:r w:rsidRPr="00D75907">
        <w:rPr>
          <w:rFonts w:ascii="Palatino Linotype" w:hAnsi="Palatino Linotype"/>
          <w:sz w:val="20"/>
          <w:szCs w:val="20"/>
          <w:lang w:val="en-GB"/>
        </w:rPr>
        <w:t>step[</w:t>
      </w:r>
      <w:proofErr w:type="gramEnd"/>
      <w:r w:rsidRPr="00D75907">
        <w:rPr>
          <w:rFonts w:ascii="Palatino Linotype" w:hAnsi="Palatino Linotype"/>
          <w:sz w:val="20"/>
          <w:szCs w:val="20"/>
          <w:lang w:val="en-GB"/>
        </w:rPr>
        <w:t xml:space="preserve">46]. Their DRL agent’s decisions could be interpreted in real time – for example, attributing an overweight position in tech stocks to strong momentum signals and low </w:t>
      </w:r>
      <w:proofErr w:type="gramStart"/>
      <w:r w:rsidRPr="00D75907">
        <w:rPr>
          <w:rFonts w:ascii="Palatino Linotype" w:hAnsi="Palatino Linotype"/>
          <w:sz w:val="20"/>
          <w:szCs w:val="20"/>
          <w:lang w:val="en-GB"/>
        </w:rPr>
        <w:t>volatility[</w:t>
      </w:r>
      <w:proofErr w:type="gramEnd"/>
      <w:r w:rsidRPr="00D75907">
        <w:rPr>
          <w:rFonts w:ascii="Palatino Linotype" w:hAnsi="Palatino Linotype"/>
          <w:sz w:val="20"/>
          <w:szCs w:val="20"/>
          <w:lang w:val="en-GB"/>
        </w:rPr>
        <w:t xml:space="preserve">46]. This allowed the authors to verify that the agent’s </w:t>
      </w:r>
      <w:proofErr w:type="spellStart"/>
      <w:r w:rsidRPr="00D75907">
        <w:rPr>
          <w:rFonts w:ascii="Palatino Linotype" w:hAnsi="Palatino Linotype"/>
          <w:sz w:val="20"/>
          <w:szCs w:val="20"/>
          <w:lang w:val="en-GB"/>
        </w:rPr>
        <w:t>behavior</w:t>
      </w:r>
      <w:proofErr w:type="spellEnd"/>
      <w:r w:rsidRPr="00D75907">
        <w:rPr>
          <w:rFonts w:ascii="Palatino Linotype" w:hAnsi="Palatino Linotype"/>
          <w:sz w:val="20"/>
          <w:szCs w:val="20"/>
          <w:lang w:val="en-GB"/>
        </w:rPr>
        <w:t xml:space="preserve"> remained economically sensible (e.g., reducing exposure when volatility spiked), thus increasing trust in the automated </w:t>
      </w:r>
      <w:proofErr w:type="gramStart"/>
      <w:r w:rsidRPr="00D75907">
        <w:rPr>
          <w:rFonts w:ascii="Palatino Linotype" w:hAnsi="Palatino Linotype"/>
          <w:sz w:val="20"/>
          <w:szCs w:val="20"/>
          <w:lang w:val="en-GB"/>
        </w:rPr>
        <w:t>strategy[</w:t>
      </w:r>
      <w:proofErr w:type="gramEnd"/>
      <w:r w:rsidRPr="00D75907">
        <w:rPr>
          <w:rFonts w:ascii="Palatino Linotype" w:hAnsi="Palatino Linotype"/>
          <w:sz w:val="20"/>
          <w:szCs w:val="20"/>
          <w:lang w:val="en-GB"/>
        </w:rPr>
        <w:t xml:space="preserve">46]. In another study, </w:t>
      </w:r>
      <w:r w:rsidRPr="00D75907">
        <w:rPr>
          <w:rFonts w:ascii="Palatino Linotype" w:hAnsi="Palatino Linotype"/>
          <w:b/>
          <w:bCs/>
          <w:sz w:val="20"/>
          <w:szCs w:val="20"/>
          <w:lang w:val="en-GB"/>
        </w:rPr>
        <w:t>Sun and Yang (2024)</w:t>
      </w:r>
      <w:r w:rsidRPr="00D75907">
        <w:rPr>
          <w:rFonts w:ascii="Palatino Linotype" w:hAnsi="Palatino Linotype"/>
          <w:sz w:val="20"/>
          <w:szCs w:val="20"/>
          <w:lang w:val="en-GB"/>
        </w:rPr>
        <w:t xml:space="preserve"> combined graph neural networks with DRL for stock allocation and used SHAP value analysis for feature </w:t>
      </w:r>
      <w:proofErr w:type="gramStart"/>
      <w:r w:rsidRPr="00D75907">
        <w:rPr>
          <w:rFonts w:ascii="Palatino Linotype" w:hAnsi="Palatino Linotype"/>
          <w:sz w:val="20"/>
          <w:szCs w:val="20"/>
          <w:lang w:val="en-GB"/>
        </w:rPr>
        <w:t>selection[</w:t>
      </w:r>
      <w:proofErr w:type="gramEnd"/>
      <w:r w:rsidRPr="00D75907">
        <w:rPr>
          <w:rFonts w:ascii="Palatino Linotype" w:hAnsi="Palatino Linotype"/>
          <w:sz w:val="20"/>
          <w:szCs w:val="20"/>
          <w:lang w:val="en-GB"/>
        </w:rPr>
        <w:t>47]. By filtering inputs to only the most important features (as identified by SHAP), they improved the training efficiency and out</w:t>
      </w:r>
      <w:r w:rsidRPr="00D75907">
        <w:rPr>
          <w:rFonts w:ascii="Palatino Linotype" w:hAnsi="Palatino Linotype"/>
          <w:sz w:val="20"/>
          <w:szCs w:val="20"/>
          <w:lang w:val="en-GB"/>
        </w:rPr>
        <w:noBreakHyphen/>
        <w:t>of</w:t>
      </w:r>
      <w:r w:rsidRPr="00D75907">
        <w:rPr>
          <w:rFonts w:ascii="Palatino Linotype" w:hAnsi="Palatino Linotype"/>
          <w:sz w:val="20"/>
          <w:szCs w:val="20"/>
          <w:lang w:val="en-GB"/>
        </w:rPr>
        <w:noBreakHyphen/>
        <w:t xml:space="preserve">sample performance of a </w:t>
      </w:r>
      <w:proofErr w:type="spellStart"/>
      <w:r w:rsidRPr="00D75907">
        <w:rPr>
          <w:rFonts w:ascii="Palatino Linotype" w:hAnsi="Palatino Linotype"/>
          <w:sz w:val="20"/>
          <w:szCs w:val="20"/>
          <w:lang w:val="en-GB"/>
        </w:rPr>
        <w:t>GraphSAGE+PPO</w:t>
      </w:r>
      <w:proofErr w:type="spellEnd"/>
      <w:r w:rsidRPr="00D75907">
        <w:rPr>
          <w:rFonts w:ascii="Palatino Linotype" w:hAnsi="Palatino Linotype"/>
          <w:sz w:val="20"/>
          <w:szCs w:val="20"/>
          <w:lang w:val="en-GB"/>
        </w:rPr>
        <w:t xml:space="preserve"> agent, which ultimately beat the S&amp;P 500 with lower </w:t>
      </w:r>
      <w:proofErr w:type="gramStart"/>
      <w:r w:rsidRPr="00D75907">
        <w:rPr>
          <w:rFonts w:ascii="Palatino Linotype" w:hAnsi="Palatino Linotype"/>
          <w:sz w:val="20"/>
          <w:szCs w:val="20"/>
          <w:lang w:val="en-GB"/>
        </w:rPr>
        <w:t>drawdowns[</w:t>
      </w:r>
      <w:proofErr w:type="gramEnd"/>
      <w:r w:rsidRPr="00D75907">
        <w:rPr>
          <w:rFonts w:ascii="Palatino Linotype" w:hAnsi="Palatino Linotype"/>
          <w:sz w:val="20"/>
          <w:szCs w:val="20"/>
          <w:lang w:val="en-GB"/>
        </w:rPr>
        <w:t xml:space="preserve">47]. Beyond model output explanations, XAI has been used to understand portfolio construction itself. </w:t>
      </w:r>
      <w:r w:rsidRPr="00D75907">
        <w:rPr>
          <w:rFonts w:ascii="Palatino Linotype" w:hAnsi="Palatino Linotype"/>
          <w:b/>
          <w:bCs/>
          <w:sz w:val="20"/>
          <w:szCs w:val="20"/>
          <w:lang w:val="en-GB"/>
        </w:rPr>
        <w:t>Ayodeji et al. (2025)</w:t>
      </w:r>
      <w:r w:rsidRPr="00D75907">
        <w:rPr>
          <w:rFonts w:ascii="Palatino Linotype" w:hAnsi="Palatino Linotype"/>
          <w:sz w:val="20"/>
          <w:szCs w:val="20"/>
          <w:lang w:val="en-GB"/>
        </w:rPr>
        <w:t xml:space="preserve"> treat a portfolio as a “game” of assets and compute each asset’s Shapley value in terms of contribution to overall risk and </w:t>
      </w:r>
      <w:proofErr w:type="gramStart"/>
      <w:r w:rsidRPr="00D75907">
        <w:rPr>
          <w:rFonts w:ascii="Palatino Linotype" w:hAnsi="Palatino Linotype"/>
          <w:sz w:val="20"/>
          <w:szCs w:val="20"/>
          <w:lang w:val="en-GB"/>
        </w:rPr>
        <w:t>return[</w:t>
      </w:r>
      <w:proofErr w:type="gramEnd"/>
      <w:r w:rsidRPr="00D75907">
        <w:rPr>
          <w:rFonts w:ascii="Palatino Linotype" w:hAnsi="Palatino Linotype"/>
          <w:sz w:val="20"/>
          <w:szCs w:val="20"/>
          <w:lang w:val="en-GB"/>
        </w:rPr>
        <w:t xml:space="preserve">48]. This yields a decomposition of the portfolio’s risk: one can pinpoint which assets are truly diversifying and which are contributing disproportionate </w:t>
      </w:r>
      <w:proofErr w:type="gramStart"/>
      <w:r w:rsidRPr="00D75907">
        <w:rPr>
          <w:rFonts w:ascii="Palatino Linotype" w:hAnsi="Palatino Linotype"/>
          <w:sz w:val="20"/>
          <w:szCs w:val="20"/>
          <w:lang w:val="en-GB"/>
        </w:rPr>
        <w:t>risk[</w:t>
      </w:r>
      <w:proofErr w:type="gramEnd"/>
      <w:r w:rsidRPr="00D75907">
        <w:rPr>
          <w:rFonts w:ascii="Palatino Linotype" w:hAnsi="Palatino Linotype"/>
          <w:sz w:val="20"/>
          <w:szCs w:val="20"/>
          <w:lang w:val="en-GB"/>
        </w:rPr>
        <w:t>49]. Industry practitioners have also emphasized interpretability; a well</w:t>
      </w:r>
      <w:r w:rsidRPr="00D75907">
        <w:rPr>
          <w:rFonts w:ascii="Palatino Linotype" w:hAnsi="Palatino Linotype"/>
          <w:sz w:val="20"/>
          <w:szCs w:val="20"/>
          <w:lang w:val="en-GB"/>
        </w:rPr>
        <w:noBreakHyphen/>
        <w:t xml:space="preserve">known example is </w:t>
      </w:r>
      <w:r w:rsidRPr="00D75907">
        <w:rPr>
          <w:rFonts w:ascii="Palatino Linotype" w:hAnsi="Palatino Linotype"/>
          <w:b/>
          <w:bCs/>
          <w:sz w:val="20"/>
          <w:szCs w:val="20"/>
          <w:lang w:val="en-GB"/>
        </w:rPr>
        <w:t>Man Group (2018)</w:t>
      </w:r>
      <w:r w:rsidRPr="00D75907">
        <w:rPr>
          <w:rFonts w:ascii="Palatino Linotype" w:hAnsi="Palatino Linotype"/>
          <w:sz w:val="20"/>
          <w:szCs w:val="20"/>
          <w:lang w:val="en-GB"/>
        </w:rPr>
        <w:t xml:space="preserve">, which applied SHAP to demystify a proprietary trading algorithm, finding that it largely traded on intuitive factors despite its complex </w:t>
      </w:r>
      <w:proofErr w:type="gramStart"/>
      <w:r w:rsidRPr="00D75907">
        <w:rPr>
          <w:rFonts w:ascii="Palatino Linotype" w:hAnsi="Palatino Linotype"/>
          <w:sz w:val="20"/>
          <w:szCs w:val="20"/>
          <w:lang w:val="en-GB"/>
        </w:rPr>
        <w:t>form[</w:t>
      </w:r>
      <w:proofErr w:type="gramEnd"/>
      <w:r w:rsidRPr="00D75907">
        <w:rPr>
          <w:rFonts w:ascii="Palatino Linotype" w:hAnsi="Palatino Linotype"/>
          <w:sz w:val="20"/>
          <w:szCs w:val="20"/>
          <w:lang w:val="en-GB"/>
        </w:rPr>
        <w:t>50]. All these efforts illustrate the broader trend: the melding of advanced AI with interpretability techniques to create strategies that are both performant and transparent. Our work contributes to this trend by embedding SHAP</w:t>
      </w:r>
      <w:r w:rsidRPr="00D75907">
        <w:rPr>
          <w:rFonts w:ascii="Palatino Linotype" w:hAnsi="Palatino Linotype"/>
          <w:sz w:val="20"/>
          <w:szCs w:val="20"/>
          <w:lang w:val="en-GB"/>
        </w:rPr>
        <w:noBreakHyphen/>
        <w:t>based explanations into the very core of the portfolio agent’s decision process (via the hierarchical prediction layer) rather than just as an add</w:t>
      </w:r>
      <w:r w:rsidRPr="00D75907">
        <w:rPr>
          <w:rFonts w:ascii="Palatino Linotype" w:hAnsi="Palatino Linotype"/>
          <w:sz w:val="20"/>
          <w:szCs w:val="20"/>
          <w:lang w:val="en-GB"/>
        </w:rPr>
        <w:noBreakHyphen/>
        <w:t>on. This ensures that the policy’s moves can be traced back to fundamental signals, helping bridge the gap between black</w:t>
      </w:r>
      <w:r w:rsidRPr="00D75907">
        <w:rPr>
          <w:rFonts w:ascii="Palatino Linotype" w:hAnsi="Palatino Linotype"/>
          <w:sz w:val="20"/>
          <w:szCs w:val="20"/>
          <w:lang w:val="en-GB"/>
        </w:rPr>
        <w:noBreakHyphen/>
        <w:t>box automation and the need for accountability in financial decision</w:t>
      </w:r>
      <w:r w:rsidRPr="00D75907">
        <w:rPr>
          <w:rFonts w:ascii="Palatino Linotype" w:hAnsi="Palatino Linotype"/>
          <w:sz w:val="20"/>
          <w:szCs w:val="20"/>
          <w:lang w:val="en-GB"/>
        </w:rPr>
        <w:noBreakHyphen/>
      </w:r>
      <w:proofErr w:type="gramStart"/>
      <w:r w:rsidRPr="00D75907">
        <w:rPr>
          <w:rFonts w:ascii="Palatino Linotype" w:hAnsi="Palatino Linotype"/>
          <w:sz w:val="20"/>
          <w:szCs w:val="20"/>
          <w:lang w:val="en-GB"/>
        </w:rPr>
        <w:t>making[</w:t>
      </w:r>
      <w:proofErr w:type="gramEnd"/>
      <w:r w:rsidRPr="00D75907">
        <w:rPr>
          <w:rFonts w:ascii="Palatino Linotype" w:hAnsi="Palatino Linotype"/>
          <w:sz w:val="20"/>
          <w:szCs w:val="20"/>
          <w:lang w:val="en-GB"/>
        </w:rPr>
        <w:t>32][50].</w:t>
      </w:r>
    </w:p>
    <w:p w14:paraId="49AA3AA0" w14:textId="77777777" w:rsidR="00EB429C" w:rsidRPr="00D75907" w:rsidRDefault="0094282C" w:rsidP="00EB429C">
      <w:pPr>
        <w:pStyle w:val="BodyText"/>
        <w:rPr>
          <w:rFonts w:ascii="Palatino Linotype" w:hAnsi="Palatino Linotype"/>
          <w:sz w:val="20"/>
          <w:szCs w:val="20"/>
          <w:lang w:val="en-GB"/>
        </w:rPr>
      </w:pPr>
      <w:r>
        <w:rPr>
          <w:rFonts w:ascii="Palatino Linotype" w:hAnsi="Palatino Linotype"/>
          <w:sz w:val="20"/>
          <w:szCs w:val="20"/>
          <w:lang w:val="en-GB"/>
        </w:rPr>
        <w:pict w14:anchorId="786F4299">
          <v:rect id="_x0000_i1029" style="width:0;height:1.5pt" o:hralign="center" o:hrstd="t" o:hr="t" fillcolor="#a0a0a0" stroked="f"/>
        </w:pict>
      </w:r>
    </w:p>
    <w:p w14:paraId="2297EAFD" w14:textId="77777777" w:rsidR="00EB429C" w:rsidRPr="00D75907" w:rsidRDefault="00EB429C" w:rsidP="00EB429C">
      <w:pPr>
        <w:pStyle w:val="BodyText"/>
        <w:rPr>
          <w:rFonts w:ascii="Palatino Linotype" w:hAnsi="Palatino Linotype"/>
          <w:b/>
          <w:bCs/>
          <w:sz w:val="20"/>
          <w:szCs w:val="20"/>
          <w:lang w:val="en-GB"/>
        </w:rPr>
      </w:pPr>
      <w:r w:rsidRPr="00D75907">
        <w:rPr>
          <w:rFonts w:ascii="Palatino Linotype" w:hAnsi="Palatino Linotype"/>
          <w:b/>
          <w:bCs/>
          <w:sz w:val="20"/>
          <w:szCs w:val="20"/>
          <w:lang w:val="en-GB"/>
        </w:rPr>
        <w:t>Research Gaps and Motivation for the Current Work</w:t>
      </w:r>
    </w:p>
    <w:p w14:paraId="391E9DBD" w14:textId="77777777" w:rsidR="00EB429C" w:rsidRPr="00D75907" w:rsidRDefault="00EB429C" w:rsidP="00EB429C">
      <w:pPr>
        <w:pStyle w:val="BodyText"/>
        <w:rPr>
          <w:rFonts w:ascii="Palatino Linotype" w:hAnsi="Palatino Linotype"/>
          <w:sz w:val="20"/>
          <w:szCs w:val="20"/>
          <w:lang w:val="en-GB"/>
        </w:rPr>
      </w:pPr>
      <w:r w:rsidRPr="00D75907">
        <w:rPr>
          <w:rFonts w:ascii="Palatino Linotype" w:hAnsi="Palatino Linotype"/>
          <w:sz w:val="20"/>
          <w:szCs w:val="20"/>
          <w:lang w:val="en-GB"/>
        </w:rPr>
        <w:t xml:space="preserve">While the above strands of literature have each advanced portfolio management, there remain open research gaps at their intersection. Classical mean–variance and factor models provide a solid theoretical foundation but assume static preferences and often ignore higher moments. They do not answer how an investor should dynamically adjust risk aversion or rebalancing frequency in response to changing market </w:t>
      </w:r>
      <w:proofErr w:type="gramStart"/>
      <w:r w:rsidRPr="00D75907">
        <w:rPr>
          <w:rFonts w:ascii="Palatino Linotype" w:hAnsi="Palatino Linotype"/>
          <w:sz w:val="20"/>
          <w:szCs w:val="20"/>
          <w:lang w:val="en-GB"/>
        </w:rPr>
        <w:t>conditions[</w:t>
      </w:r>
      <w:proofErr w:type="gramEnd"/>
      <w:r w:rsidRPr="00D75907">
        <w:rPr>
          <w:rFonts w:ascii="Palatino Linotype" w:hAnsi="Palatino Linotype"/>
          <w:sz w:val="20"/>
          <w:szCs w:val="20"/>
          <w:lang w:val="en-GB"/>
        </w:rPr>
        <w:t xml:space="preserve">1][7]. </w:t>
      </w:r>
      <w:r w:rsidRPr="00D75907">
        <w:rPr>
          <w:rFonts w:ascii="Palatino Linotype" w:hAnsi="Palatino Linotype"/>
          <w:b/>
          <w:bCs/>
          <w:sz w:val="20"/>
          <w:szCs w:val="20"/>
          <w:lang w:val="en-GB"/>
        </w:rPr>
        <w:t>Robust optimization</w:t>
      </w:r>
      <w:r w:rsidRPr="00D75907">
        <w:rPr>
          <w:rFonts w:ascii="Palatino Linotype" w:hAnsi="Palatino Linotype"/>
          <w:sz w:val="20"/>
          <w:szCs w:val="20"/>
          <w:lang w:val="en-GB"/>
        </w:rPr>
        <w:t xml:space="preserve"> methods improve stability but typically result in fixed policies (e.g., static robust weights or a predetermined rebalancing rule), lacking an adaptive mechanism to actively time the market or change risk exposure on the </w:t>
      </w:r>
      <w:proofErr w:type="gramStart"/>
      <w:r w:rsidRPr="00D75907">
        <w:rPr>
          <w:rFonts w:ascii="Palatino Linotype" w:hAnsi="Palatino Linotype"/>
          <w:sz w:val="20"/>
          <w:szCs w:val="20"/>
          <w:lang w:val="en-GB"/>
        </w:rPr>
        <w:t>fly[</w:t>
      </w:r>
      <w:proofErr w:type="gramEnd"/>
      <w:r w:rsidRPr="00D75907">
        <w:rPr>
          <w:rFonts w:ascii="Palatino Linotype" w:hAnsi="Palatino Linotype"/>
          <w:sz w:val="20"/>
          <w:szCs w:val="20"/>
          <w:lang w:val="en-GB"/>
        </w:rPr>
        <w:t>19][22]. On the other hand, pure ML prediction models can generate better signals, but translating those signals into actual portfolios is non</w:t>
      </w:r>
      <w:r w:rsidRPr="00D75907">
        <w:rPr>
          <w:rFonts w:ascii="Palatino Linotype" w:hAnsi="Palatino Linotype"/>
          <w:sz w:val="20"/>
          <w:szCs w:val="20"/>
          <w:lang w:val="en-GB"/>
        </w:rPr>
        <w:noBreakHyphen/>
        <w:t xml:space="preserve">trivial – one must still choose how much risk to take and when to </w:t>
      </w:r>
      <w:proofErr w:type="gramStart"/>
      <w:r w:rsidRPr="00D75907">
        <w:rPr>
          <w:rFonts w:ascii="Palatino Linotype" w:hAnsi="Palatino Linotype"/>
          <w:sz w:val="20"/>
          <w:szCs w:val="20"/>
          <w:lang w:val="en-GB"/>
        </w:rPr>
        <w:t>rebalance[</w:t>
      </w:r>
      <w:proofErr w:type="gramEnd"/>
      <w:r w:rsidRPr="00D75907">
        <w:rPr>
          <w:rFonts w:ascii="Palatino Linotype" w:hAnsi="Palatino Linotype"/>
          <w:sz w:val="20"/>
          <w:szCs w:val="20"/>
          <w:lang w:val="en-GB"/>
        </w:rPr>
        <w:t xml:space="preserve">25][26]. </w:t>
      </w:r>
      <w:r w:rsidRPr="00D75907">
        <w:rPr>
          <w:rFonts w:ascii="Palatino Linotype" w:hAnsi="Palatino Linotype"/>
          <w:b/>
          <w:bCs/>
          <w:sz w:val="20"/>
          <w:szCs w:val="20"/>
          <w:lang w:val="en-GB"/>
        </w:rPr>
        <w:t>Deep RL</w:t>
      </w:r>
      <w:r w:rsidRPr="00D75907">
        <w:rPr>
          <w:rFonts w:ascii="Palatino Linotype" w:hAnsi="Palatino Linotype"/>
          <w:sz w:val="20"/>
          <w:szCs w:val="20"/>
          <w:lang w:val="en-GB"/>
        </w:rPr>
        <w:t xml:space="preserve"> agents can, in principle, learn these decisions, yet as noted, prior approaches often learn end</w:t>
      </w:r>
      <w:r w:rsidRPr="00D75907">
        <w:rPr>
          <w:rFonts w:ascii="Palatino Linotype" w:hAnsi="Palatino Linotype"/>
          <w:sz w:val="20"/>
          <w:szCs w:val="20"/>
          <w:lang w:val="en-GB"/>
        </w:rPr>
        <w:noBreakHyphen/>
        <w:t>to</w:t>
      </w:r>
      <w:r w:rsidRPr="00D75907">
        <w:rPr>
          <w:rFonts w:ascii="Palatino Linotype" w:hAnsi="Palatino Linotype"/>
          <w:sz w:val="20"/>
          <w:szCs w:val="20"/>
          <w:lang w:val="en-GB"/>
        </w:rPr>
        <w:noBreakHyphen/>
        <w:t>end black</w:t>
      </w:r>
      <w:r w:rsidRPr="00D75907">
        <w:rPr>
          <w:rFonts w:ascii="Palatino Linotype" w:hAnsi="Palatino Linotype"/>
          <w:sz w:val="20"/>
          <w:szCs w:val="20"/>
          <w:lang w:val="en-GB"/>
        </w:rPr>
        <w:noBreakHyphen/>
        <w:t xml:space="preserve">box policies that are hard to interpret and hard to </w:t>
      </w:r>
      <w:proofErr w:type="gramStart"/>
      <w:r w:rsidRPr="00D75907">
        <w:rPr>
          <w:rFonts w:ascii="Palatino Linotype" w:hAnsi="Palatino Linotype"/>
          <w:sz w:val="20"/>
          <w:szCs w:val="20"/>
          <w:lang w:val="en-GB"/>
        </w:rPr>
        <w:t>constrain[</w:t>
      </w:r>
      <w:proofErr w:type="gramEnd"/>
      <w:r w:rsidRPr="00D75907">
        <w:rPr>
          <w:rFonts w:ascii="Palatino Linotype" w:hAnsi="Palatino Linotype"/>
          <w:sz w:val="20"/>
          <w:szCs w:val="20"/>
          <w:lang w:val="en-GB"/>
        </w:rPr>
        <w:t xml:space="preserve">36][37][38][50][45]. Such agents might chase </w:t>
      </w:r>
      <w:r w:rsidRPr="00D75907">
        <w:rPr>
          <w:rFonts w:ascii="Palatino Linotype" w:hAnsi="Palatino Linotype"/>
          <w:sz w:val="20"/>
          <w:szCs w:val="20"/>
          <w:lang w:val="en-GB"/>
        </w:rPr>
        <w:lastRenderedPageBreak/>
        <w:t xml:space="preserve">returns without adequate regard for risk or incorporate thousands of input features without revealing which information </w:t>
      </w:r>
      <w:proofErr w:type="gramStart"/>
      <w:r w:rsidRPr="00D75907">
        <w:rPr>
          <w:rFonts w:ascii="Palatino Linotype" w:hAnsi="Palatino Linotype"/>
          <w:sz w:val="20"/>
          <w:szCs w:val="20"/>
          <w:lang w:val="en-GB"/>
        </w:rPr>
        <w:t>actually matters</w:t>
      </w:r>
      <w:proofErr w:type="gramEnd"/>
      <w:r w:rsidRPr="00D75907">
        <w:rPr>
          <w:rFonts w:ascii="Palatino Linotype" w:hAnsi="Palatino Linotype"/>
          <w:sz w:val="20"/>
          <w:szCs w:val="20"/>
          <w:lang w:val="en-GB"/>
        </w:rPr>
        <w:t>. In practice, financial institutions are hesitant to deploy algorithmic strategies that they cannot explain to risk managers or clients.</w:t>
      </w:r>
    </w:p>
    <w:p w14:paraId="66962D7B" w14:textId="77777777" w:rsidR="00EB429C" w:rsidRPr="00D75907" w:rsidRDefault="00EB429C" w:rsidP="00EB429C">
      <w:pPr>
        <w:pStyle w:val="BodyText"/>
        <w:rPr>
          <w:rFonts w:ascii="Palatino Linotype" w:hAnsi="Palatino Linotype"/>
          <w:sz w:val="20"/>
          <w:szCs w:val="20"/>
          <w:lang w:val="en-GB"/>
        </w:rPr>
      </w:pPr>
      <w:r w:rsidRPr="00D75907">
        <w:rPr>
          <w:rFonts w:ascii="Palatino Linotype" w:hAnsi="Palatino Linotype"/>
          <w:sz w:val="20"/>
          <w:szCs w:val="20"/>
          <w:lang w:val="en-GB"/>
        </w:rPr>
        <w:t xml:space="preserve">There is thus a clear need for an integrative approach that brings together predictive </w:t>
      </w:r>
      <w:proofErr w:type="spellStart"/>
      <w:r w:rsidRPr="00D75907">
        <w:rPr>
          <w:rFonts w:ascii="Palatino Linotype" w:hAnsi="Palatino Linotype"/>
          <w:sz w:val="20"/>
          <w:szCs w:val="20"/>
          <w:lang w:val="en-GB"/>
        </w:rPr>
        <w:t>modeling</w:t>
      </w:r>
      <w:proofErr w:type="spellEnd"/>
      <w:r w:rsidRPr="00D75907">
        <w:rPr>
          <w:rFonts w:ascii="Palatino Linotype" w:hAnsi="Palatino Linotype"/>
          <w:sz w:val="20"/>
          <w:szCs w:val="20"/>
          <w:lang w:val="en-GB"/>
        </w:rPr>
        <w:t>, risk</w:t>
      </w:r>
      <w:r w:rsidRPr="00D75907">
        <w:rPr>
          <w:rFonts w:ascii="Palatino Linotype" w:hAnsi="Palatino Linotype"/>
          <w:sz w:val="20"/>
          <w:szCs w:val="20"/>
          <w:lang w:val="en-GB"/>
        </w:rPr>
        <w:noBreakHyphen/>
        <w:t xml:space="preserve">aware optimization, and interpretability. Our work is motivated by this gap. We propose a hierarchical </w:t>
      </w:r>
      <w:r w:rsidRPr="00D75907">
        <w:rPr>
          <w:rFonts w:ascii="Palatino Linotype" w:hAnsi="Palatino Linotype"/>
          <w:b/>
          <w:bCs/>
          <w:sz w:val="20"/>
          <w:szCs w:val="20"/>
          <w:lang w:val="en-GB"/>
        </w:rPr>
        <w:t>signal</w:t>
      </w:r>
      <w:r w:rsidRPr="00D75907">
        <w:rPr>
          <w:rFonts w:ascii="Palatino Linotype" w:hAnsi="Palatino Linotype"/>
          <w:b/>
          <w:bCs/>
          <w:sz w:val="20"/>
          <w:szCs w:val="20"/>
          <w:lang w:val="en-GB"/>
        </w:rPr>
        <w:noBreakHyphen/>
        <w:t>to</w:t>
      </w:r>
      <w:r w:rsidRPr="00D75907">
        <w:rPr>
          <w:rFonts w:ascii="Palatino Linotype" w:hAnsi="Palatino Linotype"/>
          <w:b/>
          <w:bCs/>
          <w:sz w:val="20"/>
          <w:szCs w:val="20"/>
          <w:lang w:val="en-GB"/>
        </w:rPr>
        <w:noBreakHyphen/>
        <w:t>policy</w:t>
      </w:r>
      <w:r w:rsidRPr="00D75907">
        <w:rPr>
          <w:rFonts w:ascii="Palatino Linotype" w:hAnsi="Palatino Linotype"/>
          <w:sz w:val="20"/>
          <w:szCs w:val="20"/>
          <w:lang w:val="en-GB"/>
        </w:rPr>
        <w:t xml:space="preserve"> learning framework in which we separate the return forecasting task from the portfolio decision task. By doing so, we can apply powerful ML models to generate return predictions (and explain them with tools like SHAP</w:t>
      </w:r>
      <w:proofErr w:type="gramStart"/>
      <w:r w:rsidRPr="00D75907">
        <w:rPr>
          <w:rFonts w:ascii="Palatino Linotype" w:hAnsi="Palatino Linotype"/>
          <w:sz w:val="20"/>
          <w:szCs w:val="20"/>
          <w:lang w:val="en-GB"/>
        </w:rPr>
        <w:t>), and</w:t>
      </w:r>
      <w:proofErr w:type="gramEnd"/>
      <w:r w:rsidRPr="00D75907">
        <w:rPr>
          <w:rFonts w:ascii="Palatino Linotype" w:hAnsi="Palatino Linotype"/>
          <w:sz w:val="20"/>
          <w:szCs w:val="20"/>
          <w:lang w:val="en-GB"/>
        </w:rPr>
        <w:t xml:space="preserve"> then feed those predictions into a reinforcement learning agent that decides on risk</w:t>
      </w:r>
      <w:r w:rsidRPr="00D75907">
        <w:rPr>
          <w:rFonts w:ascii="Palatino Linotype" w:hAnsi="Palatino Linotype"/>
          <w:sz w:val="20"/>
          <w:szCs w:val="20"/>
          <w:lang w:val="en-GB"/>
        </w:rPr>
        <w:noBreakHyphen/>
        <w:t>taking and rebalancing in a controlled, transparent way. In essence, we bridge the domain knowledge of classical finance (views about expected returns, risk measures like CVaR, etc.) with the adaptive learning of RL. This design addresses shortcomings identified in previous studies: our RL agent does not directly output asset weights in an unconstrained black</w:t>
      </w:r>
      <w:r w:rsidRPr="00D75907">
        <w:rPr>
          <w:rFonts w:ascii="Palatino Linotype" w:hAnsi="Palatino Linotype"/>
          <w:sz w:val="20"/>
          <w:szCs w:val="20"/>
          <w:lang w:val="en-GB"/>
        </w:rPr>
        <w:noBreakHyphen/>
        <w:t xml:space="preserve">box manner. Instead, it learns two economically meaningful parameters – the portfolio’s </w:t>
      </w:r>
      <w:r w:rsidRPr="00D75907">
        <w:rPr>
          <w:rFonts w:ascii="Palatino Linotype" w:hAnsi="Palatino Linotype"/>
          <w:b/>
          <w:bCs/>
          <w:sz w:val="20"/>
          <w:szCs w:val="20"/>
          <w:lang w:val="en-GB"/>
        </w:rPr>
        <w:t>risk aversion</w:t>
      </w:r>
      <w:r w:rsidRPr="00D75907">
        <w:rPr>
          <w:rFonts w:ascii="Palatino Linotype" w:hAnsi="Palatino Linotype"/>
          <w:sz w:val="20"/>
          <w:szCs w:val="20"/>
          <w:lang w:val="en-GB"/>
        </w:rPr>
        <w:t xml:space="preserve"> (choice of point on a </w:t>
      </w:r>
      <w:r w:rsidRPr="00D75907">
        <w:rPr>
          <w:rFonts w:ascii="Palatino Linotype" w:hAnsi="Palatino Linotype"/>
          <w:b/>
          <w:bCs/>
          <w:sz w:val="20"/>
          <w:szCs w:val="20"/>
          <w:lang w:val="en-GB"/>
        </w:rPr>
        <w:t>mean–CVaR</w:t>
      </w:r>
      <w:r w:rsidRPr="00D75907">
        <w:rPr>
          <w:rFonts w:ascii="Palatino Linotype" w:hAnsi="Palatino Linotype"/>
          <w:sz w:val="20"/>
          <w:szCs w:val="20"/>
          <w:lang w:val="en-GB"/>
        </w:rPr>
        <w:t xml:space="preserve"> efficient frontier) and the </w:t>
      </w:r>
      <w:r w:rsidRPr="00D75907">
        <w:rPr>
          <w:rFonts w:ascii="Palatino Linotype" w:hAnsi="Palatino Linotype"/>
          <w:b/>
          <w:bCs/>
          <w:sz w:val="20"/>
          <w:szCs w:val="20"/>
          <w:lang w:val="en-GB"/>
        </w:rPr>
        <w:t>rebalancing interval</w:t>
      </w:r>
      <w:r w:rsidRPr="00D75907">
        <w:rPr>
          <w:rFonts w:ascii="Palatino Linotype" w:hAnsi="Palatino Linotype"/>
          <w:sz w:val="20"/>
          <w:szCs w:val="20"/>
          <w:lang w:val="en-GB"/>
        </w:rPr>
        <w:t xml:space="preserve"> – which are then applied via a traditional optimizer to compute the actual </w:t>
      </w:r>
      <w:proofErr w:type="gramStart"/>
      <w:r w:rsidRPr="00D75907">
        <w:rPr>
          <w:rFonts w:ascii="Palatino Linotype" w:hAnsi="Palatino Linotype"/>
          <w:sz w:val="20"/>
          <w:szCs w:val="20"/>
          <w:lang w:val="en-GB"/>
        </w:rPr>
        <w:t>weights[</w:t>
      </w:r>
      <w:proofErr w:type="gramEnd"/>
      <w:r w:rsidRPr="00D75907">
        <w:rPr>
          <w:rFonts w:ascii="Palatino Linotype" w:hAnsi="Palatino Linotype"/>
          <w:sz w:val="20"/>
          <w:szCs w:val="20"/>
          <w:lang w:val="en-GB"/>
        </w:rPr>
        <w:t>51]. By delegating weight computation to a convex optimizer, we ensure the allocation obeys well</w:t>
      </w:r>
      <w:r w:rsidRPr="00D75907">
        <w:rPr>
          <w:rFonts w:ascii="Palatino Linotype" w:hAnsi="Palatino Linotype"/>
          <w:sz w:val="20"/>
          <w:szCs w:val="20"/>
          <w:lang w:val="en-GB"/>
        </w:rPr>
        <w:noBreakHyphen/>
        <w:t>understood principles (efficient trade</w:t>
      </w:r>
      <w:r w:rsidRPr="00D75907">
        <w:rPr>
          <w:rFonts w:ascii="Palatino Linotype" w:hAnsi="Palatino Linotype"/>
          <w:sz w:val="20"/>
          <w:szCs w:val="20"/>
          <w:lang w:val="en-GB"/>
        </w:rPr>
        <w:noBreakHyphen/>
        <w:t>offs, diversification constraints) while the RL agent focuses on the high</w:t>
      </w:r>
      <w:r w:rsidRPr="00D75907">
        <w:rPr>
          <w:rFonts w:ascii="Palatino Linotype" w:hAnsi="Palatino Linotype"/>
          <w:sz w:val="20"/>
          <w:szCs w:val="20"/>
          <w:lang w:val="en-GB"/>
        </w:rPr>
        <w:noBreakHyphen/>
        <w:t xml:space="preserve">level </w:t>
      </w:r>
      <w:proofErr w:type="gramStart"/>
      <w:r w:rsidRPr="00D75907">
        <w:rPr>
          <w:rFonts w:ascii="Palatino Linotype" w:hAnsi="Palatino Linotype"/>
          <w:sz w:val="20"/>
          <w:szCs w:val="20"/>
          <w:lang w:val="en-GB"/>
        </w:rPr>
        <w:t>decisions[</w:t>
      </w:r>
      <w:proofErr w:type="gramEnd"/>
      <w:r w:rsidRPr="00D75907">
        <w:rPr>
          <w:rFonts w:ascii="Palatino Linotype" w:hAnsi="Palatino Linotype"/>
          <w:sz w:val="20"/>
          <w:szCs w:val="20"/>
          <w:lang w:val="en-GB"/>
        </w:rPr>
        <w:t xml:space="preserve">51]. Furthermore, by incorporating a </w:t>
      </w:r>
      <w:r w:rsidRPr="00D75907">
        <w:rPr>
          <w:rFonts w:ascii="Palatino Linotype" w:hAnsi="Palatino Linotype"/>
          <w:b/>
          <w:bCs/>
          <w:sz w:val="20"/>
          <w:szCs w:val="20"/>
          <w:lang w:val="en-GB"/>
        </w:rPr>
        <w:t>CVaR</w:t>
      </w:r>
      <w:r w:rsidRPr="00D75907">
        <w:rPr>
          <w:rFonts w:ascii="Palatino Linotype" w:hAnsi="Palatino Linotype"/>
          <w:b/>
          <w:bCs/>
          <w:sz w:val="20"/>
          <w:szCs w:val="20"/>
          <w:lang w:val="en-GB"/>
        </w:rPr>
        <w:noBreakHyphen/>
        <w:t>based penalty</w:t>
      </w:r>
      <w:r w:rsidRPr="00D75907">
        <w:rPr>
          <w:rFonts w:ascii="Palatino Linotype" w:hAnsi="Palatino Linotype"/>
          <w:sz w:val="20"/>
          <w:szCs w:val="20"/>
          <w:lang w:val="en-GB"/>
        </w:rPr>
        <w:t xml:space="preserve"> in the reward, our agent internalizes downside risk management, directly addressing the concern that many DRL strategies ignore tail </w:t>
      </w:r>
      <w:proofErr w:type="gramStart"/>
      <w:r w:rsidRPr="00D75907">
        <w:rPr>
          <w:rFonts w:ascii="Palatino Linotype" w:hAnsi="Palatino Linotype"/>
          <w:sz w:val="20"/>
          <w:szCs w:val="20"/>
          <w:lang w:val="en-GB"/>
        </w:rPr>
        <w:t>risk[</w:t>
      </w:r>
      <w:proofErr w:type="gramEnd"/>
      <w:r w:rsidRPr="00D75907">
        <w:rPr>
          <w:rFonts w:ascii="Palatino Linotype" w:hAnsi="Palatino Linotype"/>
          <w:sz w:val="20"/>
          <w:szCs w:val="20"/>
          <w:lang w:val="en-GB"/>
        </w:rPr>
        <w:t>15][10][11][52]. The result is a holistic framework that is risk</w:t>
      </w:r>
      <w:r w:rsidRPr="00D75907">
        <w:rPr>
          <w:rFonts w:ascii="Palatino Linotype" w:hAnsi="Palatino Linotype"/>
          <w:sz w:val="20"/>
          <w:szCs w:val="20"/>
          <w:lang w:val="en-GB"/>
        </w:rPr>
        <w:noBreakHyphen/>
        <w:t>aware, interpretable, and modular.</w:t>
      </w:r>
    </w:p>
    <w:p w14:paraId="2A5BAF03" w14:textId="77777777" w:rsidR="00EB429C" w:rsidRPr="00D75907" w:rsidRDefault="0094282C" w:rsidP="00EB429C">
      <w:pPr>
        <w:pStyle w:val="BodyText"/>
        <w:rPr>
          <w:rFonts w:ascii="Palatino Linotype" w:hAnsi="Palatino Linotype"/>
          <w:sz w:val="20"/>
          <w:szCs w:val="20"/>
          <w:lang w:val="en-GB"/>
        </w:rPr>
      </w:pPr>
      <w:r>
        <w:rPr>
          <w:rFonts w:ascii="Palatino Linotype" w:hAnsi="Palatino Linotype"/>
          <w:sz w:val="20"/>
          <w:szCs w:val="20"/>
          <w:lang w:val="en-GB"/>
        </w:rPr>
        <w:pict w14:anchorId="5F5AD6C6">
          <v:rect id="_x0000_i1030" style="width:0;height:1.5pt" o:hralign="center" o:hrstd="t" o:hr="t" fillcolor="#a0a0a0" stroked="f"/>
        </w:pict>
      </w:r>
    </w:p>
    <w:p w14:paraId="1A55CC13" w14:textId="77777777" w:rsidR="00EB429C" w:rsidRPr="00D75907" w:rsidRDefault="00EB429C" w:rsidP="00EB429C">
      <w:pPr>
        <w:pStyle w:val="BodyText"/>
        <w:rPr>
          <w:rFonts w:ascii="Palatino Linotype" w:hAnsi="Palatino Linotype"/>
          <w:b/>
          <w:bCs/>
          <w:sz w:val="20"/>
          <w:szCs w:val="20"/>
          <w:lang w:val="en-GB"/>
        </w:rPr>
      </w:pPr>
      <w:r w:rsidRPr="00D75907">
        <w:rPr>
          <w:rFonts w:ascii="Palatino Linotype" w:hAnsi="Palatino Linotype"/>
          <w:b/>
          <w:bCs/>
          <w:sz w:val="20"/>
          <w:szCs w:val="20"/>
          <w:lang w:val="en-GB"/>
        </w:rPr>
        <w:t>References (Numbered to Match In</w:t>
      </w:r>
      <w:r w:rsidRPr="00D75907">
        <w:rPr>
          <w:rFonts w:ascii="Palatino Linotype" w:hAnsi="Palatino Linotype"/>
          <w:b/>
          <w:bCs/>
          <w:sz w:val="20"/>
          <w:szCs w:val="20"/>
          <w:lang w:val="en-GB"/>
        </w:rPr>
        <w:noBreakHyphen/>
        <w:t>Text Citations)</w:t>
      </w:r>
    </w:p>
    <w:p w14:paraId="6882C167" w14:textId="77777777" w:rsidR="00EB429C" w:rsidRPr="00D75907" w:rsidRDefault="00EB429C" w:rsidP="00EB429C">
      <w:pPr>
        <w:pStyle w:val="BodyText"/>
        <w:rPr>
          <w:rFonts w:ascii="Palatino Linotype" w:hAnsi="Palatino Linotype"/>
          <w:sz w:val="20"/>
          <w:szCs w:val="20"/>
          <w:lang w:val="en-GB"/>
        </w:rPr>
      </w:pPr>
      <w:r w:rsidRPr="00D75907">
        <w:rPr>
          <w:rFonts w:ascii="Palatino Linotype" w:hAnsi="Palatino Linotype"/>
          <w:sz w:val="20"/>
          <w:szCs w:val="20"/>
          <w:lang w:val="en-GB"/>
        </w:rPr>
        <w:t xml:space="preserve">[1] Markowitz, H. (1952). </w:t>
      </w:r>
      <w:r w:rsidRPr="00D75907">
        <w:rPr>
          <w:rFonts w:ascii="Palatino Linotype" w:hAnsi="Palatino Linotype"/>
          <w:b/>
          <w:bCs/>
          <w:sz w:val="20"/>
          <w:szCs w:val="20"/>
          <w:lang w:val="en-GB"/>
        </w:rPr>
        <w:t>Portfolio Selection</w:t>
      </w:r>
      <w:r w:rsidRPr="00D75907">
        <w:rPr>
          <w:rFonts w:ascii="Palatino Linotype" w:hAnsi="Palatino Linotype"/>
          <w:sz w:val="20"/>
          <w:szCs w:val="20"/>
          <w:lang w:val="en-GB"/>
        </w:rPr>
        <w:t xml:space="preserve">. </w:t>
      </w:r>
      <w:r w:rsidRPr="00D75907">
        <w:rPr>
          <w:rFonts w:ascii="Palatino Linotype" w:hAnsi="Palatino Linotype"/>
          <w:i/>
          <w:iCs/>
          <w:sz w:val="20"/>
          <w:szCs w:val="20"/>
          <w:lang w:val="en-GB"/>
        </w:rPr>
        <w:t>Journal of Finance</w:t>
      </w:r>
      <w:r w:rsidRPr="00D75907">
        <w:rPr>
          <w:rFonts w:ascii="Palatino Linotype" w:hAnsi="Palatino Linotype"/>
          <w:sz w:val="20"/>
          <w:szCs w:val="20"/>
          <w:lang w:val="en-GB"/>
        </w:rPr>
        <w:t>, 7(1), 77–91.</w:t>
      </w:r>
      <w:r w:rsidRPr="00D75907">
        <w:rPr>
          <w:rFonts w:ascii="Palatino Linotype" w:hAnsi="Palatino Linotype"/>
          <w:sz w:val="20"/>
          <w:szCs w:val="20"/>
          <w:lang w:val="en-GB"/>
        </w:rPr>
        <w:br/>
        <w:t xml:space="preserve">[2] Roy, A. D. (1952). </w:t>
      </w:r>
      <w:r w:rsidRPr="00D75907">
        <w:rPr>
          <w:rFonts w:ascii="Palatino Linotype" w:hAnsi="Palatino Linotype"/>
          <w:b/>
          <w:bCs/>
          <w:sz w:val="20"/>
          <w:szCs w:val="20"/>
          <w:lang w:val="en-GB"/>
        </w:rPr>
        <w:t>Safety First and the Holding of Assets</w:t>
      </w:r>
      <w:r w:rsidRPr="00D75907">
        <w:rPr>
          <w:rFonts w:ascii="Palatino Linotype" w:hAnsi="Palatino Linotype"/>
          <w:sz w:val="20"/>
          <w:szCs w:val="20"/>
          <w:lang w:val="en-GB"/>
        </w:rPr>
        <w:t xml:space="preserve">. </w:t>
      </w:r>
      <w:proofErr w:type="spellStart"/>
      <w:r w:rsidRPr="00D75907">
        <w:rPr>
          <w:rFonts w:ascii="Palatino Linotype" w:hAnsi="Palatino Linotype"/>
          <w:i/>
          <w:iCs/>
          <w:sz w:val="20"/>
          <w:szCs w:val="20"/>
          <w:lang w:val="en-GB"/>
        </w:rPr>
        <w:t>Econometrica</w:t>
      </w:r>
      <w:proofErr w:type="spellEnd"/>
      <w:r w:rsidRPr="00D75907">
        <w:rPr>
          <w:rFonts w:ascii="Palatino Linotype" w:hAnsi="Palatino Linotype"/>
          <w:sz w:val="20"/>
          <w:szCs w:val="20"/>
          <w:lang w:val="en-GB"/>
        </w:rPr>
        <w:t>, 20(3), 431–449.</w:t>
      </w:r>
      <w:r w:rsidRPr="00D75907">
        <w:rPr>
          <w:rFonts w:ascii="Palatino Linotype" w:hAnsi="Palatino Linotype"/>
          <w:sz w:val="20"/>
          <w:szCs w:val="20"/>
          <w:lang w:val="en-GB"/>
        </w:rPr>
        <w:br/>
        <w:t xml:space="preserve">[3] Sharpe, W. F. (1964). </w:t>
      </w:r>
      <w:r w:rsidRPr="00D75907">
        <w:rPr>
          <w:rFonts w:ascii="Palatino Linotype" w:hAnsi="Palatino Linotype"/>
          <w:b/>
          <w:bCs/>
          <w:sz w:val="20"/>
          <w:szCs w:val="20"/>
          <w:lang w:val="en-GB"/>
        </w:rPr>
        <w:t>Capital Asset Prices: A Theory of Market Equilibrium under Conditions of Risk</w:t>
      </w:r>
      <w:r w:rsidRPr="00D75907">
        <w:rPr>
          <w:rFonts w:ascii="Palatino Linotype" w:hAnsi="Palatino Linotype"/>
          <w:sz w:val="20"/>
          <w:szCs w:val="20"/>
          <w:lang w:val="en-GB"/>
        </w:rPr>
        <w:t xml:space="preserve">. </w:t>
      </w:r>
      <w:r w:rsidRPr="00D75907">
        <w:rPr>
          <w:rFonts w:ascii="Palatino Linotype" w:hAnsi="Palatino Linotype"/>
          <w:i/>
          <w:iCs/>
          <w:sz w:val="20"/>
          <w:szCs w:val="20"/>
          <w:lang w:val="en-GB"/>
        </w:rPr>
        <w:t>Journal of Finance</w:t>
      </w:r>
      <w:r w:rsidRPr="00D75907">
        <w:rPr>
          <w:rFonts w:ascii="Palatino Linotype" w:hAnsi="Palatino Linotype"/>
          <w:sz w:val="20"/>
          <w:szCs w:val="20"/>
          <w:lang w:val="en-GB"/>
        </w:rPr>
        <w:t>, 19(3), 425–442.</w:t>
      </w:r>
      <w:r w:rsidRPr="00D75907">
        <w:rPr>
          <w:rFonts w:ascii="Palatino Linotype" w:hAnsi="Palatino Linotype"/>
          <w:sz w:val="20"/>
          <w:szCs w:val="20"/>
          <w:lang w:val="en-GB"/>
        </w:rPr>
        <w:br/>
        <w:t xml:space="preserve">[4] Ross, S. A. (1976). </w:t>
      </w:r>
      <w:r w:rsidRPr="00D75907">
        <w:rPr>
          <w:rFonts w:ascii="Palatino Linotype" w:hAnsi="Palatino Linotype"/>
          <w:b/>
          <w:bCs/>
          <w:sz w:val="20"/>
          <w:szCs w:val="20"/>
          <w:lang w:val="en-GB"/>
        </w:rPr>
        <w:t>The Arbitrage Theory of Capital Asset Pricing</w:t>
      </w:r>
      <w:r w:rsidRPr="00D75907">
        <w:rPr>
          <w:rFonts w:ascii="Palatino Linotype" w:hAnsi="Palatino Linotype"/>
          <w:sz w:val="20"/>
          <w:szCs w:val="20"/>
          <w:lang w:val="en-GB"/>
        </w:rPr>
        <w:t xml:space="preserve">. </w:t>
      </w:r>
      <w:r w:rsidRPr="00D75907">
        <w:rPr>
          <w:rFonts w:ascii="Palatino Linotype" w:hAnsi="Palatino Linotype"/>
          <w:i/>
          <w:iCs/>
          <w:sz w:val="20"/>
          <w:szCs w:val="20"/>
          <w:lang w:val="en-GB"/>
        </w:rPr>
        <w:t>Journal of Economic Theory</w:t>
      </w:r>
      <w:r w:rsidRPr="00D75907">
        <w:rPr>
          <w:rFonts w:ascii="Palatino Linotype" w:hAnsi="Palatino Linotype"/>
          <w:sz w:val="20"/>
          <w:szCs w:val="20"/>
          <w:lang w:val="en-GB"/>
        </w:rPr>
        <w:t>, 13(3), 341–360.</w:t>
      </w:r>
      <w:r w:rsidRPr="00D75907">
        <w:rPr>
          <w:rFonts w:ascii="Palatino Linotype" w:hAnsi="Palatino Linotype"/>
          <w:sz w:val="20"/>
          <w:szCs w:val="20"/>
          <w:lang w:val="en-GB"/>
        </w:rPr>
        <w:br/>
        <w:t xml:space="preserve">[5] Fama, E. F., &amp; French, K. R. (1992). </w:t>
      </w:r>
      <w:r w:rsidRPr="00D75907">
        <w:rPr>
          <w:rFonts w:ascii="Palatino Linotype" w:hAnsi="Palatino Linotype"/>
          <w:b/>
          <w:bCs/>
          <w:sz w:val="20"/>
          <w:szCs w:val="20"/>
          <w:lang w:val="en-GB"/>
        </w:rPr>
        <w:t>The Cross</w:t>
      </w:r>
      <w:r w:rsidRPr="00D75907">
        <w:rPr>
          <w:rFonts w:ascii="Palatino Linotype" w:hAnsi="Palatino Linotype"/>
          <w:b/>
          <w:bCs/>
          <w:sz w:val="20"/>
          <w:szCs w:val="20"/>
          <w:lang w:val="en-GB"/>
        </w:rPr>
        <w:noBreakHyphen/>
        <w:t>Section of Expected Stock Returns</w:t>
      </w:r>
      <w:r w:rsidRPr="00D75907">
        <w:rPr>
          <w:rFonts w:ascii="Palatino Linotype" w:hAnsi="Palatino Linotype"/>
          <w:sz w:val="20"/>
          <w:szCs w:val="20"/>
          <w:lang w:val="en-GB"/>
        </w:rPr>
        <w:t xml:space="preserve">. </w:t>
      </w:r>
      <w:r w:rsidRPr="00D75907">
        <w:rPr>
          <w:rFonts w:ascii="Palatino Linotype" w:hAnsi="Palatino Linotype"/>
          <w:i/>
          <w:iCs/>
          <w:sz w:val="20"/>
          <w:szCs w:val="20"/>
          <w:lang w:val="en-GB"/>
        </w:rPr>
        <w:t>Journal of Finance</w:t>
      </w:r>
      <w:r w:rsidRPr="00D75907">
        <w:rPr>
          <w:rFonts w:ascii="Palatino Linotype" w:hAnsi="Palatino Linotype"/>
          <w:sz w:val="20"/>
          <w:szCs w:val="20"/>
          <w:lang w:val="en-GB"/>
        </w:rPr>
        <w:t>, 47(2), 427–465.</w:t>
      </w:r>
      <w:r w:rsidRPr="00D75907">
        <w:rPr>
          <w:rFonts w:ascii="Palatino Linotype" w:hAnsi="Palatino Linotype"/>
          <w:sz w:val="20"/>
          <w:szCs w:val="20"/>
          <w:lang w:val="en-GB"/>
        </w:rPr>
        <w:br/>
        <w:t xml:space="preserve">[6] Fama, E. F., &amp; French, K. R. (1993). </w:t>
      </w:r>
      <w:r w:rsidRPr="00D75907">
        <w:rPr>
          <w:rFonts w:ascii="Palatino Linotype" w:hAnsi="Palatino Linotype"/>
          <w:b/>
          <w:bCs/>
          <w:sz w:val="20"/>
          <w:szCs w:val="20"/>
          <w:lang w:val="en-GB"/>
        </w:rPr>
        <w:t>Common Risk Factors in the Returns on Stocks and Bonds</w:t>
      </w:r>
      <w:r w:rsidRPr="00D75907">
        <w:rPr>
          <w:rFonts w:ascii="Palatino Linotype" w:hAnsi="Palatino Linotype"/>
          <w:sz w:val="20"/>
          <w:szCs w:val="20"/>
          <w:lang w:val="en-GB"/>
        </w:rPr>
        <w:t xml:space="preserve">. </w:t>
      </w:r>
      <w:r w:rsidRPr="00D75907">
        <w:rPr>
          <w:rFonts w:ascii="Palatino Linotype" w:hAnsi="Palatino Linotype"/>
          <w:i/>
          <w:iCs/>
          <w:sz w:val="20"/>
          <w:szCs w:val="20"/>
          <w:lang w:val="en-GB"/>
        </w:rPr>
        <w:t>Journal of Financial Economics</w:t>
      </w:r>
      <w:r w:rsidRPr="00D75907">
        <w:rPr>
          <w:rFonts w:ascii="Palatino Linotype" w:hAnsi="Palatino Linotype"/>
          <w:sz w:val="20"/>
          <w:szCs w:val="20"/>
          <w:lang w:val="en-GB"/>
        </w:rPr>
        <w:t>, 33(1), 3–56.</w:t>
      </w:r>
      <w:r w:rsidRPr="00D75907">
        <w:rPr>
          <w:rFonts w:ascii="Palatino Linotype" w:hAnsi="Palatino Linotype"/>
          <w:sz w:val="20"/>
          <w:szCs w:val="20"/>
          <w:lang w:val="en-GB"/>
        </w:rPr>
        <w:br/>
        <w:t xml:space="preserve">[7] Harvey, C. R., Liechty, J. C., Liechty, M. W., &amp; Müller, P. (2010). </w:t>
      </w:r>
      <w:r w:rsidRPr="00D75907">
        <w:rPr>
          <w:rFonts w:ascii="Palatino Linotype" w:hAnsi="Palatino Linotype"/>
          <w:b/>
          <w:bCs/>
          <w:sz w:val="20"/>
          <w:szCs w:val="20"/>
          <w:lang w:val="en-GB"/>
        </w:rPr>
        <w:t>Portfolio Selection with Higher Moments</w:t>
      </w:r>
      <w:r w:rsidRPr="00D75907">
        <w:rPr>
          <w:rFonts w:ascii="Palatino Linotype" w:hAnsi="Palatino Linotype"/>
          <w:sz w:val="20"/>
          <w:szCs w:val="20"/>
          <w:lang w:val="en-GB"/>
        </w:rPr>
        <w:t xml:space="preserve">. </w:t>
      </w:r>
      <w:r w:rsidRPr="00D75907">
        <w:rPr>
          <w:rFonts w:ascii="Palatino Linotype" w:hAnsi="Palatino Linotype"/>
          <w:i/>
          <w:iCs/>
          <w:sz w:val="20"/>
          <w:szCs w:val="20"/>
          <w:lang w:val="en-GB"/>
        </w:rPr>
        <w:t>Quantitative Finance</w:t>
      </w:r>
      <w:r w:rsidRPr="00D75907">
        <w:rPr>
          <w:rFonts w:ascii="Palatino Linotype" w:hAnsi="Palatino Linotype"/>
          <w:sz w:val="20"/>
          <w:szCs w:val="20"/>
          <w:lang w:val="en-GB"/>
        </w:rPr>
        <w:t>, 10(5), 469–485.</w:t>
      </w:r>
      <w:r w:rsidRPr="00D75907">
        <w:rPr>
          <w:rFonts w:ascii="Palatino Linotype" w:hAnsi="Palatino Linotype"/>
          <w:sz w:val="20"/>
          <w:szCs w:val="20"/>
          <w:lang w:val="en-GB"/>
        </w:rPr>
        <w:br/>
        <w:t xml:space="preserve">[8] Hurley, W. J., &amp; Brimberg, J. (2015). </w:t>
      </w:r>
      <w:r w:rsidRPr="00D75907">
        <w:rPr>
          <w:rFonts w:ascii="Palatino Linotype" w:hAnsi="Palatino Linotype"/>
          <w:b/>
          <w:bCs/>
          <w:sz w:val="20"/>
          <w:szCs w:val="20"/>
          <w:lang w:val="en-GB"/>
        </w:rPr>
        <w:t>A Note on the Sensitivity of the Strategic Asset Allocation Problem</w:t>
      </w:r>
      <w:r w:rsidRPr="00D75907">
        <w:rPr>
          <w:rFonts w:ascii="Palatino Linotype" w:hAnsi="Palatino Linotype"/>
          <w:sz w:val="20"/>
          <w:szCs w:val="20"/>
          <w:lang w:val="en-GB"/>
        </w:rPr>
        <w:t xml:space="preserve">. </w:t>
      </w:r>
      <w:r w:rsidRPr="00D75907">
        <w:rPr>
          <w:rFonts w:ascii="Palatino Linotype" w:hAnsi="Palatino Linotype"/>
          <w:i/>
          <w:iCs/>
          <w:sz w:val="20"/>
          <w:szCs w:val="20"/>
          <w:lang w:val="en-GB"/>
        </w:rPr>
        <w:t>Operations Research Perspectives</w:t>
      </w:r>
      <w:r w:rsidRPr="00D75907">
        <w:rPr>
          <w:rFonts w:ascii="Palatino Linotype" w:hAnsi="Palatino Linotype"/>
          <w:sz w:val="20"/>
          <w:szCs w:val="20"/>
          <w:lang w:val="en-GB"/>
        </w:rPr>
        <w:t>, 2, 133–136.</w:t>
      </w:r>
      <w:r w:rsidRPr="00D75907">
        <w:rPr>
          <w:rFonts w:ascii="Palatino Linotype" w:hAnsi="Palatino Linotype"/>
          <w:sz w:val="20"/>
          <w:szCs w:val="20"/>
          <w:lang w:val="en-GB"/>
        </w:rPr>
        <w:br/>
        <w:t xml:space="preserve">[9] Goyal, A., &amp; Welch, I. (2008). </w:t>
      </w:r>
      <w:r w:rsidRPr="00D75907">
        <w:rPr>
          <w:rFonts w:ascii="Palatino Linotype" w:hAnsi="Palatino Linotype"/>
          <w:b/>
          <w:bCs/>
          <w:sz w:val="20"/>
          <w:szCs w:val="20"/>
          <w:lang w:val="en-GB"/>
        </w:rPr>
        <w:t>A Comprehensive Look at the Empirical Performance of Equity Premium Prediction</w:t>
      </w:r>
      <w:r w:rsidRPr="00D75907">
        <w:rPr>
          <w:rFonts w:ascii="Palatino Linotype" w:hAnsi="Palatino Linotype"/>
          <w:sz w:val="20"/>
          <w:szCs w:val="20"/>
          <w:lang w:val="en-GB"/>
        </w:rPr>
        <w:t xml:space="preserve">. </w:t>
      </w:r>
      <w:r w:rsidRPr="00D75907">
        <w:rPr>
          <w:rFonts w:ascii="Palatino Linotype" w:hAnsi="Palatino Linotype"/>
          <w:i/>
          <w:iCs/>
          <w:sz w:val="20"/>
          <w:szCs w:val="20"/>
          <w:lang w:val="en-GB"/>
        </w:rPr>
        <w:t>Review of Financial Studies</w:t>
      </w:r>
      <w:r w:rsidRPr="00D75907">
        <w:rPr>
          <w:rFonts w:ascii="Palatino Linotype" w:hAnsi="Palatino Linotype"/>
          <w:sz w:val="20"/>
          <w:szCs w:val="20"/>
          <w:lang w:val="en-GB"/>
        </w:rPr>
        <w:t>, 21(4), 1455–1508.</w:t>
      </w:r>
      <w:r w:rsidRPr="00D75907">
        <w:rPr>
          <w:rFonts w:ascii="Palatino Linotype" w:hAnsi="Palatino Linotype"/>
          <w:sz w:val="20"/>
          <w:szCs w:val="20"/>
          <w:lang w:val="en-GB"/>
        </w:rPr>
        <w:br/>
        <w:t xml:space="preserve">[10] </w:t>
      </w:r>
      <w:proofErr w:type="spellStart"/>
      <w:r w:rsidRPr="00D75907">
        <w:rPr>
          <w:rFonts w:ascii="Palatino Linotype" w:hAnsi="Palatino Linotype"/>
          <w:sz w:val="20"/>
          <w:szCs w:val="20"/>
          <w:lang w:val="en-GB"/>
        </w:rPr>
        <w:t>Rockafellar</w:t>
      </w:r>
      <w:proofErr w:type="spellEnd"/>
      <w:r w:rsidRPr="00D75907">
        <w:rPr>
          <w:rFonts w:ascii="Palatino Linotype" w:hAnsi="Palatino Linotype"/>
          <w:sz w:val="20"/>
          <w:szCs w:val="20"/>
          <w:lang w:val="en-GB"/>
        </w:rPr>
        <w:t xml:space="preserve">, R. T., &amp; Uryasev, S. (2000). </w:t>
      </w:r>
      <w:r w:rsidRPr="00D75907">
        <w:rPr>
          <w:rFonts w:ascii="Palatino Linotype" w:hAnsi="Palatino Linotype"/>
          <w:b/>
          <w:bCs/>
          <w:sz w:val="20"/>
          <w:szCs w:val="20"/>
          <w:lang w:val="en-GB"/>
        </w:rPr>
        <w:t>Optimization of Conditional Value</w:t>
      </w:r>
      <w:r w:rsidRPr="00D75907">
        <w:rPr>
          <w:rFonts w:ascii="Palatino Linotype" w:hAnsi="Palatino Linotype"/>
          <w:b/>
          <w:bCs/>
          <w:sz w:val="20"/>
          <w:szCs w:val="20"/>
          <w:lang w:val="en-GB"/>
        </w:rPr>
        <w:noBreakHyphen/>
        <w:t>at</w:t>
      </w:r>
      <w:r w:rsidRPr="00D75907">
        <w:rPr>
          <w:rFonts w:ascii="Palatino Linotype" w:hAnsi="Palatino Linotype"/>
          <w:b/>
          <w:bCs/>
          <w:sz w:val="20"/>
          <w:szCs w:val="20"/>
          <w:lang w:val="en-GB"/>
        </w:rPr>
        <w:noBreakHyphen/>
        <w:t>Risk</w:t>
      </w:r>
      <w:r w:rsidRPr="00D75907">
        <w:rPr>
          <w:rFonts w:ascii="Palatino Linotype" w:hAnsi="Palatino Linotype"/>
          <w:sz w:val="20"/>
          <w:szCs w:val="20"/>
          <w:lang w:val="en-GB"/>
        </w:rPr>
        <w:t xml:space="preserve">. </w:t>
      </w:r>
      <w:r w:rsidRPr="00D75907">
        <w:rPr>
          <w:rFonts w:ascii="Palatino Linotype" w:hAnsi="Palatino Linotype"/>
          <w:i/>
          <w:iCs/>
          <w:sz w:val="20"/>
          <w:szCs w:val="20"/>
          <w:lang w:val="en-GB"/>
        </w:rPr>
        <w:t>Journal of Risk</w:t>
      </w:r>
      <w:r w:rsidRPr="00D75907">
        <w:rPr>
          <w:rFonts w:ascii="Palatino Linotype" w:hAnsi="Palatino Linotype"/>
          <w:sz w:val="20"/>
          <w:szCs w:val="20"/>
          <w:lang w:val="en-GB"/>
        </w:rPr>
        <w:t>, 2(3), 21–42.</w:t>
      </w:r>
      <w:r w:rsidRPr="00D75907">
        <w:rPr>
          <w:rFonts w:ascii="Palatino Linotype" w:hAnsi="Palatino Linotype"/>
          <w:sz w:val="20"/>
          <w:szCs w:val="20"/>
          <w:lang w:val="en-GB"/>
        </w:rPr>
        <w:br/>
        <w:t xml:space="preserve">[11] </w:t>
      </w:r>
      <w:proofErr w:type="spellStart"/>
      <w:r w:rsidRPr="00D75907">
        <w:rPr>
          <w:rFonts w:ascii="Palatino Linotype" w:hAnsi="Palatino Linotype"/>
          <w:sz w:val="20"/>
          <w:szCs w:val="20"/>
          <w:lang w:val="en-GB"/>
        </w:rPr>
        <w:t>Rockafellar</w:t>
      </w:r>
      <w:proofErr w:type="spellEnd"/>
      <w:r w:rsidRPr="00D75907">
        <w:rPr>
          <w:rFonts w:ascii="Palatino Linotype" w:hAnsi="Palatino Linotype"/>
          <w:sz w:val="20"/>
          <w:szCs w:val="20"/>
          <w:lang w:val="en-GB"/>
        </w:rPr>
        <w:t xml:space="preserve">, R. T., &amp; Uryasev, S. (2002). </w:t>
      </w:r>
      <w:r w:rsidRPr="00D75907">
        <w:rPr>
          <w:rFonts w:ascii="Palatino Linotype" w:hAnsi="Palatino Linotype"/>
          <w:b/>
          <w:bCs/>
          <w:sz w:val="20"/>
          <w:szCs w:val="20"/>
          <w:lang w:val="en-GB"/>
        </w:rPr>
        <w:t>Conditional Value</w:t>
      </w:r>
      <w:r w:rsidRPr="00D75907">
        <w:rPr>
          <w:rFonts w:ascii="Palatino Linotype" w:hAnsi="Palatino Linotype"/>
          <w:b/>
          <w:bCs/>
          <w:sz w:val="20"/>
          <w:szCs w:val="20"/>
          <w:lang w:val="en-GB"/>
        </w:rPr>
        <w:noBreakHyphen/>
        <w:t>at</w:t>
      </w:r>
      <w:r w:rsidRPr="00D75907">
        <w:rPr>
          <w:rFonts w:ascii="Palatino Linotype" w:hAnsi="Palatino Linotype"/>
          <w:b/>
          <w:bCs/>
          <w:sz w:val="20"/>
          <w:szCs w:val="20"/>
          <w:lang w:val="en-GB"/>
        </w:rPr>
        <w:noBreakHyphen/>
        <w:t>Risk for General Loss Distributions</w:t>
      </w:r>
      <w:r w:rsidRPr="00D75907">
        <w:rPr>
          <w:rFonts w:ascii="Palatino Linotype" w:hAnsi="Palatino Linotype"/>
          <w:sz w:val="20"/>
          <w:szCs w:val="20"/>
          <w:lang w:val="en-GB"/>
        </w:rPr>
        <w:t xml:space="preserve">. </w:t>
      </w:r>
      <w:r w:rsidRPr="00D75907">
        <w:rPr>
          <w:rFonts w:ascii="Palatino Linotype" w:hAnsi="Palatino Linotype"/>
          <w:i/>
          <w:iCs/>
          <w:sz w:val="20"/>
          <w:szCs w:val="20"/>
          <w:lang w:val="en-GB"/>
        </w:rPr>
        <w:t>Journal of Banking &amp; Finance</w:t>
      </w:r>
      <w:r w:rsidRPr="00D75907">
        <w:rPr>
          <w:rFonts w:ascii="Palatino Linotype" w:hAnsi="Palatino Linotype"/>
          <w:sz w:val="20"/>
          <w:szCs w:val="20"/>
          <w:lang w:val="en-GB"/>
        </w:rPr>
        <w:t>, 26(7), 1443–1471.</w:t>
      </w:r>
      <w:r w:rsidRPr="00D75907">
        <w:rPr>
          <w:rFonts w:ascii="Palatino Linotype" w:hAnsi="Palatino Linotype"/>
          <w:sz w:val="20"/>
          <w:szCs w:val="20"/>
          <w:lang w:val="en-GB"/>
        </w:rPr>
        <w:br/>
        <w:t xml:space="preserve">[12] Black, F., &amp; </w:t>
      </w:r>
      <w:proofErr w:type="spellStart"/>
      <w:r w:rsidRPr="00D75907">
        <w:rPr>
          <w:rFonts w:ascii="Palatino Linotype" w:hAnsi="Palatino Linotype"/>
          <w:sz w:val="20"/>
          <w:szCs w:val="20"/>
          <w:lang w:val="en-GB"/>
        </w:rPr>
        <w:t>Litterman</w:t>
      </w:r>
      <w:proofErr w:type="spellEnd"/>
      <w:r w:rsidRPr="00D75907">
        <w:rPr>
          <w:rFonts w:ascii="Palatino Linotype" w:hAnsi="Palatino Linotype"/>
          <w:sz w:val="20"/>
          <w:szCs w:val="20"/>
          <w:lang w:val="en-GB"/>
        </w:rPr>
        <w:t xml:space="preserve">, R. (1992). </w:t>
      </w:r>
      <w:r w:rsidRPr="00D75907">
        <w:rPr>
          <w:rFonts w:ascii="Palatino Linotype" w:hAnsi="Palatino Linotype"/>
          <w:b/>
          <w:bCs/>
          <w:sz w:val="20"/>
          <w:szCs w:val="20"/>
          <w:lang w:val="en-GB"/>
        </w:rPr>
        <w:t>Global Portfolio Optimization</w:t>
      </w:r>
      <w:r w:rsidRPr="00D75907">
        <w:rPr>
          <w:rFonts w:ascii="Palatino Linotype" w:hAnsi="Palatino Linotype"/>
          <w:sz w:val="20"/>
          <w:szCs w:val="20"/>
          <w:lang w:val="en-GB"/>
        </w:rPr>
        <w:t xml:space="preserve">. </w:t>
      </w:r>
      <w:r w:rsidRPr="00D75907">
        <w:rPr>
          <w:rFonts w:ascii="Palatino Linotype" w:hAnsi="Palatino Linotype"/>
          <w:i/>
          <w:iCs/>
          <w:sz w:val="20"/>
          <w:szCs w:val="20"/>
          <w:lang w:val="en-GB"/>
        </w:rPr>
        <w:t>Financial Analysts Journal</w:t>
      </w:r>
      <w:r w:rsidRPr="00D75907">
        <w:rPr>
          <w:rFonts w:ascii="Palatino Linotype" w:hAnsi="Palatino Linotype"/>
          <w:sz w:val="20"/>
          <w:szCs w:val="20"/>
          <w:lang w:val="en-GB"/>
        </w:rPr>
        <w:t>, 48(5), 28–43.</w:t>
      </w:r>
      <w:r w:rsidRPr="00D75907">
        <w:rPr>
          <w:rFonts w:ascii="Palatino Linotype" w:hAnsi="Palatino Linotype"/>
          <w:sz w:val="20"/>
          <w:szCs w:val="20"/>
          <w:lang w:val="en-GB"/>
        </w:rPr>
        <w:br/>
        <w:t xml:space="preserve">[13] Maillard, S., Roncalli, T., &amp; </w:t>
      </w:r>
      <w:proofErr w:type="spellStart"/>
      <w:r w:rsidRPr="00D75907">
        <w:rPr>
          <w:rFonts w:ascii="Palatino Linotype" w:hAnsi="Palatino Linotype"/>
          <w:sz w:val="20"/>
          <w:szCs w:val="20"/>
          <w:lang w:val="en-GB"/>
        </w:rPr>
        <w:t>Teïletche</w:t>
      </w:r>
      <w:proofErr w:type="spellEnd"/>
      <w:r w:rsidRPr="00D75907">
        <w:rPr>
          <w:rFonts w:ascii="Palatino Linotype" w:hAnsi="Palatino Linotype"/>
          <w:sz w:val="20"/>
          <w:szCs w:val="20"/>
          <w:lang w:val="en-GB"/>
        </w:rPr>
        <w:t xml:space="preserve">, J. (2010). </w:t>
      </w:r>
      <w:r w:rsidRPr="00D75907">
        <w:rPr>
          <w:rFonts w:ascii="Palatino Linotype" w:hAnsi="Palatino Linotype"/>
          <w:b/>
          <w:bCs/>
          <w:sz w:val="20"/>
          <w:szCs w:val="20"/>
          <w:lang w:val="en-GB"/>
        </w:rPr>
        <w:t xml:space="preserve">The Properties of Equally Weighted Risk </w:t>
      </w:r>
      <w:r w:rsidRPr="00D75907">
        <w:rPr>
          <w:rFonts w:ascii="Palatino Linotype" w:hAnsi="Palatino Linotype"/>
          <w:b/>
          <w:bCs/>
          <w:sz w:val="20"/>
          <w:szCs w:val="20"/>
          <w:lang w:val="en-GB"/>
        </w:rPr>
        <w:lastRenderedPageBreak/>
        <w:t>Contribution Portfolios</w:t>
      </w:r>
      <w:r w:rsidRPr="00D75907">
        <w:rPr>
          <w:rFonts w:ascii="Palatino Linotype" w:hAnsi="Palatino Linotype"/>
          <w:sz w:val="20"/>
          <w:szCs w:val="20"/>
          <w:lang w:val="en-GB"/>
        </w:rPr>
        <w:t xml:space="preserve">. </w:t>
      </w:r>
      <w:r w:rsidRPr="00D75907">
        <w:rPr>
          <w:rFonts w:ascii="Palatino Linotype" w:hAnsi="Palatino Linotype"/>
          <w:i/>
          <w:iCs/>
          <w:sz w:val="20"/>
          <w:szCs w:val="20"/>
          <w:lang w:val="en-GB"/>
        </w:rPr>
        <w:t>Journal of Portfolio Management</w:t>
      </w:r>
      <w:r w:rsidRPr="00D75907">
        <w:rPr>
          <w:rFonts w:ascii="Palatino Linotype" w:hAnsi="Palatino Linotype"/>
          <w:sz w:val="20"/>
          <w:szCs w:val="20"/>
          <w:lang w:val="en-GB"/>
        </w:rPr>
        <w:t>, 36(4), 60–70.</w:t>
      </w:r>
      <w:r w:rsidRPr="00D75907">
        <w:rPr>
          <w:rFonts w:ascii="Palatino Linotype" w:hAnsi="Palatino Linotype"/>
          <w:sz w:val="20"/>
          <w:szCs w:val="20"/>
          <w:lang w:val="en-GB"/>
        </w:rPr>
        <w:br/>
        <w:t xml:space="preserve">[14] Chaves, D. B., Hsu, J. C., Li, F., &amp; </w:t>
      </w:r>
      <w:proofErr w:type="spellStart"/>
      <w:r w:rsidRPr="00D75907">
        <w:rPr>
          <w:rFonts w:ascii="Palatino Linotype" w:hAnsi="Palatino Linotype"/>
          <w:sz w:val="20"/>
          <w:szCs w:val="20"/>
          <w:lang w:val="en-GB"/>
        </w:rPr>
        <w:t>Shakernia</w:t>
      </w:r>
      <w:proofErr w:type="spellEnd"/>
      <w:r w:rsidRPr="00D75907">
        <w:rPr>
          <w:rFonts w:ascii="Palatino Linotype" w:hAnsi="Palatino Linotype"/>
          <w:sz w:val="20"/>
          <w:szCs w:val="20"/>
          <w:lang w:val="en-GB"/>
        </w:rPr>
        <w:t xml:space="preserve">, O. (2011). </w:t>
      </w:r>
      <w:r w:rsidRPr="00D75907">
        <w:rPr>
          <w:rFonts w:ascii="Palatino Linotype" w:hAnsi="Palatino Linotype"/>
          <w:b/>
          <w:bCs/>
          <w:sz w:val="20"/>
          <w:szCs w:val="20"/>
          <w:lang w:val="en-GB"/>
        </w:rPr>
        <w:t>Risk Parity Portfolio vs. Other Asset Allocation Heuristic Portfolios</w:t>
      </w:r>
      <w:r w:rsidRPr="00D75907">
        <w:rPr>
          <w:rFonts w:ascii="Palatino Linotype" w:hAnsi="Palatino Linotype"/>
          <w:sz w:val="20"/>
          <w:szCs w:val="20"/>
          <w:lang w:val="en-GB"/>
        </w:rPr>
        <w:t xml:space="preserve">. </w:t>
      </w:r>
      <w:r w:rsidRPr="00D75907">
        <w:rPr>
          <w:rFonts w:ascii="Palatino Linotype" w:hAnsi="Palatino Linotype"/>
          <w:i/>
          <w:iCs/>
          <w:sz w:val="20"/>
          <w:szCs w:val="20"/>
          <w:lang w:val="en-GB"/>
        </w:rPr>
        <w:t>Journal of Investing</w:t>
      </w:r>
      <w:r w:rsidRPr="00D75907">
        <w:rPr>
          <w:rFonts w:ascii="Palatino Linotype" w:hAnsi="Palatino Linotype"/>
          <w:sz w:val="20"/>
          <w:szCs w:val="20"/>
          <w:lang w:val="en-GB"/>
        </w:rPr>
        <w:t>, 20(1), 108–118.</w:t>
      </w:r>
      <w:r w:rsidRPr="00D75907">
        <w:rPr>
          <w:rFonts w:ascii="Palatino Linotype" w:hAnsi="Palatino Linotype"/>
          <w:sz w:val="20"/>
          <w:szCs w:val="20"/>
          <w:lang w:val="en-GB"/>
        </w:rPr>
        <w:br/>
        <w:t xml:space="preserve">[15] </w:t>
      </w:r>
      <w:proofErr w:type="spellStart"/>
      <w:r w:rsidRPr="00D75907">
        <w:rPr>
          <w:rFonts w:ascii="Palatino Linotype" w:hAnsi="Palatino Linotype"/>
          <w:sz w:val="20"/>
          <w:szCs w:val="20"/>
          <w:lang w:val="en-GB"/>
        </w:rPr>
        <w:t>Artzner</w:t>
      </w:r>
      <w:proofErr w:type="spellEnd"/>
      <w:r w:rsidRPr="00D75907">
        <w:rPr>
          <w:rFonts w:ascii="Palatino Linotype" w:hAnsi="Palatino Linotype"/>
          <w:sz w:val="20"/>
          <w:szCs w:val="20"/>
          <w:lang w:val="en-GB"/>
        </w:rPr>
        <w:t xml:space="preserve">, P., </w:t>
      </w:r>
      <w:proofErr w:type="spellStart"/>
      <w:r w:rsidRPr="00D75907">
        <w:rPr>
          <w:rFonts w:ascii="Palatino Linotype" w:hAnsi="Palatino Linotype"/>
          <w:sz w:val="20"/>
          <w:szCs w:val="20"/>
          <w:lang w:val="en-GB"/>
        </w:rPr>
        <w:t>Delbaen</w:t>
      </w:r>
      <w:proofErr w:type="spellEnd"/>
      <w:r w:rsidRPr="00D75907">
        <w:rPr>
          <w:rFonts w:ascii="Palatino Linotype" w:hAnsi="Palatino Linotype"/>
          <w:sz w:val="20"/>
          <w:szCs w:val="20"/>
          <w:lang w:val="en-GB"/>
        </w:rPr>
        <w:t>, F., Eber, J.</w:t>
      </w:r>
      <w:r w:rsidRPr="00D75907">
        <w:rPr>
          <w:rFonts w:ascii="Palatino Linotype" w:hAnsi="Palatino Linotype"/>
          <w:sz w:val="20"/>
          <w:szCs w:val="20"/>
          <w:lang w:val="en-GB"/>
        </w:rPr>
        <w:noBreakHyphen/>
        <w:t xml:space="preserve">M., &amp; Heath, D. (1999). </w:t>
      </w:r>
      <w:r w:rsidRPr="00D75907">
        <w:rPr>
          <w:rFonts w:ascii="Palatino Linotype" w:hAnsi="Palatino Linotype"/>
          <w:b/>
          <w:bCs/>
          <w:sz w:val="20"/>
          <w:szCs w:val="20"/>
          <w:lang w:val="en-GB"/>
        </w:rPr>
        <w:t>Coherent Measures of Risk</w:t>
      </w:r>
      <w:r w:rsidRPr="00D75907">
        <w:rPr>
          <w:rFonts w:ascii="Palatino Linotype" w:hAnsi="Palatino Linotype"/>
          <w:sz w:val="20"/>
          <w:szCs w:val="20"/>
          <w:lang w:val="en-GB"/>
        </w:rPr>
        <w:t xml:space="preserve">. </w:t>
      </w:r>
      <w:r w:rsidRPr="00D75907">
        <w:rPr>
          <w:rFonts w:ascii="Palatino Linotype" w:hAnsi="Palatino Linotype"/>
          <w:i/>
          <w:iCs/>
          <w:sz w:val="20"/>
          <w:szCs w:val="20"/>
          <w:lang w:val="en-GB"/>
        </w:rPr>
        <w:t>Mathematical Finance</w:t>
      </w:r>
      <w:r w:rsidRPr="00D75907">
        <w:rPr>
          <w:rFonts w:ascii="Palatino Linotype" w:hAnsi="Palatino Linotype"/>
          <w:sz w:val="20"/>
          <w:szCs w:val="20"/>
          <w:lang w:val="en-GB"/>
        </w:rPr>
        <w:t>, 9(3), 203–228.</w:t>
      </w:r>
      <w:r w:rsidRPr="00D75907">
        <w:rPr>
          <w:rFonts w:ascii="Palatino Linotype" w:hAnsi="Palatino Linotype"/>
          <w:sz w:val="20"/>
          <w:szCs w:val="20"/>
          <w:lang w:val="en-GB"/>
        </w:rPr>
        <w:br/>
        <w:t xml:space="preserve">[16] Smith, D. M., &amp; Desormeau, W. H. (2006). </w:t>
      </w:r>
      <w:r w:rsidRPr="00D75907">
        <w:rPr>
          <w:rFonts w:ascii="Palatino Linotype" w:hAnsi="Palatino Linotype"/>
          <w:b/>
          <w:bCs/>
          <w:sz w:val="20"/>
          <w:szCs w:val="20"/>
          <w:lang w:val="en-GB"/>
        </w:rPr>
        <w:t>Optimal Rebalancing Frequency for Bond/Stock Portfolios</w:t>
      </w:r>
      <w:r w:rsidRPr="00D75907">
        <w:rPr>
          <w:rFonts w:ascii="Palatino Linotype" w:hAnsi="Palatino Linotype"/>
          <w:sz w:val="20"/>
          <w:szCs w:val="20"/>
          <w:lang w:val="en-GB"/>
        </w:rPr>
        <w:t xml:space="preserve">. </w:t>
      </w:r>
      <w:r w:rsidRPr="00D75907">
        <w:rPr>
          <w:rFonts w:ascii="Palatino Linotype" w:hAnsi="Palatino Linotype"/>
          <w:i/>
          <w:iCs/>
          <w:sz w:val="20"/>
          <w:szCs w:val="20"/>
          <w:lang w:val="en-GB"/>
        </w:rPr>
        <w:t>Journal of Financial Planning</w:t>
      </w:r>
      <w:r w:rsidRPr="00D75907">
        <w:rPr>
          <w:rFonts w:ascii="Palatino Linotype" w:hAnsi="Palatino Linotype"/>
          <w:sz w:val="20"/>
          <w:szCs w:val="20"/>
          <w:lang w:val="en-GB"/>
        </w:rPr>
        <w:t>, 19(11), 44–53.</w:t>
      </w:r>
      <w:r w:rsidRPr="00D75907">
        <w:rPr>
          <w:rFonts w:ascii="Palatino Linotype" w:hAnsi="Palatino Linotype"/>
          <w:sz w:val="20"/>
          <w:szCs w:val="20"/>
          <w:lang w:val="en-GB"/>
        </w:rPr>
        <w:br/>
        <w:t xml:space="preserve">[17] Kuhn, D., &amp; </w:t>
      </w:r>
      <w:proofErr w:type="spellStart"/>
      <w:r w:rsidRPr="00D75907">
        <w:rPr>
          <w:rFonts w:ascii="Palatino Linotype" w:hAnsi="Palatino Linotype"/>
          <w:sz w:val="20"/>
          <w:szCs w:val="20"/>
          <w:lang w:val="en-GB"/>
        </w:rPr>
        <w:t>Luenberger</w:t>
      </w:r>
      <w:proofErr w:type="spellEnd"/>
      <w:r w:rsidRPr="00D75907">
        <w:rPr>
          <w:rFonts w:ascii="Palatino Linotype" w:hAnsi="Palatino Linotype"/>
          <w:sz w:val="20"/>
          <w:szCs w:val="20"/>
          <w:lang w:val="en-GB"/>
        </w:rPr>
        <w:t xml:space="preserve">, D. G. (2010). </w:t>
      </w:r>
      <w:r w:rsidRPr="00D75907">
        <w:rPr>
          <w:rFonts w:ascii="Palatino Linotype" w:hAnsi="Palatino Linotype"/>
          <w:b/>
          <w:bCs/>
          <w:sz w:val="20"/>
          <w:szCs w:val="20"/>
          <w:lang w:val="en-GB"/>
        </w:rPr>
        <w:t>Analysis of the Rebalancing Frequency in Log</w:t>
      </w:r>
      <w:r w:rsidRPr="00D75907">
        <w:rPr>
          <w:rFonts w:ascii="Palatino Linotype" w:hAnsi="Palatino Linotype"/>
          <w:b/>
          <w:bCs/>
          <w:sz w:val="20"/>
          <w:szCs w:val="20"/>
          <w:lang w:val="en-GB"/>
        </w:rPr>
        <w:noBreakHyphen/>
        <w:t>Optimal Portfolio Selection</w:t>
      </w:r>
      <w:r w:rsidRPr="00D75907">
        <w:rPr>
          <w:rFonts w:ascii="Palatino Linotype" w:hAnsi="Palatino Linotype"/>
          <w:sz w:val="20"/>
          <w:szCs w:val="20"/>
          <w:lang w:val="en-GB"/>
        </w:rPr>
        <w:t xml:space="preserve">. </w:t>
      </w:r>
      <w:r w:rsidRPr="00D75907">
        <w:rPr>
          <w:rFonts w:ascii="Palatino Linotype" w:hAnsi="Palatino Linotype"/>
          <w:i/>
          <w:iCs/>
          <w:sz w:val="20"/>
          <w:szCs w:val="20"/>
          <w:lang w:val="en-GB"/>
        </w:rPr>
        <w:t>Quantitative Finance</w:t>
      </w:r>
      <w:r w:rsidRPr="00D75907">
        <w:rPr>
          <w:rFonts w:ascii="Palatino Linotype" w:hAnsi="Palatino Linotype"/>
          <w:sz w:val="20"/>
          <w:szCs w:val="20"/>
          <w:lang w:val="en-GB"/>
        </w:rPr>
        <w:t>, 10(2), 221–234.</w:t>
      </w:r>
      <w:r w:rsidRPr="00D75907">
        <w:rPr>
          <w:rFonts w:ascii="Palatino Linotype" w:hAnsi="Palatino Linotype"/>
          <w:sz w:val="20"/>
          <w:szCs w:val="20"/>
          <w:lang w:val="en-GB"/>
        </w:rPr>
        <w:br/>
        <w:t>[18] Wong, Y.</w:t>
      </w:r>
      <w:r w:rsidRPr="00D75907">
        <w:rPr>
          <w:rFonts w:ascii="Palatino Linotype" w:hAnsi="Palatino Linotype"/>
          <w:sz w:val="20"/>
          <w:szCs w:val="20"/>
          <w:lang w:val="en-GB"/>
        </w:rPr>
        <w:noBreakHyphen/>
        <w:t>S., &amp; Hsieh, C.</w:t>
      </w:r>
      <w:r w:rsidRPr="00D75907">
        <w:rPr>
          <w:rFonts w:ascii="Palatino Linotype" w:hAnsi="Palatino Linotype"/>
          <w:sz w:val="20"/>
          <w:szCs w:val="20"/>
          <w:lang w:val="en-GB"/>
        </w:rPr>
        <w:noBreakHyphen/>
        <w:t xml:space="preserve">H. (2023). </w:t>
      </w:r>
      <w:r w:rsidRPr="00D75907">
        <w:rPr>
          <w:rFonts w:ascii="Palatino Linotype" w:hAnsi="Palatino Linotype"/>
          <w:b/>
          <w:bCs/>
          <w:sz w:val="20"/>
          <w:szCs w:val="20"/>
          <w:lang w:val="en-GB"/>
        </w:rPr>
        <w:t>On Frequency</w:t>
      </w:r>
      <w:r w:rsidRPr="00D75907">
        <w:rPr>
          <w:rFonts w:ascii="Palatino Linotype" w:hAnsi="Palatino Linotype"/>
          <w:b/>
          <w:bCs/>
          <w:sz w:val="20"/>
          <w:szCs w:val="20"/>
          <w:lang w:val="en-GB"/>
        </w:rPr>
        <w:noBreakHyphen/>
        <w:t>Based Log</w:t>
      </w:r>
      <w:r w:rsidRPr="00D75907">
        <w:rPr>
          <w:rFonts w:ascii="Palatino Linotype" w:hAnsi="Palatino Linotype"/>
          <w:b/>
          <w:bCs/>
          <w:sz w:val="20"/>
          <w:szCs w:val="20"/>
          <w:lang w:val="en-GB"/>
        </w:rPr>
        <w:noBreakHyphen/>
        <w:t>Optimal Portfolio with Transaction Costs</w:t>
      </w:r>
      <w:r w:rsidRPr="00D75907">
        <w:rPr>
          <w:rFonts w:ascii="Palatino Linotype" w:hAnsi="Palatino Linotype"/>
          <w:sz w:val="20"/>
          <w:szCs w:val="20"/>
          <w:lang w:val="en-GB"/>
        </w:rPr>
        <w:t xml:space="preserve">. </w:t>
      </w:r>
      <w:r w:rsidRPr="00D75907">
        <w:rPr>
          <w:rFonts w:ascii="Palatino Linotype" w:hAnsi="Palatino Linotype"/>
          <w:i/>
          <w:iCs/>
          <w:sz w:val="20"/>
          <w:szCs w:val="20"/>
          <w:lang w:val="en-GB"/>
        </w:rPr>
        <w:t>IEEE Control Systems Letters</w:t>
      </w:r>
      <w:r w:rsidRPr="00D75907">
        <w:rPr>
          <w:rFonts w:ascii="Palatino Linotype" w:hAnsi="Palatino Linotype"/>
          <w:sz w:val="20"/>
          <w:szCs w:val="20"/>
          <w:lang w:val="en-GB"/>
        </w:rPr>
        <w:t>, 7, 3489–3494.</w:t>
      </w:r>
      <w:r w:rsidRPr="00D75907">
        <w:rPr>
          <w:rFonts w:ascii="Palatino Linotype" w:hAnsi="Palatino Linotype"/>
          <w:sz w:val="20"/>
          <w:szCs w:val="20"/>
          <w:lang w:val="en-GB"/>
        </w:rPr>
        <w:br/>
        <w:t xml:space="preserve">[19] Ceria, S., &amp; Stubbs, R. A. (2006). </w:t>
      </w:r>
      <w:r w:rsidRPr="00D75907">
        <w:rPr>
          <w:rFonts w:ascii="Palatino Linotype" w:hAnsi="Palatino Linotype"/>
          <w:b/>
          <w:bCs/>
          <w:sz w:val="20"/>
          <w:szCs w:val="20"/>
          <w:lang w:val="en-GB"/>
        </w:rPr>
        <w:t>Incorporating Estimation Errors into Portfolio Selection: Robust Portfolio Construction</w:t>
      </w:r>
      <w:r w:rsidRPr="00D75907">
        <w:rPr>
          <w:rFonts w:ascii="Palatino Linotype" w:hAnsi="Palatino Linotype"/>
          <w:sz w:val="20"/>
          <w:szCs w:val="20"/>
          <w:lang w:val="en-GB"/>
        </w:rPr>
        <w:t xml:space="preserve">. </w:t>
      </w:r>
      <w:r w:rsidRPr="00D75907">
        <w:rPr>
          <w:rFonts w:ascii="Palatino Linotype" w:hAnsi="Palatino Linotype"/>
          <w:i/>
          <w:iCs/>
          <w:sz w:val="20"/>
          <w:szCs w:val="20"/>
          <w:lang w:val="en-GB"/>
        </w:rPr>
        <w:t>Journal of Asset Management</w:t>
      </w:r>
      <w:r w:rsidRPr="00D75907">
        <w:rPr>
          <w:rFonts w:ascii="Palatino Linotype" w:hAnsi="Palatino Linotype"/>
          <w:sz w:val="20"/>
          <w:szCs w:val="20"/>
          <w:lang w:val="en-GB"/>
        </w:rPr>
        <w:t>, 7(2), 109–127.</w:t>
      </w:r>
      <w:r w:rsidRPr="00D75907">
        <w:rPr>
          <w:rFonts w:ascii="Palatino Linotype" w:hAnsi="Palatino Linotype"/>
          <w:sz w:val="20"/>
          <w:szCs w:val="20"/>
          <w:lang w:val="en-GB"/>
        </w:rPr>
        <w:br/>
        <w:t xml:space="preserve">[20] Dai, Z., &amp; Wang, F. (2019). </w:t>
      </w:r>
      <w:r w:rsidRPr="00D75907">
        <w:rPr>
          <w:rFonts w:ascii="Palatino Linotype" w:hAnsi="Palatino Linotype"/>
          <w:b/>
          <w:bCs/>
          <w:sz w:val="20"/>
          <w:szCs w:val="20"/>
          <w:lang w:val="en-GB"/>
        </w:rPr>
        <w:t>Sparse and Robust Mean–Variance Portfolio Optimization Problems</w:t>
      </w:r>
      <w:r w:rsidRPr="00D75907">
        <w:rPr>
          <w:rFonts w:ascii="Palatino Linotype" w:hAnsi="Palatino Linotype"/>
          <w:sz w:val="20"/>
          <w:szCs w:val="20"/>
          <w:lang w:val="en-GB"/>
        </w:rPr>
        <w:t xml:space="preserve">. </w:t>
      </w:r>
      <w:r w:rsidRPr="00D75907">
        <w:rPr>
          <w:rFonts w:ascii="Palatino Linotype" w:hAnsi="Palatino Linotype"/>
          <w:i/>
          <w:iCs/>
          <w:sz w:val="20"/>
          <w:szCs w:val="20"/>
          <w:lang w:val="en-GB"/>
        </w:rPr>
        <w:t>Physica A</w:t>
      </w:r>
      <w:r w:rsidRPr="00D75907">
        <w:rPr>
          <w:rFonts w:ascii="Palatino Linotype" w:hAnsi="Palatino Linotype"/>
          <w:sz w:val="20"/>
          <w:szCs w:val="20"/>
          <w:lang w:val="en-GB"/>
        </w:rPr>
        <w:t>, 523, 1371–1378.</w:t>
      </w:r>
      <w:r w:rsidRPr="00D75907">
        <w:rPr>
          <w:rFonts w:ascii="Palatino Linotype" w:hAnsi="Palatino Linotype"/>
          <w:sz w:val="20"/>
          <w:szCs w:val="20"/>
          <w:lang w:val="en-GB"/>
        </w:rPr>
        <w:br/>
        <w:t xml:space="preserve">[21] </w:t>
      </w:r>
      <w:proofErr w:type="spellStart"/>
      <w:r w:rsidRPr="00D75907">
        <w:rPr>
          <w:rFonts w:ascii="Palatino Linotype" w:hAnsi="Palatino Linotype"/>
          <w:sz w:val="20"/>
          <w:szCs w:val="20"/>
          <w:lang w:val="en-GB"/>
        </w:rPr>
        <w:t>Ledoit</w:t>
      </w:r>
      <w:proofErr w:type="spellEnd"/>
      <w:r w:rsidRPr="00D75907">
        <w:rPr>
          <w:rFonts w:ascii="Palatino Linotype" w:hAnsi="Palatino Linotype"/>
          <w:sz w:val="20"/>
          <w:szCs w:val="20"/>
          <w:lang w:val="en-GB"/>
        </w:rPr>
        <w:t xml:space="preserve">, O., &amp; Wolf, M. (2004). </w:t>
      </w:r>
      <w:r w:rsidRPr="00D75907">
        <w:rPr>
          <w:rFonts w:ascii="Palatino Linotype" w:hAnsi="Palatino Linotype"/>
          <w:b/>
          <w:bCs/>
          <w:sz w:val="20"/>
          <w:szCs w:val="20"/>
          <w:lang w:val="en-GB"/>
        </w:rPr>
        <w:t>Honey, I Shrunk the Sample Covariance Matrix</w:t>
      </w:r>
      <w:r w:rsidRPr="00D75907">
        <w:rPr>
          <w:rFonts w:ascii="Palatino Linotype" w:hAnsi="Palatino Linotype"/>
          <w:sz w:val="20"/>
          <w:szCs w:val="20"/>
          <w:lang w:val="en-GB"/>
        </w:rPr>
        <w:t xml:space="preserve">. </w:t>
      </w:r>
      <w:r w:rsidRPr="00D75907">
        <w:rPr>
          <w:rFonts w:ascii="Palatino Linotype" w:hAnsi="Palatino Linotype"/>
          <w:i/>
          <w:iCs/>
          <w:sz w:val="20"/>
          <w:szCs w:val="20"/>
          <w:lang w:val="en-GB"/>
        </w:rPr>
        <w:t>Journal of Portfolio Management</w:t>
      </w:r>
      <w:r w:rsidRPr="00D75907">
        <w:rPr>
          <w:rFonts w:ascii="Palatino Linotype" w:hAnsi="Palatino Linotype"/>
          <w:sz w:val="20"/>
          <w:szCs w:val="20"/>
          <w:lang w:val="en-GB"/>
        </w:rPr>
        <w:t>, 30(4), 110–119.</w:t>
      </w:r>
      <w:r w:rsidRPr="00D75907">
        <w:rPr>
          <w:rFonts w:ascii="Palatino Linotype" w:hAnsi="Palatino Linotype"/>
          <w:sz w:val="20"/>
          <w:szCs w:val="20"/>
          <w:lang w:val="en-GB"/>
        </w:rPr>
        <w:br/>
        <w:t xml:space="preserve">[22] </w:t>
      </w:r>
      <w:proofErr w:type="spellStart"/>
      <w:r w:rsidRPr="00D75907">
        <w:rPr>
          <w:rFonts w:ascii="Palatino Linotype" w:hAnsi="Palatino Linotype"/>
          <w:sz w:val="20"/>
          <w:szCs w:val="20"/>
          <w:lang w:val="en-GB"/>
        </w:rPr>
        <w:t>Ghahtarani</w:t>
      </w:r>
      <w:proofErr w:type="spellEnd"/>
      <w:r w:rsidRPr="00D75907">
        <w:rPr>
          <w:rFonts w:ascii="Palatino Linotype" w:hAnsi="Palatino Linotype"/>
          <w:sz w:val="20"/>
          <w:szCs w:val="20"/>
          <w:lang w:val="en-GB"/>
        </w:rPr>
        <w:t xml:space="preserve">, A., Saif, A., &amp; Ghasemi, A. (2022). </w:t>
      </w:r>
      <w:r w:rsidRPr="00D75907">
        <w:rPr>
          <w:rFonts w:ascii="Palatino Linotype" w:hAnsi="Palatino Linotype"/>
          <w:b/>
          <w:bCs/>
          <w:sz w:val="20"/>
          <w:szCs w:val="20"/>
          <w:lang w:val="en-GB"/>
        </w:rPr>
        <w:t>Robust Portfolio Selection Problems: A Comprehensive Review</w:t>
      </w:r>
      <w:r w:rsidRPr="00D75907">
        <w:rPr>
          <w:rFonts w:ascii="Palatino Linotype" w:hAnsi="Palatino Linotype"/>
          <w:sz w:val="20"/>
          <w:szCs w:val="20"/>
          <w:lang w:val="en-GB"/>
        </w:rPr>
        <w:t xml:space="preserve">. </w:t>
      </w:r>
      <w:r w:rsidRPr="00D75907">
        <w:rPr>
          <w:rFonts w:ascii="Palatino Linotype" w:hAnsi="Palatino Linotype"/>
          <w:i/>
          <w:iCs/>
          <w:sz w:val="20"/>
          <w:szCs w:val="20"/>
          <w:lang w:val="en-GB"/>
        </w:rPr>
        <w:t>Operational Research</w:t>
      </w:r>
      <w:r w:rsidRPr="00D75907">
        <w:rPr>
          <w:rFonts w:ascii="Palatino Linotype" w:hAnsi="Palatino Linotype"/>
          <w:sz w:val="20"/>
          <w:szCs w:val="20"/>
          <w:lang w:val="en-GB"/>
        </w:rPr>
        <w:t>, 22(4), 3203–3264.</w:t>
      </w:r>
      <w:r w:rsidRPr="00D75907">
        <w:rPr>
          <w:rFonts w:ascii="Palatino Linotype" w:hAnsi="Palatino Linotype"/>
          <w:sz w:val="20"/>
          <w:szCs w:val="20"/>
          <w:lang w:val="en-GB"/>
        </w:rPr>
        <w:br/>
        <w:t xml:space="preserve">[23] </w:t>
      </w:r>
      <w:proofErr w:type="spellStart"/>
      <w:r w:rsidRPr="00D75907">
        <w:rPr>
          <w:rFonts w:ascii="Palatino Linotype" w:hAnsi="Palatino Linotype"/>
          <w:sz w:val="20"/>
          <w:szCs w:val="20"/>
          <w:lang w:val="en-GB"/>
        </w:rPr>
        <w:t>Fliege</w:t>
      </w:r>
      <w:proofErr w:type="spellEnd"/>
      <w:r w:rsidRPr="00D75907">
        <w:rPr>
          <w:rFonts w:ascii="Palatino Linotype" w:hAnsi="Palatino Linotype"/>
          <w:sz w:val="20"/>
          <w:szCs w:val="20"/>
          <w:lang w:val="en-GB"/>
        </w:rPr>
        <w:t xml:space="preserve">, J., &amp; Werner, R. (2014). </w:t>
      </w:r>
      <w:r w:rsidRPr="00D75907">
        <w:rPr>
          <w:rFonts w:ascii="Palatino Linotype" w:hAnsi="Palatino Linotype"/>
          <w:b/>
          <w:bCs/>
          <w:sz w:val="20"/>
          <w:szCs w:val="20"/>
          <w:lang w:val="en-GB"/>
        </w:rPr>
        <w:t xml:space="preserve">Robust </w:t>
      </w:r>
      <w:proofErr w:type="spellStart"/>
      <w:r w:rsidRPr="00D75907">
        <w:rPr>
          <w:rFonts w:ascii="Palatino Linotype" w:hAnsi="Palatino Linotype"/>
          <w:b/>
          <w:bCs/>
          <w:sz w:val="20"/>
          <w:szCs w:val="20"/>
          <w:lang w:val="en-GB"/>
        </w:rPr>
        <w:t>Multiobjective</w:t>
      </w:r>
      <w:proofErr w:type="spellEnd"/>
      <w:r w:rsidRPr="00D75907">
        <w:rPr>
          <w:rFonts w:ascii="Palatino Linotype" w:hAnsi="Palatino Linotype"/>
          <w:b/>
          <w:bCs/>
          <w:sz w:val="20"/>
          <w:szCs w:val="20"/>
          <w:lang w:val="en-GB"/>
        </w:rPr>
        <w:t xml:space="preserve"> Optimization &amp; Applications in Portfolio Optimization</w:t>
      </w:r>
      <w:r w:rsidRPr="00D75907">
        <w:rPr>
          <w:rFonts w:ascii="Palatino Linotype" w:hAnsi="Palatino Linotype"/>
          <w:sz w:val="20"/>
          <w:szCs w:val="20"/>
          <w:lang w:val="en-GB"/>
        </w:rPr>
        <w:t xml:space="preserve">. </w:t>
      </w:r>
      <w:r w:rsidRPr="00D75907">
        <w:rPr>
          <w:rFonts w:ascii="Palatino Linotype" w:hAnsi="Palatino Linotype"/>
          <w:i/>
          <w:iCs/>
          <w:sz w:val="20"/>
          <w:szCs w:val="20"/>
          <w:lang w:val="en-GB"/>
        </w:rPr>
        <w:t>European Journal of Operational Research</w:t>
      </w:r>
      <w:r w:rsidRPr="00D75907">
        <w:rPr>
          <w:rFonts w:ascii="Palatino Linotype" w:hAnsi="Palatino Linotype"/>
          <w:sz w:val="20"/>
          <w:szCs w:val="20"/>
          <w:lang w:val="en-GB"/>
        </w:rPr>
        <w:t>, 234(2), 422–433.</w:t>
      </w:r>
      <w:r w:rsidRPr="00D75907">
        <w:rPr>
          <w:rFonts w:ascii="Palatino Linotype" w:hAnsi="Palatino Linotype"/>
          <w:sz w:val="20"/>
          <w:szCs w:val="20"/>
          <w:lang w:val="en-GB"/>
        </w:rPr>
        <w:br/>
        <w:t xml:space="preserve">[24] Giglio, S., Kelly, B. T., &amp; Xiu, D. (2022). </w:t>
      </w:r>
      <w:r w:rsidRPr="00D75907">
        <w:rPr>
          <w:rFonts w:ascii="Palatino Linotype" w:hAnsi="Palatino Linotype"/>
          <w:b/>
          <w:bCs/>
          <w:sz w:val="20"/>
          <w:szCs w:val="20"/>
          <w:lang w:val="en-GB"/>
        </w:rPr>
        <w:t>Factor Models, Machine Learning, and Asset Pricing</w:t>
      </w:r>
      <w:r w:rsidRPr="00D75907">
        <w:rPr>
          <w:rFonts w:ascii="Palatino Linotype" w:hAnsi="Palatino Linotype"/>
          <w:sz w:val="20"/>
          <w:szCs w:val="20"/>
          <w:lang w:val="en-GB"/>
        </w:rPr>
        <w:t xml:space="preserve">. </w:t>
      </w:r>
      <w:r w:rsidRPr="00D75907">
        <w:rPr>
          <w:rFonts w:ascii="Palatino Linotype" w:hAnsi="Palatino Linotype"/>
          <w:i/>
          <w:iCs/>
          <w:sz w:val="20"/>
          <w:szCs w:val="20"/>
          <w:lang w:val="en-GB"/>
        </w:rPr>
        <w:t>Annual Review of Financial Economics</w:t>
      </w:r>
      <w:r w:rsidRPr="00D75907">
        <w:rPr>
          <w:rFonts w:ascii="Palatino Linotype" w:hAnsi="Palatino Linotype"/>
          <w:sz w:val="20"/>
          <w:szCs w:val="20"/>
          <w:lang w:val="en-GB"/>
        </w:rPr>
        <w:t>, 14, 337–368.</w:t>
      </w:r>
      <w:r w:rsidRPr="00D75907">
        <w:rPr>
          <w:rFonts w:ascii="Palatino Linotype" w:hAnsi="Palatino Linotype"/>
          <w:sz w:val="20"/>
          <w:szCs w:val="20"/>
          <w:lang w:val="en-GB"/>
        </w:rPr>
        <w:br/>
        <w:t xml:space="preserve">[25] Gu, S., Kelly, B. T., &amp; Xiu, D. (2020). </w:t>
      </w:r>
      <w:r w:rsidRPr="00D75907">
        <w:rPr>
          <w:rFonts w:ascii="Palatino Linotype" w:hAnsi="Palatino Linotype"/>
          <w:b/>
          <w:bCs/>
          <w:sz w:val="20"/>
          <w:szCs w:val="20"/>
          <w:lang w:val="en-GB"/>
        </w:rPr>
        <w:t>Empirical Asset Pricing via Machine Learning</w:t>
      </w:r>
      <w:r w:rsidRPr="00D75907">
        <w:rPr>
          <w:rFonts w:ascii="Palatino Linotype" w:hAnsi="Palatino Linotype"/>
          <w:sz w:val="20"/>
          <w:szCs w:val="20"/>
          <w:lang w:val="en-GB"/>
        </w:rPr>
        <w:t xml:space="preserve">. </w:t>
      </w:r>
      <w:r w:rsidRPr="00D75907">
        <w:rPr>
          <w:rFonts w:ascii="Palatino Linotype" w:hAnsi="Palatino Linotype"/>
          <w:i/>
          <w:iCs/>
          <w:sz w:val="20"/>
          <w:szCs w:val="20"/>
          <w:lang w:val="en-GB"/>
        </w:rPr>
        <w:t>Review of Financial Studies</w:t>
      </w:r>
      <w:r w:rsidRPr="00D75907">
        <w:rPr>
          <w:rFonts w:ascii="Palatino Linotype" w:hAnsi="Palatino Linotype"/>
          <w:sz w:val="20"/>
          <w:szCs w:val="20"/>
          <w:lang w:val="en-GB"/>
        </w:rPr>
        <w:t>, 33(5), 2223–2273.</w:t>
      </w:r>
      <w:r w:rsidRPr="00D75907">
        <w:rPr>
          <w:rFonts w:ascii="Palatino Linotype" w:hAnsi="Palatino Linotype"/>
          <w:sz w:val="20"/>
          <w:szCs w:val="20"/>
          <w:lang w:val="en-GB"/>
        </w:rPr>
        <w:br/>
        <w:t xml:space="preserve">[26] Fischer, T., &amp; Krauss, C. (2018). </w:t>
      </w:r>
      <w:r w:rsidRPr="00D75907">
        <w:rPr>
          <w:rFonts w:ascii="Palatino Linotype" w:hAnsi="Palatino Linotype"/>
          <w:b/>
          <w:bCs/>
          <w:sz w:val="20"/>
          <w:szCs w:val="20"/>
          <w:lang w:val="en-GB"/>
        </w:rPr>
        <w:t>Deep Learning with Long Short</w:t>
      </w:r>
      <w:r w:rsidRPr="00D75907">
        <w:rPr>
          <w:rFonts w:ascii="Palatino Linotype" w:hAnsi="Palatino Linotype"/>
          <w:b/>
          <w:bCs/>
          <w:sz w:val="20"/>
          <w:szCs w:val="20"/>
          <w:lang w:val="en-GB"/>
        </w:rPr>
        <w:noBreakHyphen/>
        <w:t>Term Memory Networks for Financial Market Predictions</w:t>
      </w:r>
      <w:r w:rsidRPr="00D75907">
        <w:rPr>
          <w:rFonts w:ascii="Palatino Linotype" w:hAnsi="Palatino Linotype"/>
          <w:sz w:val="20"/>
          <w:szCs w:val="20"/>
          <w:lang w:val="en-GB"/>
        </w:rPr>
        <w:t xml:space="preserve">. </w:t>
      </w:r>
      <w:r w:rsidRPr="00D75907">
        <w:rPr>
          <w:rFonts w:ascii="Palatino Linotype" w:hAnsi="Palatino Linotype"/>
          <w:i/>
          <w:iCs/>
          <w:sz w:val="20"/>
          <w:szCs w:val="20"/>
          <w:lang w:val="en-GB"/>
        </w:rPr>
        <w:t>European Journal of Operational Research</w:t>
      </w:r>
      <w:r w:rsidRPr="00D75907">
        <w:rPr>
          <w:rFonts w:ascii="Palatino Linotype" w:hAnsi="Palatino Linotype"/>
          <w:sz w:val="20"/>
          <w:szCs w:val="20"/>
          <w:lang w:val="en-GB"/>
        </w:rPr>
        <w:t>, 270(2), 654–669.</w:t>
      </w:r>
      <w:r w:rsidRPr="00D75907">
        <w:rPr>
          <w:rFonts w:ascii="Palatino Linotype" w:hAnsi="Palatino Linotype"/>
          <w:sz w:val="20"/>
          <w:szCs w:val="20"/>
          <w:lang w:val="en-GB"/>
        </w:rPr>
        <w:br/>
        <w:t xml:space="preserve">[27] Krauss, C., Do, X. A., &amp; Huck, N. (2017). </w:t>
      </w:r>
      <w:r w:rsidRPr="00D75907">
        <w:rPr>
          <w:rFonts w:ascii="Palatino Linotype" w:hAnsi="Palatino Linotype"/>
          <w:b/>
          <w:bCs/>
          <w:sz w:val="20"/>
          <w:szCs w:val="20"/>
          <w:lang w:val="en-GB"/>
        </w:rPr>
        <w:t>Deep Neural Networks, Gradient</w:t>
      </w:r>
      <w:r w:rsidRPr="00D75907">
        <w:rPr>
          <w:rFonts w:ascii="Palatino Linotype" w:hAnsi="Palatino Linotype"/>
          <w:b/>
          <w:bCs/>
          <w:sz w:val="20"/>
          <w:szCs w:val="20"/>
          <w:lang w:val="en-GB"/>
        </w:rPr>
        <w:noBreakHyphen/>
        <w:t>Boosted Trees, Random Forests: Statistical Arbitrage on the S&amp;P 500</w:t>
      </w:r>
      <w:r w:rsidRPr="00D75907">
        <w:rPr>
          <w:rFonts w:ascii="Palatino Linotype" w:hAnsi="Palatino Linotype"/>
          <w:sz w:val="20"/>
          <w:szCs w:val="20"/>
          <w:lang w:val="en-GB"/>
        </w:rPr>
        <w:t xml:space="preserve">. </w:t>
      </w:r>
      <w:r w:rsidRPr="00D75907">
        <w:rPr>
          <w:rFonts w:ascii="Palatino Linotype" w:hAnsi="Palatino Linotype"/>
          <w:i/>
          <w:iCs/>
          <w:sz w:val="20"/>
          <w:szCs w:val="20"/>
          <w:lang w:val="en-GB"/>
        </w:rPr>
        <w:t>Journal of Economic Surveys</w:t>
      </w:r>
      <w:r w:rsidRPr="00D75907">
        <w:rPr>
          <w:rFonts w:ascii="Palatino Linotype" w:hAnsi="Palatino Linotype"/>
          <w:sz w:val="20"/>
          <w:szCs w:val="20"/>
          <w:lang w:val="en-GB"/>
        </w:rPr>
        <w:t>, 31(1), 51–85.</w:t>
      </w:r>
      <w:r w:rsidRPr="00D75907">
        <w:rPr>
          <w:rFonts w:ascii="Palatino Linotype" w:hAnsi="Palatino Linotype"/>
          <w:sz w:val="20"/>
          <w:szCs w:val="20"/>
          <w:lang w:val="en-GB"/>
        </w:rPr>
        <w:br/>
        <w:t xml:space="preserve">[28] Kelly, B. T., Pruitt, S., &amp; Su, Y. (2019). </w:t>
      </w:r>
      <w:r w:rsidRPr="00D75907">
        <w:rPr>
          <w:rFonts w:ascii="Palatino Linotype" w:hAnsi="Palatino Linotype"/>
          <w:b/>
          <w:bCs/>
          <w:sz w:val="20"/>
          <w:szCs w:val="20"/>
          <w:lang w:val="en-GB"/>
        </w:rPr>
        <w:t>Characteristics Are Covariances: A Unified Model of Risk and Return</w:t>
      </w:r>
      <w:r w:rsidRPr="00D75907">
        <w:rPr>
          <w:rFonts w:ascii="Palatino Linotype" w:hAnsi="Palatino Linotype"/>
          <w:sz w:val="20"/>
          <w:szCs w:val="20"/>
          <w:lang w:val="en-GB"/>
        </w:rPr>
        <w:t xml:space="preserve">. </w:t>
      </w:r>
      <w:r w:rsidRPr="00D75907">
        <w:rPr>
          <w:rFonts w:ascii="Palatino Linotype" w:hAnsi="Palatino Linotype"/>
          <w:i/>
          <w:iCs/>
          <w:sz w:val="20"/>
          <w:szCs w:val="20"/>
          <w:lang w:val="en-GB"/>
        </w:rPr>
        <w:t>Journal of Financial Economics</w:t>
      </w:r>
      <w:r w:rsidRPr="00D75907">
        <w:rPr>
          <w:rFonts w:ascii="Palatino Linotype" w:hAnsi="Palatino Linotype"/>
          <w:sz w:val="20"/>
          <w:szCs w:val="20"/>
          <w:lang w:val="en-GB"/>
        </w:rPr>
        <w:t>, 134(3), 501–524.</w:t>
      </w:r>
      <w:r w:rsidRPr="00D75907">
        <w:rPr>
          <w:rFonts w:ascii="Palatino Linotype" w:hAnsi="Palatino Linotype"/>
          <w:sz w:val="20"/>
          <w:szCs w:val="20"/>
          <w:lang w:val="en-GB"/>
        </w:rPr>
        <w:br/>
        <w:t xml:space="preserve">[29] Chen, L., Pelger, M., &amp; Zhu, J. (2023). </w:t>
      </w:r>
      <w:r w:rsidRPr="00D75907">
        <w:rPr>
          <w:rFonts w:ascii="Palatino Linotype" w:hAnsi="Palatino Linotype"/>
          <w:b/>
          <w:bCs/>
          <w:sz w:val="20"/>
          <w:szCs w:val="20"/>
          <w:lang w:val="en-GB"/>
        </w:rPr>
        <w:t>Deep Learning in Asset Pricing</w:t>
      </w:r>
      <w:r w:rsidRPr="00D75907">
        <w:rPr>
          <w:rFonts w:ascii="Palatino Linotype" w:hAnsi="Palatino Linotype"/>
          <w:sz w:val="20"/>
          <w:szCs w:val="20"/>
          <w:lang w:val="en-GB"/>
        </w:rPr>
        <w:t xml:space="preserve">. </w:t>
      </w:r>
      <w:r w:rsidRPr="00D75907">
        <w:rPr>
          <w:rFonts w:ascii="Palatino Linotype" w:hAnsi="Palatino Linotype"/>
          <w:i/>
          <w:iCs/>
          <w:sz w:val="20"/>
          <w:szCs w:val="20"/>
          <w:lang w:val="en-GB"/>
        </w:rPr>
        <w:t>Management Science</w:t>
      </w:r>
      <w:r w:rsidRPr="00D75907">
        <w:rPr>
          <w:rFonts w:ascii="Palatino Linotype" w:hAnsi="Palatino Linotype"/>
          <w:sz w:val="20"/>
          <w:szCs w:val="20"/>
          <w:lang w:val="en-GB"/>
        </w:rPr>
        <w:t>, 69(2), 678–701.</w:t>
      </w:r>
      <w:r w:rsidRPr="00D75907">
        <w:rPr>
          <w:rFonts w:ascii="Palatino Linotype" w:hAnsi="Palatino Linotype"/>
          <w:sz w:val="20"/>
          <w:szCs w:val="20"/>
          <w:lang w:val="en-GB"/>
        </w:rPr>
        <w:br/>
        <w:t xml:space="preserve">[30] Feng, G., He, J., &amp; Polson, N. (2024). </w:t>
      </w:r>
      <w:r w:rsidRPr="00D75907">
        <w:rPr>
          <w:rFonts w:ascii="Palatino Linotype" w:hAnsi="Palatino Linotype"/>
          <w:b/>
          <w:bCs/>
          <w:sz w:val="20"/>
          <w:szCs w:val="20"/>
          <w:lang w:val="en-GB"/>
        </w:rPr>
        <w:t>Deep Learning in Characteristics</w:t>
      </w:r>
      <w:r w:rsidRPr="00D75907">
        <w:rPr>
          <w:rFonts w:ascii="Palatino Linotype" w:hAnsi="Palatino Linotype"/>
          <w:b/>
          <w:bCs/>
          <w:sz w:val="20"/>
          <w:szCs w:val="20"/>
          <w:lang w:val="en-GB"/>
        </w:rPr>
        <w:noBreakHyphen/>
        <w:t>Sorted Factor Models</w:t>
      </w:r>
      <w:r w:rsidRPr="00D75907">
        <w:rPr>
          <w:rFonts w:ascii="Palatino Linotype" w:hAnsi="Palatino Linotype"/>
          <w:sz w:val="20"/>
          <w:szCs w:val="20"/>
          <w:lang w:val="en-GB"/>
        </w:rPr>
        <w:t xml:space="preserve">. </w:t>
      </w:r>
      <w:r w:rsidRPr="00D75907">
        <w:rPr>
          <w:rFonts w:ascii="Palatino Linotype" w:hAnsi="Palatino Linotype"/>
          <w:i/>
          <w:iCs/>
          <w:sz w:val="20"/>
          <w:szCs w:val="20"/>
          <w:lang w:val="en-GB"/>
        </w:rPr>
        <w:t>Journal of Financial and Quantitative Analysis</w:t>
      </w:r>
      <w:r w:rsidRPr="00D75907">
        <w:rPr>
          <w:rFonts w:ascii="Palatino Linotype" w:hAnsi="Palatino Linotype"/>
          <w:sz w:val="20"/>
          <w:szCs w:val="20"/>
          <w:lang w:val="en-GB"/>
        </w:rPr>
        <w:t>, 59(2), 375–401.</w:t>
      </w:r>
      <w:r w:rsidRPr="00D75907">
        <w:rPr>
          <w:rFonts w:ascii="Palatino Linotype" w:hAnsi="Palatino Linotype"/>
          <w:sz w:val="20"/>
          <w:szCs w:val="20"/>
          <w:lang w:val="en-GB"/>
        </w:rPr>
        <w:br/>
        <w:t xml:space="preserve">[31] </w:t>
      </w:r>
      <w:proofErr w:type="spellStart"/>
      <w:r w:rsidRPr="00D75907">
        <w:rPr>
          <w:rFonts w:ascii="Palatino Linotype" w:hAnsi="Palatino Linotype"/>
          <w:sz w:val="20"/>
          <w:szCs w:val="20"/>
          <w:lang w:val="en-GB"/>
        </w:rPr>
        <w:t>Kapetanios</w:t>
      </w:r>
      <w:proofErr w:type="spellEnd"/>
      <w:r w:rsidRPr="00D75907">
        <w:rPr>
          <w:rFonts w:ascii="Palatino Linotype" w:hAnsi="Palatino Linotype"/>
          <w:sz w:val="20"/>
          <w:szCs w:val="20"/>
          <w:lang w:val="en-GB"/>
        </w:rPr>
        <w:t xml:space="preserve">, G., Kempf, A., &amp; </w:t>
      </w:r>
      <w:proofErr w:type="spellStart"/>
      <w:r w:rsidRPr="00D75907">
        <w:rPr>
          <w:rFonts w:ascii="Palatino Linotype" w:hAnsi="Palatino Linotype"/>
          <w:sz w:val="20"/>
          <w:szCs w:val="20"/>
          <w:lang w:val="en-GB"/>
        </w:rPr>
        <w:t>Massacci</w:t>
      </w:r>
      <w:proofErr w:type="spellEnd"/>
      <w:r w:rsidRPr="00D75907">
        <w:rPr>
          <w:rFonts w:ascii="Palatino Linotype" w:hAnsi="Palatino Linotype"/>
          <w:sz w:val="20"/>
          <w:szCs w:val="20"/>
          <w:lang w:val="en-GB"/>
        </w:rPr>
        <w:t xml:space="preserve">, D. (2023). </w:t>
      </w:r>
      <w:r w:rsidRPr="00D75907">
        <w:rPr>
          <w:rFonts w:ascii="Palatino Linotype" w:hAnsi="Palatino Linotype"/>
          <w:b/>
          <w:bCs/>
          <w:sz w:val="20"/>
          <w:szCs w:val="20"/>
          <w:lang w:val="en-GB"/>
        </w:rPr>
        <w:t>Interpretable Machine Learning for Asset Pricing</w:t>
      </w:r>
      <w:r w:rsidRPr="00D75907">
        <w:rPr>
          <w:rFonts w:ascii="Palatino Linotype" w:hAnsi="Palatino Linotype"/>
          <w:sz w:val="20"/>
          <w:szCs w:val="20"/>
          <w:lang w:val="en-GB"/>
        </w:rPr>
        <w:t xml:space="preserve">. </w:t>
      </w:r>
      <w:r w:rsidRPr="00D75907">
        <w:rPr>
          <w:rFonts w:ascii="Palatino Linotype" w:hAnsi="Palatino Linotype"/>
          <w:i/>
          <w:iCs/>
          <w:sz w:val="20"/>
          <w:szCs w:val="20"/>
          <w:lang w:val="en-GB"/>
        </w:rPr>
        <w:t>SSRN Working Paper</w:t>
      </w:r>
      <w:r w:rsidRPr="00D75907">
        <w:rPr>
          <w:rFonts w:ascii="Palatino Linotype" w:hAnsi="Palatino Linotype"/>
          <w:sz w:val="20"/>
          <w:szCs w:val="20"/>
          <w:lang w:val="en-GB"/>
        </w:rPr>
        <w:t>.</w:t>
      </w:r>
      <w:r w:rsidRPr="00D75907">
        <w:rPr>
          <w:rFonts w:ascii="Palatino Linotype" w:hAnsi="Palatino Linotype"/>
          <w:sz w:val="20"/>
          <w:szCs w:val="20"/>
          <w:lang w:val="en-GB"/>
        </w:rPr>
        <w:br/>
        <w:t>[32] Lundberg, S. M., &amp; Lee, S.</w:t>
      </w:r>
      <w:r w:rsidRPr="00D75907">
        <w:rPr>
          <w:rFonts w:ascii="Palatino Linotype" w:hAnsi="Palatino Linotype"/>
          <w:sz w:val="20"/>
          <w:szCs w:val="20"/>
          <w:lang w:val="en-GB"/>
        </w:rPr>
        <w:noBreakHyphen/>
        <w:t xml:space="preserve">I. (2017). </w:t>
      </w:r>
      <w:r w:rsidRPr="00D75907">
        <w:rPr>
          <w:rFonts w:ascii="Palatino Linotype" w:hAnsi="Palatino Linotype"/>
          <w:b/>
          <w:bCs/>
          <w:sz w:val="20"/>
          <w:szCs w:val="20"/>
          <w:lang w:val="en-GB"/>
        </w:rPr>
        <w:t>A Unified Approach to Interpreting Model Predictions</w:t>
      </w:r>
      <w:r w:rsidRPr="00D75907">
        <w:rPr>
          <w:rFonts w:ascii="Palatino Linotype" w:hAnsi="Palatino Linotype"/>
          <w:sz w:val="20"/>
          <w:szCs w:val="20"/>
          <w:lang w:val="en-GB"/>
        </w:rPr>
        <w:t xml:space="preserve">. </w:t>
      </w:r>
      <w:proofErr w:type="spellStart"/>
      <w:r w:rsidRPr="00D75907">
        <w:rPr>
          <w:rFonts w:ascii="Palatino Linotype" w:hAnsi="Palatino Linotype"/>
          <w:i/>
          <w:iCs/>
          <w:sz w:val="20"/>
          <w:szCs w:val="20"/>
          <w:lang w:val="en-GB"/>
        </w:rPr>
        <w:t>NeurIPS</w:t>
      </w:r>
      <w:proofErr w:type="spellEnd"/>
      <w:r w:rsidRPr="00D75907">
        <w:rPr>
          <w:rFonts w:ascii="Palatino Linotype" w:hAnsi="Palatino Linotype"/>
          <w:sz w:val="20"/>
          <w:szCs w:val="20"/>
          <w:lang w:val="en-GB"/>
        </w:rPr>
        <w:t>, 30, 4765–4774.</w:t>
      </w:r>
      <w:r w:rsidRPr="00D75907">
        <w:rPr>
          <w:rFonts w:ascii="Palatino Linotype" w:hAnsi="Palatino Linotype"/>
          <w:sz w:val="20"/>
          <w:szCs w:val="20"/>
          <w:lang w:val="en-GB"/>
        </w:rPr>
        <w:br/>
        <w:t xml:space="preserve">[33] Arsenault, P. D., Wang, S., &amp; Patenaude, J. M. (2024). </w:t>
      </w:r>
      <w:r w:rsidRPr="00D75907">
        <w:rPr>
          <w:rFonts w:ascii="Palatino Linotype" w:hAnsi="Palatino Linotype"/>
          <w:b/>
          <w:bCs/>
          <w:sz w:val="20"/>
          <w:szCs w:val="20"/>
          <w:lang w:val="en-GB"/>
        </w:rPr>
        <w:t>A Survey of Explainable Artificial Intelligence (XAI) in Financial Time Series Forecasting</w:t>
      </w:r>
      <w:r w:rsidRPr="00D75907">
        <w:rPr>
          <w:rFonts w:ascii="Palatino Linotype" w:hAnsi="Palatino Linotype"/>
          <w:sz w:val="20"/>
          <w:szCs w:val="20"/>
          <w:lang w:val="en-GB"/>
        </w:rPr>
        <w:t xml:space="preserve">. </w:t>
      </w:r>
      <w:proofErr w:type="spellStart"/>
      <w:r w:rsidRPr="00D75907">
        <w:rPr>
          <w:rFonts w:ascii="Palatino Linotype" w:hAnsi="Palatino Linotype"/>
          <w:i/>
          <w:iCs/>
          <w:sz w:val="20"/>
          <w:szCs w:val="20"/>
          <w:lang w:val="en-GB"/>
        </w:rPr>
        <w:t>arXiv</w:t>
      </w:r>
      <w:proofErr w:type="spellEnd"/>
      <w:r w:rsidRPr="00D75907">
        <w:rPr>
          <w:rFonts w:ascii="Palatino Linotype" w:hAnsi="Palatino Linotype"/>
          <w:i/>
          <w:iCs/>
          <w:sz w:val="20"/>
          <w:szCs w:val="20"/>
          <w:lang w:val="en-GB"/>
        </w:rPr>
        <w:t xml:space="preserve"> preprint</w:t>
      </w:r>
      <w:r w:rsidRPr="00D75907">
        <w:rPr>
          <w:rFonts w:ascii="Palatino Linotype" w:hAnsi="Palatino Linotype"/>
          <w:sz w:val="20"/>
          <w:szCs w:val="20"/>
          <w:lang w:val="en-GB"/>
        </w:rPr>
        <w:t>.</w:t>
      </w:r>
      <w:r w:rsidRPr="00D75907">
        <w:rPr>
          <w:rFonts w:ascii="Palatino Linotype" w:hAnsi="Palatino Linotype"/>
          <w:sz w:val="20"/>
          <w:szCs w:val="20"/>
          <w:lang w:val="en-GB"/>
        </w:rPr>
        <w:br/>
        <w:t xml:space="preserve">[34] Moody, J., Wu, L., Liao, Y., &amp; Saffell, M. (1998). </w:t>
      </w:r>
      <w:r w:rsidRPr="00D75907">
        <w:rPr>
          <w:rFonts w:ascii="Palatino Linotype" w:hAnsi="Palatino Linotype"/>
          <w:b/>
          <w:bCs/>
          <w:sz w:val="20"/>
          <w:szCs w:val="20"/>
          <w:lang w:val="en-GB"/>
        </w:rPr>
        <w:t>Performance Functions and Reinforcement Learning for Trading Systems and Portfolios</w:t>
      </w:r>
      <w:r w:rsidRPr="00D75907">
        <w:rPr>
          <w:rFonts w:ascii="Palatino Linotype" w:hAnsi="Palatino Linotype"/>
          <w:sz w:val="20"/>
          <w:szCs w:val="20"/>
          <w:lang w:val="en-GB"/>
        </w:rPr>
        <w:t xml:space="preserve">. </w:t>
      </w:r>
      <w:r w:rsidRPr="00D75907">
        <w:rPr>
          <w:rFonts w:ascii="Palatino Linotype" w:hAnsi="Palatino Linotype"/>
          <w:i/>
          <w:iCs/>
          <w:sz w:val="20"/>
          <w:szCs w:val="20"/>
          <w:lang w:val="en-GB"/>
        </w:rPr>
        <w:t>Journal of Forecasting</w:t>
      </w:r>
      <w:r w:rsidRPr="00D75907">
        <w:rPr>
          <w:rFonts w:ascii="Palatino Linotype" w:hAnsi="Palatino Linotype"/>
          <w:sz w:val="20"/>
          <w:szCs w:val="20"/>
          <w:lang w:val="en-GB"/>
        </w:rPr>
        <w:t>, 17(5–6), 441–470.</w:t>
      </w:r>
      <w:r w:rsidRPr="00D75907">
        <w:rPr>
          <w:rFonts w:ascii="Palatino Linotype" w:hAnsi="Palatino Linotype"/>
          <w:sz w:val="20"/>
          <w:szCs w:val="20"/>
          <w:lang w:val="en-GB"/>
        </w:rPr>
        <w:br/>
        <w:t xml:space="preserve">[35] Almahdi, S. Y., &amp; Yang, S. Y. (2017). </w:t>
      </w:r>
      <w:r w:rsidRPr="00D75907">
        <w:rPr>
          <w:rFonts w:ascii="Palatino Linotype" w:hAnsi="Palatino Linotype"/>
          <w:b/>
          <w:bCs/>
          <w:sz w:val="20"/>
          <w:szCs w:val="20"/>
          <w:lang w:val="en-GB"/>
        </w:rPr>
        <w:t>An Adaptive Portfolio Trading System: A Risk–Return Portfolio Optimization Using Recurrent Reinforcement Learning with Expected Maximum Drawdown</w:t>
      </w:r>
      <w:r w:rsidRPr="00D75907">
        <w:rPr>
          <w:rFonts w:ascii="Palatino Linotype" w:hAnsi="Palatino Linotype"/>
          <w:sz w:val="20"/>
          <w:szCs w:val="20"/>
          <w:lang w:val="en-GB"/>
        </w:rPr>
        <w:t xml:space="preserve">. </w:t>
      </w:r>
      <w:r w:rsidRPr="00D75907">
        <w:rPr>
          <w:rFonts w:ascii="Palatino Linotype" w:hAnsi="Palatino Linotype"/>
          <w:i/>
          <w:iCs/>
          <w:sz w:val="20"/>
          <w:szCs w:val="20"/>
          <w:lang w:val="en-GB"/>
        </w:rPr>
        <w:t>Expert Systems with Applications</w:t>
      </w:r>
      <w:r w:rsidRPr="00D75907">
        <w:rPr>
          <w:rFonts w:ascii="Palatino Linotype" w:hAnsi="Palatino Linotype"/>
          <w:sz w:val="20"/>
          <w:szCs w:val="20"/>
          <w:lang w:val="en-GB"/>
        </w:rPr>
        <w:t>, 87, 267–279.</w:t>
      </w:r>
      <w:r w:rsidRPr="00D75907">
        <w:rPr>
          <w:rFonts w:ascii="Palatino Linotype" w:hAnsi="Palatino Linotype"/>
          <w:sz w:val="20"/>
          <w:szCs w:val="20"/>
          <w:lang w:val="en-GB"/>
        </w:rPr>
        <w:br/>
        <w:t xml:space="preserve">[36] Jiang, Z., Xu, Z., &amp; Liang, J. (2017). </w:t>
      </w:r>
      <w:r w:rsidRPr="00D75907">
        <w:rPr>
          <w:rFonts w:ascii="Palatino Linotype" w:hAnsi="Palatino Linotype"/>
          <w:b/>
          <w:bCs/>
          <w:sz w:val="20"/>
          <w:szCs w:val="20"/>
          <w:lang w:val="en-GB"/>
        </w:rPr>
        <w:t>A Deep Reinforcement Learning Framework for the Financial Portfolio Management Problem</w:t>
      </w:r>
      <w:r w:rsidRPr="00D75907">
        <w:rPr>
          <w:rFonts w:ascii="Palatino Linotype" w:hAnsi="Palatino Linotype"/>
          <w:sz w:val="20"/>
          <w:szCs w:val="20"/>
          <w:lang w:val="en-GB"/>
        </w:rPr>
        <w:t xml:space="preserve">. </w:t>
      </w:r>
      <w:r w:rsidRPr="00D75907">
        <w:rPr>
          <w:rFonts w:ascii="Palatino Linotype" w:hAnsi="Palatino Linotype"/>
          <w:i/>
          <w:iCs/>
          <w:sz w:val="20"/>
          <w:szCs w:val="20"/>
          <w:lang w:val="en-GB"/>
        </w:rPr>
        <w:t>arXiv:1706.10059</w:t>
      </w:r>
      <w:r w:rsidRPr="00D75907">
        <w:rPr>
          <w:rFonts w:ascii="Palatino Linotype" w:hAnsi="Palatino Linotype"/>
          <w:sz w:val="20"/>
          <w:szCs w:val="20"/>
          <w:lang w:val="en-GB"/>
        </w:rPr>
        <w:t>.</w:t>
      </w:r>
      <w:r w:rsidRPr="00D75907">
        <w:rPr>
          <w:rFonts w:ascii="Palatino Linotype" w:hAnsi="Palatino Linotype"/>
          <w:sz w:val="20"/>
          <w:szCs w:val="20"/>
          <w:lang w:val="en-GB"/>
        </w:rPr>
        <w:br/>
      </w:r>
      <w:r w:rsidRPr="00D75907">
        <w:rPr>
          <w:rFonts w:ascii="Palatino Linotype" w:hAnsi="Palatino Linotype"/>
          <w:sz w:val="20"/>
          <w:szCs w:val="20"/>
          <w:lang w:val="en-GB"/>
        </w:rPr>
        <w:lastRenderedPageBreak/>
        <w:t>[37] Xiong, Z., Liu, X.</w:t>
      </w:r>
      <w:r w:rsidRPr="00D75907">
        <w:rPr>
          <w:rFonts w:ascii="Palatino Linotype" w:hAnsi="Palatino Linotype"/>
          <w:sz w:val="20"/>
          <w:szCs w:val="20"/>
          <w:lang w:val="en-GB"/>
        </w:rPr>
        <w:noBreakHyphen/>
        <w:t xml:space="preserve">Y., Zhao, S., Zhu, S., &amp; Chang, E. (2018). </w:t>
      </w:r>
      <w:r w:rsidRPr="00D75907">
        <w:rPr>
          <w:rFonts w:ascii="Palatino Linotype" w:hAnsi="Palatino Linotype"/>
          <w:b/>
          <w:bCs/>
          <w:sz w:val="20"/>
          <w:szCs w:val="20"/>
          <w:lang w:val="en-GB"/>
        </w:rPr>
        <w:t>Practical Deep Reinforcement Learning Approach for Stock Trading</w:t>
      </w:r>
      <w:r w:rsidRPr="00D75907">
        <w:rPr>
          <w:rFonts w:ascii="Palatino Linotype" w:hAnsi="Palatino Linotype"/>
          <w:sz w:val="20"/>
          <w:szCs w:val="20"/>
          <w:lang w:val="en-GB"/>
        </w:rPr>
        <w:t xml:space="preserve">. </w:t>
      </w:r>
      <w:r w:rsidRPr="00D75907">
        <w:rPr>
          <w:rFonts w:ascii="Palatino Linotype" w:hAnsi="Palatino Linotype"/>
          <w:i/>
          <w:iCs/>
          <w:sz w:val="20"/>
          <w:szCs w:val="20"/>
          <w:lang w:val="en-GB"/>
        </w:rPr>
        <w:t>IJCAI 2018</w:t>
      </w:r>
      <w:r w:rsidRPr="00D75907">
        <w:rPr>
          <w:rFonts w:ascii="Palatino Linotype" w:hAnsi="Palatino Linotype"/>
          <w:sz w:val="20"/>
          <w:szCs w:val="20"/>
          <w:lang w:val="en-GB"/>
        </w:rPr>
        <w:t>, 3443–3449.</w:t>
      </w:r>
      <w:r w:rsidRPr="00D75907">
        <w:rPr>
          <w:rFonts w:ascii="Palatino Linotype" w:hAnsi="Palatino Linotype"/>
          <w:sz w:val="20"/>
          <w:szCs w:val="20"/>
          <w:lang w:val="en-GB"/>
        </w:rPr>
        <w:br/>
        <w:t xml:space="preserve">[38] Liu, X., Yang, H., Zhang, G., &amp; Li, X. (2021). </w:t>
      </w:r>
      <w:proofErr w:type="spellStart"/>
      <w:r w:rsidRPr="00D75907">
        <w:rPr>
          <w:rFonts w:ascii="Palatino Linotype" w:hAnsi="Palatino Linotype"/>
          <w:b/>
          <w:bCs/>
          <w:sz w:val="20"/>
          <w:szCs w:val="20"/>
          <w:lang w:val="en-GB"/>
        </w:rPr>
        <w:t>FinRL</w:t>
      </w:r>
      <w:proofErr w:type="spellEnd"/>
      <w:r w:rsidRPr="00D75907">
        <w:rPr>
          <w:rFonts w:ascii="Palatino Linotype" w:hAnsi="Palatino Linotype"/>
          <w:b/>
          <w:bCs/>
          <w:sz w:val="20"/>
          <w:szCs w:val="20"/>
          <w:lang w:val="en-GB"/>
        </w:rPr>
        <w:t>: A Deep Reinforcement Learning Library for Automated Stock Trading</w:t>
      </w:r>
      <w:r w:rsidRPr="00D75907">
        <w:rPr>
          <w:rFonts w:ascii="Palatino Linotype" w:hAnsi="Palatino Linotype"/>
          <w:sz w:val="20"/>
          <w:szCs w:val="20"/>
          <w:lang w:val="en-GB"/>
        </w:rPr>
        <w:t xml:space="preserve">. </w:t>
      </w:r>
      <w:r w:rsidRPr="00D75907">
        <w:rPr>
          <w:rFonts w:ascii="Palatino Linotype" w:hAnsi="Palatino Linotype"/>
          <w:i/>
          <w:iCs/>
          <w:sz w:val="20"/>
          <w:szCs w:val="20"/>
          <w:lang w:val="en-GB"/>
        </w:rPr>
        <w:t>Journal of Machine Learning Research</w:t>
      </w:r>
      <w:r w:rsidRPr="00D75907">
        <w:rPr>
          <w:rFonts w:ascii="Palatino Linotype" w:hAnsi="Palatino Linotype"/>
          <w:sz w:val="20"/>
          <w:szCs w:val="20"/>
          <w:lang w:val="en-GB"/>
        </w:rPr>
        <w:t>, 22(212), 1–5.</w:t>
      </w:r>
      <w:r w:rsidRPr="00D75907">
        <w:rPr>
          <w:rFonts w:ascii="Palatino Linotype" w:hAnsi="Palatino Linotype"/>
          <w:sz w:val="20"/>
          <w:szCs w:val="20"/>
          <w:lang w:val="en-GB"/>
        </w:rPr>
        <w:br/>
        <w:t xml:space="preserve">[39] Schulman, J., Wolski, F., Dhariwal, P., Radford, A., &amp; Klimov, O. (2017). </w:t>
      </w:r>
      <w:r w:rsidRPr="00D75907">
        <w:rPr>
          <w:rFonts w:ascii="Palatino Linotype" w:hAnsi="Palatino Linotype"/>
          <w:b/>
          <w:bCs/>
          <w:sz w:val="20"/>
          <w:szCs w:val="20"/>
          <w:lang w:val="en-GB"/>
        </w:rPr>
        <w:t>Proximal Policy Optimization Algorithms</w:t>
      </w:r>
      <w:r w:rsidRPr="00D75907">
        <w:rPr>
          <w:rFonts w:ascii="Palatino Linotype" w:hAnsi="Palatino Linotype"/>
          <w:sz w:val="20"/>
          <w:szCs w:val="20"/>
          <w:lang w:val="en-GB"/>
        </w:rPr>
        <w:t xml:space="preserve">. </w:t>
      </w:r>
      <w:r w:rsidRPr="00D75907">
        <w:rPr>
          <w:rFonts w:ascii="Palatino Linotype" w:hAnsi="Palatino Linotype"/>
          <w:i/>
          <w:iCs/>
          <w:sz w:val="20"/>
          <w:szCs w:val="20"/>
          <w:lang w:val="en-GB"/>
        </w:rPr>
        <w:t>arXiv:1707.06347</w:t>
      </w:r>
      <w:r w:rsidRPr="00D75907">
        <w:rPr>
          <w:rFonts w:ascii="Palatino Linotype" w:hAnsi="Palatino Linotype"/>
          <w:sz w:val="20"/>
          <w:szCs w:val="20"/>
          <w:lang w:val="en-GB"/>
        </w:rPr>
        <w:t>.</w:t>
      </w:r>
      <w:r w:rsidRPr="00D75907">
        <w:rPr>
          <w:rFonts w:ascii="Palatino Linotype" w:hAnsi="Palatino Linotype"/>
          <w:sz w:val="20"/>
          <w:szCs w:val="20"/>
          <w:lang w:val="en-GB"/>
        </w:rPr>
        <w:br/>
        <w:t xml:space="preserve">[40] Gao, S., Wang, Y., &amp; Yang, X. (2023). </w:t>
      </w:r>
      <w:proofErr w:type="spellStart"/>
      <w:r w:rsidRPr="00D75907">
        <w:rPr>
          <w:rFonts w:ascii="Palatino Linotype" w:hAnsi="Palatino Linotype"/>
          <w:b/>
          <w:bCs/>
          <w:sz w:val="20"/>
          <w:szCs w:val="20"/>
          <w:lang w:val="en-GB"/>
        </w:rPr>
        <w:t>StockFormer</w:t>
      </w:r>
      <w:proofErr w:type="spellEnd"/>
      <w:r w:rsidRPr="00D75907">
        <w:rPr>
          <w:rFonts w:ascii="Palatino Linotype" w:hAnsi="Palatino Linotype"/>
          <w:b/>
          <w:bCs/>
          <w:sz w:val="20"/>
          <w:szCs w:val="20"/>
          <w:lang w:val="en-GB"/>
        </w:rPr>
        <w:t>: Learning Hybrid Trading Machines with Predictive Coding and Reinforcement Learning</w:t>
      </w:r>
      <w:r w:rsidRPr="00D75907">
        <w:rPr>
          <w:rFonts w:ascii="Palatino Linotype" w:hAnsi="Palatino Linotype"/>
          <w:sz w:val="20"/>
          <w:szCs w:val="20"/>
          <w:lang w:val="en-GB"/>
        </w:rPr>
        <w:t xml:space="preserve">. </w:t>
      </w:r>
      <w:r w:rsidRPr="00D75907">
        <w:rPr>
          <w:rFonts w:ascii="Palatino Linotype" w:hAnsi="Palatino Linotype"/>
          <w:i/>
          <w:iCs/>
          <w:sz w:val="20"/>
          <w:szCs w:val="20"/>
          <w:lang w:val="en-GB"/>
        </w:rPr>
        <w:t>IJCAI 2023</w:t>
      </w:r>
      <w:r w:rsidRPr="00D75907">
        <w:rPr>
          <w:rFonts w:ascii="Palatino Linotype" w:hAnsi="Palatino Linotype"/>
          <w:sz w:val="20"/>
          <w:szCs w:val="20"/>
          <w:lang w:val="en-GB"/>
        </w:rPr>
        <w:t>, 4786–4792.</w:t>
      </w:r>
      <w:r w:rsidRPr="00D75907">
        <w:rPr>
          <w:rFonts w:ascii="Palatino Linotype" w:hAnsi="Palatino Linotype"/>
          <w:sz w:val="20"/>
          <w:szCs w:val="20"/>
          <w:lang w:val="en-GB"/>
        </w:rPr>
        <w:br/>
        <w:t xml:space="preserve">[41] Choudhary, H., Orra, A., Sahoo, K., &amp; Thakur, M. (2025). </w:t>
      </w:r>
      <w:r w:rsidRPr="00D75907">
        <w:rPr>
          <w:rFonts w:ascii="Palatino Linotype" w:hAnsi="Palatino Linotype"/>
          <w:b/>
          <w:bCs/>
          <w:sz w:val="20"/>
          <w:szCs w:val="20"/>
          <w:lang w:val="en-GB"/>
        </w:rPr>
        <w:t>Risk</w:t>
      </w:r>
      <w:r w:rsidRPr="00D75907">
        <w:rPr>
          <w:rFonts w:ascii="Palatino Linotype" w:hAnsi="Palatino Linotype"/>
          <w:b/>
          <w:bCs/>
          <w:sz w:val="20"/>
          <w:szCs w:val="20"/>
          <w:lang w:val="en-GB"/>
        </w:rPr>
        <w:noBreakHyphen/>
        <w:t>Adjusted Deep Reinforcement Learning for Portfolio Optimization: A Multi</w:t>
      </w:r>
      <w:r w:rsidRPr="00D75907">
        <w:rPr>
          <w:rFonts w:ascii="Palatino Linotype" w:hAnsi="Palatino Linotype"/>
          <w:b/>
          <w:bCs/>
          <w:sz w:val="20"/>
          <w:szCs w:val="20"/>
          <w:lang w:val="en-GB"/>
        </w:rPr>
        <w:noBreakHyphen/>
        <w:t>Reward Approach</w:t>
      </w:r>
      <w:r w:rsidRPr="00D75907">
        <w:rPr>
          <w:rFonts w:ascii="Palatino Linotype" w:hAnsi="Palatino Linotype"/>
          <w:sz w:val="20"/>
          <w:szCs w:val="20"/>
          <w:lang w:val="en-GB"/>
        </w:rPr>
        <w:t xml:space="preserve">. </w:t>
      </w:r>
      <w:r w:rsidRPr="00D75907">
        <w:rPr>
          <w:rFonts w:ascii="Palatino Linotype" w:hAnsi="Palatino Linotype"/>
          <w:i/>
          <w:iCs/>
          <w:sz w:val="20"/>
          <w:szCs w:val="20"/>
          <w:lang w:val="en-GB"/>
        </w:rPr>
        <w:t>International Journal of Computational Intelligence Systems</w:t>
      </w:r>
      <w:r w:rsidRPr="00D75907">
        <w:rPr>
          <w:rFonts w:ascii="Palatino Linotype" w:hAnsi="Palatino Linotype"/>
          <w:sz w:val="20"/>
          <w:szCs w:val="20"/>
          <w:lang w:val="en-GB"/>
        </w:rPr>
        <w:t>, 18(1), 471–485.</w:t>
      </w:r>
      <w:r w:rsidRPr="00D75907">
        <w:rPr>
          <w:rFonts w:ascii="Palatino Linotype" w:hAnsi="Palatino Linotype"/>
          <w:sz w:val="20"/>
          <w:szCs w:val="20"/>
          <w:lang w:val="en-GB"/>
        </w:rPr>
        <w:br/>
        <w:t xml:space="preserve">[42] Wang, Y., &amp; Liu, C. (2025). </w:t>
      </w:r>
      <w:r w:rsidRPr="00D75907">
        <w:rPr>
          <w:rFonts w:ascii="Palatino Linotype" w:hAnsi="Palatino Linotype"/>
          <w:b/>
          <w:bCs/>
          <w:sz w:val="20"/>
          <w:szCs w:val="20"/>
          <w:lang w:val="en-GB"/>
        </w:rPr>
        <w:t>Adaptive Risk</w:t>
      </w:r>
      <w:r w:rsidRPr="00D75907">
        <w:rPr>
          <w:rFonts w:ascii="Palatino Linotype" w:hAnsi="Palatino Linotype"/>
          <w:b/>
          <w:bCs/>
          <w:sz w:val="20"/>
          <w:szCs w:val="20"/>
          <w:lang w:val="en-GB"/>
        </w:rPr>
        <w:noBreakHyphen/>
        <w:t>Sensitive Transformer for Commodity Portfolio Optimization</w:t>
      </w:r>
      <w:r w:rsidRPr="00D75907">
        <w:rPr>
          <w:rFonts w:ascii="Palatino Linotype" w:hAnsi="Palatino Linotype"/>
          <w:sz w:val="20"/>
          <w:szCs w:val="20"/>
          <w:lang w:val="en-GB"/>
        </w:rPr>
        <w:t xml:space="preserve">. </w:t>
      </w:r>
      <w:r w:rsidRPr="00D75907">
        <w:rPr>
          <w:rFonts w:ascii="Palatino Linotype" w:hAnsi="Palatino Linotype"/>
          <w:i/>
          <w:iCs/>
          <w:sz w:val="20"/>
          <w:szCs w:val="20"/>
          <w:lang w:val="en-GB"/>
        </w:rPr>
        <w:t>arXiv:2502.04567</w:t>
      </w:r>
      <w:r w:rsidRPr="00D75907">
        <w:rPr>
          <w:rFonts w:ascii="Palatino Linotype" w:hAnsi="Palatino Linotype"/>
          <w:sz w:val="20"/>
          <w:szCs w:val="20"/>
          <w:lang w:val="en-GB"/>
        </w:rPr>
        <w:t>.</w:t>
      </w:r>
      <w:r w:rsidRPr="00D75907">
        <w:rPr>
          <w:rFonts w:ascii="Palatino Linotype" w:hAnsi="Palatino Linotype"/>
          <w:sz w:val="20"/>
          <w:szCs w:val="20"/>
          <w:lang w:val="en-GB"/>
        </w:rPr>
        <w:br/>
        <w:t xml:space="preserve">[43] Wang, Z., Huang, B., Tu, S., Zhang, K., &amp; Xu, L. (2021). </w:t>
      </w:r>
      <w:proofErr w:type="spellStart"/>
      <w:r w:rsidRPr="00D75907">
        <w:rPr>
          <w:rFonts w:ascii="Palatino Linotype" w:hAnsi="Palatino Linotype"/>
          <w:b/>
          <w:bCs/>
          <w:sz w:val="20"/>
          <w:szCs w:val="20"/>
          <w:lang w:val="en-GB"/>
        </w:rPr>
        <w:t>DeepTrader</w:t>
      </w:r>
      <w:proofErr w:type="spellEnd"/>
      <w:r w:rsidRPr="00D75907">
        <w:rPr>
          <w:rFonts w:ascii="Palatino Linotype" w:hAnsi="Palatino Linotype"/>
          <w:b/>
          <w:bCs/>
          <w:sz w:val="20"/>
          <w:szCs w:val="20"/>
          <w:lang w:val="en-GB"/>
        </w:rPr>
        <w:t>: A Deep Reinforcement Learning Approach for Risk–Return Balanced Portfolio Management with Market Conditions Embedding</w:t>
      </w:r>
      <w:r w:rsidRPr="00D75907">
        <w:rPr>
          <w:rFonts w:ascii="Palatino Linotype" w:hAnsi="Palatino Linotype"/>
          <w:sz w:val="20"/>
          <w:szCs w:val="20"/>
          <w:lang w:val="en-GB"/>
        </w:rPr>
        <w:t xml:space="preserve">. </w:t>
      </w:r>
      <w:r w:rsidRPr="00D75907">
        <w:rPr>
          <w:rFonts w:ascii="Palatino Linotype" w:hAnsi="Palatino Linotype"/>
          <w:i/>
          <w:iCs/>
          <w:sz w:val="20"/>
          <w:szCs w:val="20"/>
          <w:lang w:val="en-GB"/>
        </w:rPr>
        <w:t>Proceedings of AAAI 2021</w:t>
      </w:r>
      <w:r w:rsidRPr="00D75907">
        <w:rPr>
          <w:rFonts w:ascii="Palatino Linotype" w:hAnsi="Palatino Linotype"/>
          <w:sz w:val="20"/>
          <w:szCs w:val="20"/>
          <w:lang w:val="en-GB"/>
        </w:rPr>
        <w:t>, 35, 643–650.</w:t>
      </w:r>
      <w:r w:rsidRPr="00D75907">
        <w:rPr>
          <w:rFonts w:ascii="Palatino Linotype" w:hAnsi="Palatino Linotype"/>
          <w:sz w:val="20"/>
          <w:szCs w:val="20"/>
          <w:lang w:val="en-GB"/>
        </w:rPr>
        <w:br/>
        <w:t xml:space="preserve">[44] Wang, W., Sun, X., Xu, B., &amp; Xiong, Z. (2019). </w:t>
      </w:r>
      <w:proofErr w:type="spellStart"/>
      <w:r w:rsidRPr="00D75907">
        <w:rPr>
          <w:rFonts w:ascii="Palatino Linotype" w:hAnsi="Palatino Linotype"/>
          <w:b/>
          <w:bCs/>
          <w:sz w:val="20"/>
          <w:szCs w:val="20"/>
          <w:lang w:val="en-GB"/>
        </w:rPr>
        <w:t>AlphaStock</w:t>
      </w:r>
      <w:proofErr w:type="spellEnd"/>
      <w:r w:rsidRPr="00D75907">
        <w:rPr>
          <w:rFonts w:ascii="Palatino Linotype" w:hAnsi="Palatino Linotype"/>
          <w:b/>
          <w:bCs/>
          <w:sz w:val="20"/>
          <w:szCs w:val="20"/>
          <w:lang w:val="en-GB"/>
        </w:rPr>
        <w:t>: A Buying</w:t>
      </w:r>
      <w:r w:rsidRPr="00D75907">
        <w:rPr>
          <w:rFonts w:ascii="Palatino Linotype" w:hAnsi="Palatino Linotype"/>
          <w:b/>
          <w:bCs/>
          <w:sz w:val="20"/>
          <w:szCs w:val="20"/>
          <w:lang w:val="en-GB"/>
        </w:rPr>
        <w:noBreakHyphen/>
        <w:t>Winners</w:t>
      </w:r>
      <w:r w:rsidRPr="00D75907">
        <w:rPr>
          <w:rFonts w:ascii="Palatino Linotype" w:hAnsi="Palatino Linotype"/>
          <w:b/>
          <w:bCs/>
          <w:sz w:val="20"/>
          <w:szCs w:val="20"/>
          <w:lang w:val="en-GB"/>
        </w:rPr>
        <w:noBreakHyphen/>
        <w:t>and</w:t>
      </w:r>
      <w:r w:rsidRPr="00D75907">
        <w:rPr>
          <w:rFonts w:ascii="Palatino Linotype" w:hAnsi="Palatino Linotype"/>
          <w:b/>
          <w:bCs/>
          <w:sz w:val="20"/>
          <w:szCs w:val="20"/>
          <w:lang w:val="en-GB"/>
        </w:rPr>
        <w:noBreakHyphen/>
        <w:t>Selling</w:t>
      </w:r>
      <w:r w:rsidRPr="00D75907">
        <w:rPr>
          <w:rFonts w:ascii="Palatino Linotype" w:hAnsi="Palatino Linotype"/>
          <w:b/>
          <w:bCs/>
          <w:sz w:val="20"/>
          <w:szCs w:val="20"/>
          <w:lang w:val="en-GB"/>
        </w:rPr>
        <w:noBreakHyphen/>
        <w:t>Losers Investment Strategy Using Interpretable Deep Reinforcement Attention Networks</w:t>
      </w:r>
      <w:r w:rsidRPr="00D75907">
        <w:rPr>
          <w:rFonts w:ascii="Palatino Linotype" w:hAnsi="Palatino Linotype"/>
          <w:sz w:val="20"/>
          <w:szCs w:val="20"/>
          <w:lang w:val="en-GB"/>
        </w:rPr>
        <w:t xml:space="preserve">. </w:t>
      </w:r>
      <w:r w:rsidRPr="00D75907">
        <w:rPr>
          <w:rFonts w:ascii="Palatino Linotype" w:hAnsi="Palatino Linotype"/>
          <w:i/>
          <w:iCs/>
          <w:sz w:val="20"/>
          <w:szCs w:val="20"/>
          <w:lang w:val="en-GB"/>
        </w:rPr>
        <w:t>KDD 2019</w:t>
      </w:r>
      <w:r w:rsidRPr="00D75907">
        <w:rPr>
          <w:rFonts w:ascii="Palatino Linotype" w:hAnsi="Palatino Linotype"/>
          <w:sz w:val="20"/>
          <w:szCs w:val="20"/>
          <w:lang w:val="en-GB"/>
        </w:rPr>
        <w:t>, 1900–1908.</w:t>
      </w:r>
      <w:r w:rsidRPr="00D75907">
        <w:rPr>
          <w:rFonts w:ascii="Palatino Linotype" w:hAnsi="Palatino Linotype"/>
          <w:sz w:val="20"/>
          <w:szCs w:val="20"/>
          <w:lang w:val="en-GB"/>
        </w:rPr>
        <w:br/>
        <w:t xml:space="preserve">[45] </w:t>
      </w:r>
      <w:proofErr w:type="spellStart"/>
      <w:r w:rsidRPr="00D75907">
        <w:rPr>
          <w:rFonts w:ascii="Palatino Linotype" w:hAnsi="Palatino Linotype"/>
          <w:sz w:val="20"/>
          <w:szCs w:val="20"/>
          <w:lang w:val="en-GB"/>
        </w:rPr>
        <w:t>Puiutta</w:t>
      </w:r>
      <w:proofErr w:type="spellEnd"/>
      <w:r w:rsidRPr="00D75907">
        <w:rPr>
          <w:rFonts w:ascii="Palatino Linotype" w:hAnsi="Palatino Linotype"/>
          <w:sz w:val="20"/>
          <w:szCs w:val="20"/>
          <w:lang w:val="en-GB"/>
        </w:rPr>
        <w:t xml:space="preserve">, E., &amp; Veith, E. (2020). </w:t>
      </w:r>
      <w:r w:rsidRPr="00D75907">
        <w:rPr>
          <w:rFonts w:ascii="Palatino Linotype" w:hAnsi="Palatino Linotype"/>
          <w:b/>
          <w:bCs/>
          <w:sz w:val="20"/>
          <w:szCs w:val="20"/>
          <w:lang w:val="en-GB"/>
        </w:rPr>
        <w:t>Explainable Reinforcement Learning: A Survey</w:t>
      </w:r>
      <w:r w:rsidRPr="00D75907">
        <w:rPr>
          <w:rFonts w:ascii="Palatino Linotype" w:hAnsi="Palatino Linotype"/>
          <w:sz w:val="20"/>
          <w:szCs w:val="20"/>
          <w:lang w:val="en-GB"/>
        </w:rPr>
        <w:t xml:space="preserve">. </w:t>
      </w:r>
      <w:r w:rsidRPr="00D75907">
        <w:rPr>
          <w:rFonts w:ascii="Palatino Linotype" w:hAnsi="Palatino Linotype"/>
          <w:i/>
          <w:iCs/>
          <w:sz w:val="20"/>
          <w:szCs w:val="20"/>
          <w:lang w:val="en-GB"/>
        </w:rPr>
        <w:t>Fuzz</w:t>
      </w:r>
      <w:r w:rsidRPr="00D75907">
        <w:rPr>
          <w:rFonts w:ascii="Palatino Linotype" w:hAnsi="Palatino Linotype"/>
          <w:i/>
          <w:iCs/>
          <w:sz w:val="20"/>
          <w:szCs w:val="20"/>
          <w:lang w:val="en-GB"/>
        </w:rPr>
        <w:noBreakHyphen/>
        <w:t>IEEE 2020</w:t>
      </w:r>
      <w:r w:rsidRPr="00D75907">
        <w:rPr>
          <w:rFonts w:ascii="Palatino Linotype" w:hAnsi="Palatino Linotype"/>
          <w:sz w:val="20"/>
          <w:szCs w:val="20"/>
          <w:lang w:val="en-GB"/>
        </w:rPr>
        <w:t>, 1–6.</w:t>
      </w:r>
      <w:r w:rsidRPr="00D75907">
        <w:rPr>
          <w:rFonts w:ascii="Palatino Linotype" w:hAnsi="Palatino Linotype"/>
          <w:sz w:val="20"/>
          <w:szCs w:val="20"/>
          <w:lang w:val="en-GB"/>
        </w:rPr>
        <w:br/>
        <w:t xml:space="preserve">[46] De la Rica Escudero, A., Corchado, E., &amp; de León, A. (2024). </w:t>
      </w:r>
      <w:r w:rsidRPr="00D75907">
        <w:rPr>
          <w:rFonts w:ascii="Palatino Linotype" w:hAnsi="Palatino Linotype"/>
          <w:b/>
          <w:bCs/>
          <w:sz w:val="20"/>
          <w:szCs w:val="20"/>
          <w:lang w:val="en-GB"/>
        </w:rPr>
        <w:t>Explainable Post</w:t>
      </w:r>
      <w:r w:rsidRPr="00D75907">
        <w:rPr>
          <w:rFonts w:ascii="Palatino Linotype" w:hAnsi="Palatino Linotype"/>
          <w:b/>
          <w:bCs/>
          <w:sz w:val="20"/>
          <w:szCs w:val="20"/>
          <w:lang w:val="en-GB"/>
        </w:rPr>
        <w:noBreakHyphen/>
        <w:t>Hoc Portfolio Management Financial Policy of a Deep Reinforcement Learning Agent</w:t>
      </w:r>
      <w:r w:rsidRPr="00D75907">
        <w:rPr>
          <w:rFonts w:ascii="Palatino Linotype" w:hAnsi="Palatino Linotype"/>
          <w:sz w:val="20"/>
          <w:szCs w:val="20"/>
          <w:lang w:val="en-GB"/>
        </w:rPr>
        <w:t xml:space="preserve">. </w:t>
      </w:r>
      <w:proofErr w:type="spellStart"/>
      <w:r w:rsidRPr="00D75907">
        <w:rPr>
          <w:rFonts w:ascii="Palatino Linotype" w:hAnsi="Palatino Linotype"/>
          <w:i/>
          <w:iCs/>
          <w:sz w:val="20"/>
          <w:szCs w:val="20"/>
          <w:lang w:val="en-GB"/>
        </w:rPr>
        <w:t>PLoS</w:t>
      </w:r>
      <w:proofErr w:type="spellEnd"/>
      <w:r w:rsidRPr="00D75907">
        <w:rPr>
          <w:rFonts w:ascii="Palatino Linotype" w:hAnsi="Palatino Linotype"/>
          <w:i/>
          <w:iCs/>
          <w:sz w:val="20"/>
          <w:szCs w:val="20"/>
          <w:lang w:val="en-GB"/>
        </w:rPr>
        <w:t xml:space="preserve"> ONE</w:t>
      </w:r>
      <w:r w:rsidRPr="00D75907">
        <w:rPr>
          <w:rFonts w:ascii="Palatino Linotype" w:hAnsi="Palatino Linotype"/>
          <w:sz w:val="20"/>
          <w:szCs w:val="20"/>
          <w:lang w:val="en-GB"/>
        </w:rPr>
        <w:t>.</w:t>
      </w:r>
      <w:r w:rsidRPr="00D75907">
        <w:rPr>
          <w:rFonts w:ascii="Palatino Linotype" w:hAnsi="Palatino Linotype"/>
          <w:sz w:val="20"/>
          <w:szCs w:val="20"/>
          <w:lang w:val="en-GB"/>
        </w:rPr>
        <w:br/>
        <w:t xml:space="preserve">[47] Sun, W., &amp; Yang, Y. (2024). </w:t>
      </w:r>
      <w:proofErr w:type="spellStart"/>
      <w:r w:rsidRPr="00D75907">
        <w:rPr>
          <w:rFonts w:ascii="Palatino Linotype" w:hAnsi="Palatino Linotype"/>
          <w:b/>
          <w:bCs/>
          <w:sz w:val="20"/>
          <w:szCs w:val="20"/>
          <w:lang w:val="en-GB"/>
        </w:rPr>
        <w:t>GraphSAGE</w:t>
      </w:r>
      <w:proofErr w:type="spellEnd"/>
      <w:r w:rsidRPr="00D75907">
        <w:rPr>
          <w:rFonts w:ascii="Palatino Linotype" w:hAnsi="Palatino Linotype"/>
          <w:b/>
          <w:bCs/>
          <w:sz w:val="20"/>
          <w:szCs w:val="20"/>
          <w:lang w:val="en-GB"/>
        </w:rPr>
        <w:t xml:space="preserve"> with Deep Reinforcement Learning for Financial Portfolio Optimization</w:t>
      </w:r>
      <w:r w:rsidRPr="00D75907">
        <w:rPr>
          <w:rFonts w:ascii="Palatino Linotype" w:hAnsi="Palatino Linotype"/>
          <w:sz w:val="20"/>
          <w:szCs w:val="20"/>
          <w:lang w:val="en-GB"/>
        </w:rPr>
        <w:t xml:space="preserve">. </w:t>
      </w:r>
      <w:r w:rsidRPr="00D75907">
        <w:rPr>
          <w:rFonts w:ascii="Palatino Linotype" w:hAnsi="Palatino Linotype"/>
          <w:i/>
          <w:iCs/>
          <w:sz w:val="20"/>
          <w:szCs w:val="20"/>
          <w:lang w:val="en-GB"/>
        </w:rPr>
        <w:t>Expert Systems with Applications</w:t>
      </w:r>
      <w:r w:rsidRPr="00D75907">
        <w:rPr>
          <w:rFonts w:ascii="Palatino Linotype" w:hAnsi="Palatino Linotype"/>
          <w:sz w:val="20"/>
          <w:szCs w:val="20"/>
          <w:lang w:val="en-GB"/>
        </w:rPr>
        <w:t>, 222, 119551.</w:t>
      </w:r>
      <w:r w:rsidRPr="00D75907">
        <w:rPr>
          <w:rFonts w:ascii="Palatino Linotype" w:hAnsi="Palatino Linotype"/>
          <w:sz w:val="20"/>
          <w:szCs w:val="20"/>
          <w:lang w:val="en-GB"/>
        </w:rPr>
        <w:br/>
        <w:t xml:space="preserve">[48] Ayodeji, S. T., Ayodele, O., &amp; </w:t>
      </w:r>
      <w:proofErr w:type="spellStart"/>
      <w:r w:rsidRPr="00D75907">
        <w:rPr>
          <w:rFonts w:ascii="Palatino Linotype" w:hAnsi="Palatino Linotype"/>
          <w:sz w:val="20"/>
          <w:szCs w:val="20"/>
          <w:lang w:val="en-GB"/>
        </w:rPr>
        <w:t>Oshinubi</w:t>
      </w:r>
      <w:proofErr w:type="spellEnd"/>
      <w:r w:rsidRPr="00D75907">
        <w:rPr>
          <w:rFonts w:ascii="Palatino Linotype" w:hAnsi="Palatino Linotype"/>
          <w:sz w:val="20"/>
          <w:szCs w:val="20"/>
          <w:lang w:val="en-GB"/>
        </w:rPr>
        <w:t xml:space="preserve">, K. (2025). </w:t>
      </w:r>
      <w:r w:rsidRPr="00D75907">
        <w:rPr>
          <w:rFonts w:ascii="Palatino Linotype" w:hAnsi="Palatino Linotype"/>
          <w:b/>
          <w:bCs/>
          <w:sz w:val="20"/>
          <w:szCs w:val="20"/>
          <w:lang w:val="en-GB"/>
        </w:rPr>
        <w:t>Applications of Shapley Value to Financial Decision</w:t>
      </w:r>
      <w:r w:rsidRPr="00D75907">
        <w:rPr>
          <w:rFonts w:ascii="Palatino Linotype" w:hAnsi="Palatino Linotype"/>
          <w:b/>
          <w:bCs/>
          <w:sz w:val="20"/>
          <w:szCs w:val="20"/>
          <w:lang w:val="en-GB"/>
        </w:rPr>
        <w:noBreakHyphen/>
        <w:t>Making and Risk Management</w:t>
      </w:r>
      <w:r w:rsidRPr="00D75907">
        <w:rPr>
          <w:rFonts w:ascii="Palatino Linotype" w:hAnsi="Palatino Linotype"/>
          <w:sz w:val="20"/>
          <w:szCs w:val="20"/>
          <w:lang w:val="en-GB"/>
        </w:rPr>
        <w:t xml:space="preserve">. </w:t>
      </w:r>
      <w:r w:rsidRPr="00D75907">
        <w:rPr>
          <w:rFonts w:ascii="Palatino Linotype" w:hAnsi="Palatino Linotype"/>
          <w:i/>
          <w:iCs/>
          <w:sz w:val="20"/>
          <w:szCs w:val="20"/>
          <w:lang w:val="en-GB"/>
        </w:rPr>
        <w:t>Applied Mathematics</w:t>
      </w:r>
      <w:r w:rsidRPr="00D75907">
        <w:rPr>
          <w:rFonts w:ascii="Palatino Linotype" w:hAnsi="Palatino Linotype"/>
          <w:sz w:val="20"/>
          <w:szCs w:val="20"/>
          <w:lang w:val="en-GB"/>
        </w:rPr>
        <w:t>.</w:t>
      </w:r>
      <w:r w:rsidRPr="00D75907">
        <w:rPr>
          <w:rFonts w:ascii="Palatino Linotype" w:hAnsi="Palatino Linotype"/>
          <w:sz w:val="20"/>
          <w:szCs w:val="20"/>
          <w:lang w:val="en-GB"/>
        </w:rPr>
        <w:br/>
        <w:t xml:space="preserve">[49] Shalit, H. (2021). </w:t>
      </w:r>
      <w:r w:rsidRPr="00D75907">
        <w:rPr>
          <w:rFonts w:ascii="Palatino Linotype" w:hAnsi="Palatino Linotype"/>
          <w:b/>
          <w:bCs/>
          <w:sz w:val="20"/>
          <w:szCs w:val="20"/>
          <w:lang w:val="en-GB"/>
        </w:rPr>
        <w:t>The Shapley Value Decomposition of Optimal Portfolios</w:t>
      </w:r>
      <w:r w:rsidRPr="00D75907">
        <w:rPr>
          <w:rFonts w:ascii="Palatino Linotype" w:hAnsi="Palatino Linotype"/>
          <w:sz w:val="20"/>
          <w:szCs w:val="20"/>
          <w:lang w:val="en-GB"/>
        </w:rPr>
        <w:t xml:space="preserve">. </w:t>
      </w:r>
      <w:r w:rsidRPr="00D75907">
        <w:rPr>
          <w:rFonts w:ascii="Palatino Linotype" w:hAnsi="Palatino Linotype"/>
          <w:i/>
          <w:iCs/>
          <w:sz w:val="20"/>
          <w:szCs w:val="20"/>
          <w:lang w:val="en-GB"/>
        </w:rPr>
        <w:t>Annals of Finance</w:t>
      </w:r>
      <w:r w:rsidRPr="00D75907">
        <w:rPr>
          <w:rFonts w:ascii="Palatino Linotype" w:hAnsi="Palatino Linotype"/>
          <w:sz w:val="20"/>
          <w:szCs w:val="20"/>
          <w:lang w:val="en-GB"/>
        </w:rPr>
        <w:t>, 17(1), 1–25.</w:t>
      </w:r>
      <w:r w:rsidRPr="00D75907">
        <w:rPr>
          <w:rFonts w:ascii="Palatino Linotype" w:hAnsi="Palatino Linotype"/>
          <w:sz w:val="20"/>
          <w:szCs w:val="20"/>
          <w:lang w:val="en-GB"/>
        </w:rPr>
        <w:br/>
        <w:t xml:space="preserve">[50] Man Group. (2018). </w:t>
      </w:r>
      <w:r w:rsidRPr="00D75907">
        <w:rPr>
          <w:rFonts w:ascii="Palatino Linotype" w:hAnsi="Palatino Linotype"/>
          <w:b/>
          <w:bCs/>
          <w:sz w:val="20"/>
          <w:szCs w:val="20"/>
          <w:lang w:val="en-GB"/>
        </w:rPr>
        <w:t>Shining Light into the Machine Learning Black Box</w:t>
      </w:r>
      <w:r w:rsidRPr="00D75907">
        <w:rPr>
          <w:rFonts w:ascii="Palatino Linotype" w:hAnsi="Palatino Linotype"/>
          <w:sz w:val="20"/>
          <w:szCs w:val="20"/>
          <w:lang w:val="en-GB"/>
        </w:rPr>
        <w:t xml:space="preserve">. </w:t>
      </w:r>
      <w:r w:rsidRPr="00D75907">
        <w:rPr>
          <w:rFonts w:ascii="Palatino Linotype" w:hAnsi="Palatino Linotype"/>
          <w:i/>
          <w:iCs/>
          <w:sz w:val="20"/>
          <w:szCs w:val="20"/>
          <w:lang w:val="en-GB"/>
        </w:rPr>
        <w:t>Man Institute (Industry White Paper)</w:t>
      </w:r>
      <w:r w:rsidRPr="00D75907">
        <w:rPr>
          <w:rFonts w:ascii="Palatino Linotype" w:hAnsi="Palatino Linotype"/>
          <w:sz w:val="20"/>
          <w:szCs w:val="20"/>
          <w:lang w:val="en-GB"/>
        </w:rPr>
        <w:t>.</w:t>
      </w:r>
      <w:r w:rsidRPr="00D75907">
        <w:rPr>
          <w:rFonts w:ascii="Palatino Linotype" w:hAnsi="Palatino Linotype"/>
          <w:sz w:val="20"/>
          <w:szCs w:val="20"/>
          <w:lang w:val="en-GB"/>
        </w:rPr>
        <w:br/>
        <w:t>[51] Yu, J., &amp; Chang, K.</w:t>
      </w:r>
      <w:r w:rsidRPr="00D75907">
        <w:rPr>
          <w:rFonts w:ascii="Palatino Linotype" w:hAnsi="Palatino Linotype"/>
          <w:sz w:val="20"/>
          <w:szCs w:val="20"/>
          <w:lang w:val="en-GB"/>
        </w:rPr>
        <w:noBreakHyphen/>
        <w:t xml:space="preserve">C. (2020). </w:t>
      </w:r>
      <w:r w:rsidRPr="00D75907">
        <w:rPr>
          <w:rFonts w:ascii="Palatino Linotype" w:hAnsi="Palatino Linotype"/>
          <w:b/>
          <w:bCs/>
          <w:sz w:val="20"/>
          <w:szCs w:val="20"/>
          <w:lang w:val="en-GB"/>
        </w:rPr>
        <w:t xml:space="preserve">Neural Network Predictive </w:t>
      </w:r>
      <w:proofErr w:type="spellStart"/>
      <w:r w:rsidRPr="00D75907">
        <w:rPr>
          <w:rFonts w:ascii="Palatino Linotype" w:hAnsi="Palatino Linotype"/>
          <w:b/>
          <w:bCs/>
          <w:sz w:val="20"/>
          <w:szCs w:val="20"/>
          <w:lang w:val="en-GB"/>
        </w:rPr>
        <w:t>Modeling</w:t>
      </w:r>
      <w:proofErr w:type="spellEnd"/>
      <w:r w:rsidRPr="00D75907">
        <w:rPr>
          <w:rFonts w:ascii="Palatino Linotype" w:hAnsi="Palatino Linotype"/>
          <w:b/>
          <w:bCs/>
          <w:sz w:val="20"/>
          <w:szCs w:val="20"/>
          <w:lang w:val="en-GB"/>
        </w:rPr>
        <w:t xml:space="preserve"> on Dynamic Portfolio Management—A Simulation</w:t>
      </w:r>
      <w:r w:rsidRPr="00D75907">
        <w:rPr>
          <w:rFonts w:ascii="Palatino Linotype" w:hAnsi="Palatino Linotype"/>
          <w:b/>
          <w:bCs/>
          <w:sz w:val="20"/>
          <w:szCs w:val="20"/>
          <w:lang w:val="en-GB"/>
        </w:rPr>
        <w:noBreakHyphen/>
        <w:t>Based Portfolio Optimization Approach</w:t>
      </w:r>
      <w:r w:rsidRPr="00D75907">
        <w:rPr>
          <w:rFonts w:ascii="Palatino Linotype" w:hAnsi="Palatino Linotype"/>
          <w:sz w:val="20"/>
          <w:szCs w:val="20"/>
          <w:lang w:val="en-GB"/>
        </w:rPr>
        <w:t xml:space="preserve">. </w:t>
      </w:r>
      <w:r w:rsidRPr="00D75907">
        <w:rPr>
          <w:rFonts w:ascii="Palatino Linotype" w:hAnsi="Palatino Linotype"/>
          <w:i/>
          <w:iCs/>
          <w:sz w:val="20"/>
          <w:szCs w:val="20"/>
          <w:lang w:val="en-GB"/>
        </w:rPr>
        <w:t>Journal of Risk and Financial Management</w:t>
      </w:r>
      <w:r w:rsidRPr="00D75907">
        <w:rPr>
          <w:rFonts w:ascii="Palatino Linotype" w:hAnsi="Palatino Linotype"/>
          <w:sz w:val="20"/>
          <w:szCs w:val="20"/>
          <w:lang w:val="en-GB"/>
        </w:rPr>
        <w:t>, 13(11), 285.</w:t>
      </w:r>
      <w:r w:rsidRPr="00D75907">
        <w:rPr>
          <w:rFonts w:ascii="Palatino Linotype" w:hAnsi="Palatino Linotype"/>
          <w:sz w:val="20"/>
          <w:szCs w:val="20"/>
          <w:lang w:val="en-GB"/>
        </w:rPr>
        <w:br/>
        <w:t xml:space="preserve">[52] </w:t>
      </w:r>
      <w:proofErr w:type="spellStart"/>
      <w:r w:rsidRPr="00D75907">
        <w:rPr>
          <w:rFonts w:ascii="Palatino Linotype" w:hAnsi="Palatino Linotype"/>
          <w:sz w:val="20"/>
          <w:szCs w:val="20"/>
          <w:lang w:val="en-GB"/>
        </w:rPr>
        <w:t>Mantshimuli</w:t>
      </w:r>
      <w:proofErr w:type="spellEnd"/>
      <w:r w:rsidRPr="00D75907">
        <w:rPr>
          <w:rFonts w:ascii="Palatino Linotype" w:hAnsi="Palatino Linotype"/>
          <w:sz w:val="20"/>
          <w:szCs w:val="20"/>
          <w:lang w:val="en-GB"/>
        </w:rPr>
        <w:t xml:space="preserve">, L. (2025). </w:t>
      </w:r>
      <w:r w:rsidRPr="00D75907">
        <w:rPr>
          <w:rFonts w:ascii="Palatino Linotype" w:hAnsi="Palatino Linotype"/>
          <w:b/>
          <w:bCs/>
          <w:sz w:val="20"/>
          <w:szCs w:val="20"/>
          <w:lang w:val="en-GB"/>
        </w:rPr>
        <w:t>Sentiment</w:t>
      </w:r>
      <w:r w:rsidRPr="00D75907">
        <w:rPr>
          <w:rFonts w:ascii="Palatino Linotype" w:hAnsi="Palatino Linotype"/>
          <w:b/>
          <w:bCs/>
          <w:sz w:val="20"/>
          <w:szCs w:val="20"/>
          <w:lang w:val="en-GB"/>
        </w:rPr>
        <w:noBreakHyphen/>
        <w:t>Aware Portfolio Optimization: CVaR</w:t>
      </w:r>
      <w:r w:rsidRPr="00D75907">
        <w:rPr>
          <w:rFonts w:ascii="Palatino Linotype" w:hAnsi="Palatino Linotype"/>
          <w:b/>
          <w:bCs/>
          <w:sz w:val="20"/>
          <w:szCs w:val="20"/>
          <w:lang w:val="en-GB"/>
        </w:rPr>
        <w:noBreakHyphen/>
        <w:t>Based Diversification with Deep Reinforcement Learning</w:t>
      </w:r>
      <w:r w:rsidRPr="00D75907">
        <w:rPr>
          <w:rFonts w:ascii="Palatino Linotype" w:hAnsi="Palatino Linotype"/>
          <w:sz w:val="20"/>
          <w:szCs w:val="20"/>
          <w:lang w:val="en-GB"/>
        </w:rPr>
        <w:t xml:space="preserve">. </w:t>
      </w:r>
      <w:r w:rsidRPr="00D75907">
        <w:rPr>
          <w:rFonts w:ascii="Palatino Linotype" w:hAnsi="Palatino Linotype"/>
          <w:i/>
          <w:iCs/>
          <w:sz w:val="20"/>
          <w:szCs w:val="20"/>
          <w:lang w:val="en-GB"/>
        </w:rPr>
        <w:t>IEEE Access</w:t>
      </w:r>
      <w:r w:rsidRPr="00D75907">
        <w:rPr>
          <w:rFonts w:ascii="Palatino Linotype" w:hAnsi="Palatino Linotype"/>
          <w:sz w:val="20"/>
          <w:szCs w:val="20"/>
          <w:lang w:val="en-GB"/>
        </w:rPr>
        <w:t>, 13, 11608–11619.</w:t>
      </w:r>
    </w:p>
    <w:bookmarkEnd w:id="1"/>
    <w:bookmarkEnd w:id="2"/>
    <w:bookmarkEnd w:id="3"/>
    <w:p w14:paraId="00C42826" w14:textId="77777777" w:rsidR="00EB429C" w:rsidRPr="00D75907" w:rsidRDefault="00EB429C" w:rsidP="00EB429C">
      <w:pPr>
        <w:pStyle w:val="BodyText"/>
        <w:rPr>
          <w:rFonts w:ascii="Palatino Linotype" w:hAnsi="Palatino Linotype"/>
          <w:sz w:val="20"/>
          <w:szCs w:val="20"/>
        </w:rPr>
      </w:pPr>
    </w:p>
    <w:sectPr w:rsidR="00EB429C" w:rsidRPr="00D7590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BA2D26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D6E4C7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416370549">
    <w:abstractNumId w:val="0"/>
  </w:num>
  <w:num w:numId="2" w16cid:durableId="2328154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C612F"/>
    <w:rsid w:val="001474AC"/>
    <w:rsid w:val="0027483F"/>
    <w:rsid w:val="008B3D0C"/>
    <w:rsid w:val="0094282C"/>
    <w:rsid w:val="00CA3639"/>
    <w:rsid w:val="00D75907"/>
    <w:rsid w:val="00DC612F"/>
    <w:rsid w:val="00EB42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499909B8"/>
  <w15:docId w15:val="{1C865E53-B985-4042-8850-0B9FC3A9D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11</Pages>
  <Words>5847</Words>
  <Characters>35555</Characters>
  <Application>Microsoft Office Word</Application>
  <DocSecurity>0</DocSecurity>
  <Lines>474</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Jiayang Yu</cp:lastModifiedBy>
  <cp:revision>4</cp:revision>
  <dcterms:created xsi:type="dcterms:W3CDTF">2025-11-13T05:45:00Z</dcterms:created>
  <dcterms:modified xsi:type="dcterms:W3CDTF">2025-11-18T01:07:00Z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