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86AD7" w14:textId="093AE2A0" w:rsidR="00BF463E" w:rsidRPr="00500DA3" w:rsidRDefault="00451A9C" w:rsidP="00BF463E">
      <w:pPr>
        <w:pStyle w:val="MDPI11articletype"/>
      </w:pPr>
      <w:r w:rsidRPr="00500DA3">
        <w:t>Article</w:t>
      </w:r>
    </w:p>
    <w:p w14:paraId="5FD79212" w14:textId="6B4FDE54" w:rsidR="00BF463E" w:rsidRPr="00500DA3" w:rsidRDefault="00832CD2" w:rsidP="00BF463E">
      <w:pPr>
        <w:pStyle w:val="MDPI12title"/>
      </w:pPr>
      <w:r w:rsidRPr="00832CD2">
        <w:t>A Hierarchical Signal-to-Policy Learning Framework for Risk-Aware Portfolio Optimization</w:t>
      </w:r>
    </w:p>
    <w:p w14:paraId="6C0B9FD1" w14:textId="1F9218B0" w:rsidR="003871B1" w:rsidRPr="00500DA3" w:rsidRDefault="00E86A2D" w:rsidP="00BF463E">
      <w:pPr>
        <w:pStyle w:val="MDPI13authornames"/>
      </w:pPr>
      <w:r w:rsidRPr="00500DA3">
        <w:t xml:space="preserve">Jiayang Yu </w:t>
      </w:r>
      <w:proofErr w:type="gramStart"/>
      <w:r w:rsidRPr="00500DA3">
        <w:rPr>
          <w:vertAlign w:val="superscript"/>
        </w:rPr>
        <w:t>1,</w:t>
      </w:r>
      <w:r w:rsidRPr="00500DA3">
        <w:t>*</w:t>
      </w:r>
      <w:proofErr w:type="gramEnd"/>
      <w:r w:rsidRPr="00500DA3">
        <w:t xml:space="preserve"> and Kuo-Chu Chang </w:t>
      </w:r>
      <w:r w:rsidRPr="00500DA3">
        <w:rPr>
          <w:vertAlign w:val="superscript"/>
        </w:rPr>
        <w:t>2</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3871B1" w:rsidRPr="00500DA3" w14:paraId="2CA849F5" w14:textId="77777777" w:rsidTr="00EC335C">
        <w:tc>
          <w:tcPr>
            <w:tcW w:w="2410" w:type="dxa"/>
          </w:tcPr>
          <w:p w14:paraId="14FF089E" w14:textId="77777777" w:rsidR="003871B1" w:rsidRPr="00500DA3" w:rsidRDefault="003871B1" w:rsidP="00EC335C">
            <w:pPr>
              <w:pStyle w:val="MDPI15academiceditor"/>
              <w:spacing w:before="0" w:after="120"/>
            </w:pPr>
            <w:r w:rsidRPr="00500DA3">
              <w:t xml:space="preserve">Academic Editor: </w:t>
            </w:r>
            <w:proofErr w:type="spellStart"/>
            <w:r w:rsidRPr="00500DA3">
              <w:t>Firstname</w:t>
            </w:r>
            <w:proofErr w:type="spellEnd"/>
            <w:r w:rsidRPr="00500DA3">
              <w:t xml:space="preserve"> Lastname</w:t>
            </w:r>
          </w:p>
          <w:p w14:paraId="16FA5A43" w14:textId="77777777" w:rsidR="003871B1" w:rsidRPr="00500DA3" w:rsidRDefault="003871B1" w:rsidP="00EC335C">
            <w:pPr>
              <w:pStyle w:val="MDPI14history"/>
              <w:spacing w:before="120"/>
            </w:pPr>
            <w:r w:rsidRPr="00500DA3">
              <w:t>Received: date</w:t>
            </w:r>
          </w:p>
          <w:p w14:paraId="1D656D0C" w14:textId="77777777" w:rsidR="003871B1" w:rsidRPr="00500DA3" w:rsidRDefault="003871B1" w:rsidP="00EC335C">
            <w:pPr>
              <w:pStyle w:val="MDPI14history"/>
            </w:pPr>
            <w:r w:rsidRPr="00500DA3">
              <w:t>Revised: date</w:t>
            </w:r>
          </w:p>
          <w:p w14:paraId="57151B62" w14:textId="77777777" w:rsidR="003871B1" w:rsidRPr="00500DA3" w:rsidRDefault="003871B1" w:rsidP="00EC335C">
            <w:pPr>
              <w:pStyle w:val="MDPI14history"/>
            </w:pPr>
            <w:r w:rsidRPr="00500DA3">
              <w:t>Accepted: date</w:t>
            </w:r>
          </w:p>
          <w:p w14:paraId="5FC85704" w14:textId="77777777" w:rsidR="003871B1" w:rsidRPr="00500DA3" w:rsidRDefault="003871B1" w:rsidP="00EC335C">
            <w:pPr>
              <w:pStyle w:val="MDPI14history"/>
              <w:spacing w:after="120"/>
            </w:pPr>
            <w:r w:rsidRPr="00500DA3">
              <w:t>Published: date</w:t>
            </w:r>
          </w:p>
          <w:p w14:paraId="23BF1B2F" w14:textId="77777777" w:rsidR="003871B1" w:rsidRPr="00500DA3" w:rsidRDefault="003871B1" w:rsidP="00EC335C">
            <w:pPr>
              <w:pStyle w:val="MDPI61citation"/>
              <w:rPr>
                <w:lang w:bidi="en-US"/>
              </w:rPr>
            </w:pPr>
            <w:r w:rsidRPr="00500DA3">
              <w:rPr>
                <w:b/>
                <w:lang w:bidi="en-US"/>
              </w:rPr>
              <w:t xml:space="preserve">Citation: </w:t>
            </w:r>
            <w:r w:rsidRPr="00500DA3">
              <w:rPr>
                <w:lang w:bidi="en-US"/>
              </w:rPr>
              <w:t>To be added by editorial staff during production.</w:t>
            </w:r>
          </w:p>
          <w:p w14:paraId="75828EAC" w14:textId="77777777" w:rsidR="003871B1" w:rsidRPr="00500DA3" w:rsidRDefault="003871B1" w:rsidP="00EC335C">
            <w:pPr>
              <w:pStyle w:val="MDPI72copyright"/>
              <w:rPr>
                <w:rFonts w:eastAsia="DengXian"/>
                <w:noProof w:val="0"/>
                <w:lang w:val="en-US" w:bidi="en-US"/>
              </w:rPr>
            </w:pPr>
            <w:r w:rsidRPr="00500DA3">
              <w:rPr>
                <w:rFonts w:eastAsia="DengXian"/>
                <w:b/>
                <w:noProof w:val="0"/>
                <w:lang w:val="en-US" w:bidi="en-US"/>
              </w:rPr>
              <w:t>Copyright:</w:t>
            </w:r>
            <w:r w:rsidRPr="00500DA3">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4F29FE04" w14:textId="66295C1B" w:rsidR="00BF463E" w:rsidRPr="00500DA3" w:rsidRDefault="009553FB" w:rsidP="00BF463E">
      <w:pPr>
        <w:pStyle w:val="MDPI16affiliation"/>
      </w:pPr>
      <w:r w:rsidRPr="00500DA3">
        <w:rPr>
          <w:vertAlign w:val="superscript"/>
        </w:rPr>
        <w:t>1</w:t>
      </w:r>
      <w:r w:rsidR="00BF463E" w:rsidRPr="00500DA3">
        <w:tab/>
      </w:r>
      <w:r w:rsidR="00E86A2D" w:rsidRPr="00500DA3">
        <w:t>Department of Systems Engineering and Operations Research, George Mason University</w:t>
      </w:r>
      <w:r w:rsidR="00BF463E" w:rsidRPr="00500DA3">
        <w:t xml:space="preserve">; </w:t>
      </w:r>
      <w:r w:rsidR="00E86A2D" w:rsidRPr="00500DA3">
        <w:t>jyu23@gmu.edu</w:t>
      </w:r>
    </w:p>
    <w:p w14:paraId="1902BA45" w14:textId="5BBF56AB" w:rsidR="00BF463E" w:rsidRPr="00500DA3" w:rsidRDefault="00BF463E" w:rsidP="00BF463E">
      <w:pPr>
        <w:pStyle w:val="MDPI16affiliation"/>
      </w:pPr>
      <w:r w:rsidRPr="00500DA3">
        <w:rPr>
          <w:vertAlign w:val="superscript"/>
        </w:rPr>
        <w:t>2</w:t>
      </w:r>
      <w:r w:rsidRPr="00500DA3">
        <w:tab/>
      </w:r>
      <w:r w:rsidR="00E86A2D" w:rsidRPr="00500DA3">
        <w:t>Department of Systems Engineering and Operations Research, George Mason University; kchang@gmu.edu</w:t>
      </w:r>
    </w:p>
    <w:p w14:paraId="18B0A23D" w14:textId="566CB650" w:rsidR="00BF463E" w:rsidRPr="00500DA3" w:rsidRDefault="00BF463E" w:rsidP="00E86A2D">
      <w:pPr>
        <w:pStyle w:val="MDPI16affiliation"/>
      </w:pPr>
      <w:r w:rsidRPr="00500DA3">
        <w:rPr>
          <w:b/>
        </w:rPr>
        <w:t>*</w:t>
      </w:r>
      <w:r w:rsidRPr="00500DA3">
        <w:tab/>
        <w:t xml:space="preserve">Correspondence: </w:t>
      </w:r>
      <w:r w:rsidR="00E86A2D" w:rsidRPr="00500DA3">
        <w:t>jyu23@gmu.edu</w:t>
      </w:r>
    </w:p>
    <w:p w14:paraId="4B4CC857" w14:textId="77777777" w:rsidR="000D309B" w:rsidRPr="00500DA3" w:rsidRDefault="00BF463E" w:rsidP="000D309B">
      <w:pPr>
        <w:pStyle w:val="MDPI17abstract"/>
        <w:jc w:val="left"/>
        <w:rPr>
          <w:b/>
        </w:rPr>
      </w:pPr>
      <w:r w:rsidRPr="00500DA3">
        <w:rPr>
          <w:b/>
        </w:rPr>
        <w:t>Abstract</w:t>
      </w:r>
    </w:p>
    <w:p w14:paraId="24526D13" w14:textId="0B5238F1" w:rsidR="00C96C2E" w:rsidRPr="00500DA3" w:rsidRDefault="00895C94" w:rsidP="00895C94">
      <w:pPr>
        <w:pStyle w:val="MDPI17abstract"/>
      </w:pPr>
      <w:r w:rsidRPr="00895C94">
        <w:t xml:space="preserve">This paper proposes a hierarchical signal-to-policy learning framework for risk-aware portfolio optimization that combines model-based return forecasting, explainable machine learning, and deep reinforcement learning within a unified structure. In the first stage, we estimate next-period returns using gradient-boosted trees and extract SHAP-based feature attributions to obtain transparent, factor-level explanations of the predictive signals. In the second stage, a Proximal Policy Optimization agent incorporates these predictive and explanatory inputs into its state representation and learns dynamic allocation rules under a mean–CVaR reward function that explicitly penalizes tail risk and controls trading frictions. This architecture separates prediction from decision-making, enhances interpretability, and embeds risk management directly into the learning objective. </w:t>
      </w:r>
      <w:r w:rsidR="00001586" w:rsidRPr="00001586">
        <w:t>Empirical evaluation on sector ETFs and Dow Jones constituents shows that the hierarchical approach delivers higher risk-adjusted returns</w:t>
      </w:r>
      <w:r w:rsidR="00001586">
        <w:t xml:space="preserve"> and </w:t>
      </w:r>
      <w:r w:rsidR="00001586" w:rsidRPr="00001586">
        <w:t>more stable out-of-sample performance than both a baseline end-to-end DRL agent trained solely on technical indicators and standard index-based benchmarks</w:t>
      </w:r>
      <w:r w:rsidRPr="00895C94">
        <w:t>. The findings demonstrate that integrating explainable predictive signals with risk-sensitive reinforcement learning can materially improve the robustness and transparency of data-driven portfolio strategies.</w:t>
      </w:r>
      <w:r w:rsidR="00C96C2E" w:rsidRPr="00500DA3">
        <w:t xml:space="preserve"> </w:t>
      </w:r>
    </w:p>
    <w:p w14:paraId="5125B1B9" w14:textId="7BB99544" w:rsidR="00BF463E" w:rsidRPr="00500DA3" w:rsidRDefault="00BF463E" w:rsidP="00101E07">
      <w:pPr>
        <w:pStyle w:val="MDPI18keywords"/>
        <w:rPr>
          <w:szCs w:val="18"/>
        </w:rPr>
      </w:pPr>
      <w:r w:rsidRPr="00500DA3">
        <w:rPr>
          <w:b/>
          <w:szCs w:val="18"/>
        </w:rPr>
        <w:t xml:space="preserve">Keywords: </w:t>
      </w:r>
      <w:r w:rsidR="00001586" w:rsidRPr="00001586">
        <w:rPr>
          <w:szCs w:val="18"/>
        </w:rPr>
        <w:t>Hierarchical Reinforcement Learning; Portfolio Optimization; Conditional Value-at-Risk (CVaR); Explainable Artificial Intelligence (XAI); SHAP Values; Proximal Policy Optimization (PPO).</w:t>
      </w:r>
    </w:p>
    <w:p w14:paraId="2E1FF939" w14:textId="77777777" w:rsidR="00BF463E" w:rsidRPr="00500DA3" w:rsidRDefault="00BF463E" w:rsidP="00101E07">
      <w:pPr>
        <w:pStyle w:val="MDPI19line"/>
      </w:pPr>
    </w:p>
    <w:p w14:paraId="7619B879" w14:textId="77777777" w:rsidR="00BF463E" w:rsidRPr="00500DA3" w:rsidRDefault="00BF463E" w:rsidP="00101E07">
      <w:pPr>
        <w:pStyle w:val="MDPI21heading1"/>
      </w:pPr>
      <w:r w:rsidRPr="00500DA3">
        <w:t>1. Introduction</w:t>
      </w:r>
    </w:p>
    <w:p w14:paraId="1239D128" w14:textId="6AA3C58A" w:rsidR="00832CD2" w:rsidRPr="00CF4F9D" w:rsidRDefault="00832CD2" w:rsidP="00CF4F9D">
      <w:pPr>
        <w:pStyle w:val="MDPI31text"/>
        <w:rPr>
          <w:rFonts w:eastAsiaTheme="minorEastAsia"/>
        </w:rPr>
      </w:pPr>
      <w:bookmarkStart w:id="0" w:name="_Hlk214215521"/>
      <w:r w:rsidRPr="00CF4F9D">
        <w:rPr>
          <w:rFonts w:eastAsiaTheme="minorEastAsia"/>
        </w:rPr>
        <w:t xml:space="preserve">Dynamic portfolio allocation in volatile markets demands both accurate return forecasting and rigorous risk management. Traditional mean–variance optimization (MVO), introduced by </w:t>
      </w:r>
      <w:r w:rsidRPr="00CF4F9D">
        <w:rPr>
          <w:rFonts w:eastAsiaTheme="minorEastAsia"/>
        </w:rPr>
        <w:fldChar w:fldCharType="begin"/>
      </w:r>
      <w:r w:rsidR="00C7426F">
        <w:rPr>
          <w:rFonts w:eastAsiaTheme="minorEastAsia"/>
        </w:rPr>
        <w:instrText xml:space="preserve"> ADDIN ZOTERO_ITEM CSL_CITATION {"citationID":"J9ozVVed","properties":{"formattedCitation":"(Markowitz, 1952)","plainCitation":"(Markowitz, 1952)","noteIndex":0},"citationItems":[{"id":261,"uris":["http://zotero.org/users/5952202/items/2652V7KD"],"itemData":{"id":261,"type":"article-journal","archive":"JSTOR","container-title":"The Journal of Finance","DOI":"10.2307/2975974","ISSN":"0022-1082","issue":"1","note":"publisher: [American Finance Association, Wiley]","page":"77-91","source":"JSTOR","title":"Portfolio Selection","volume":"7","author":[{"family":"Markowitz","given":"Harry"}],"issued":{"date-parts":[["1952"]]}}}],"schema":"https://github.com/citation-style-language/schema/raw/master/csl-citation.json"} </w:instrText>
      </w:r>
      <w:r w:rsidRPr="00CF4F9D">
        <w:rPr>
          <w:rFonts w:eastAsiaTheme="minorEastAsia"/>
        </w:rPr>
        <w:fldChar w:fldCharType="separate"/>
      </w:r>
      <w:r w:rsidR="00C7426F" w:rsidRPr="00C7426F">
        <w:rPr>
          <w:rFonts w:eastAsiaTheme="minorEastAsia"/>
        </w:rPr>
        <w:t>(Markowitz, 1952)</w:t>
      </w:r>
      <w:r w:rsidRPr="00CF4F9D">
        <w:rPr>
          <w:rFonts w:eastAsiaTheme="minorEastAsia"/>
        </w:rPr>
        <w:fldChar w:fldCharType="end"/>
      </w:r>
      <w:r w:rsidRPr="00CF4F9D">
        <w:rPr>
          <w:rFonts w:eastAsiaTheme="minorEastAsia"/>
        </w:rPr>
        <w:t xml:space="preserve">, relies on expected returns and covariances to balance risk and reward, defining an efficient frontier of optimal portfolios. However, MVO’s focus on variance as the sole risk measure can overlook tail risks and rapid regime changes, leaving investors exposed to extreme losses based on </w:t>
      </w:r>
      <w:r w:rsidRPr="00CF4F9D">
        <w:rPr>
          <w:rFonts w:eastAsiaTheme="minorEastAsia"/>
        </w:rPr>
        <w:fldChar w:fldCharType="begin"/>
      </w:r>
      <w:r w:rsidR="00C7426F">
        <w:rPr>
          <w:rFonts w:eastAsiaTheme="minorEastAsia"/>
        </w:rPr>
        <w:instrText xml:space="preserve"> ADDIN ZOTERO_ITEM CSL_CITATION {"citationID":"uCIvemvU","properties":{"formattedCitation":"(Rockafellar &amp; Uryasev, 2000)","plainCitation":"(Rockafellar &amp; Uryasev, 2000)","noteIndex":0},"citationItems":[{"id":226,"uris":["http://zotero.org/users/5952202/items/G6UMVPKX"],"itemData":{"id":226,"type":"article-journal","container-title":"The Journal of Risk","DOI":"10.21314/JOR.2000.038","ISSN":"14651211","issue":"3","journalAbbreviation":"JOR","language":"en","page":"21-41","source":"DOI.org (Crossref)","title":"Optimization of conditional value-at-risk","volume":"2","author":[{"family":"Rockafellar","given":"R. Tyrrell"},{"family":"Uryasev","given":"Stanislav"}],"issued":{"date-parts":[["2000"]]}}}],"schema":"https://github.com/citation-style-language/schema/raw/master/csl-citation.json"} </w:instrText>
      </w:r>
      <w:r w:rsidRPr="00CF4F9D">
        <w:rPr>
          <w:rFonts w:eastAsiaTheme="minorEastAsia"/>
        </w:rPr>
        <w:fldChar w:fldCharType="separate"/>
      </w:r>
      <w:r w:rsidR="00C7426F" w:rsidRPr="00C7426F">
        <w:rPr>
          <w:rFonts w:eastAsiaTheme="minorEastAsia"/>
        </w:rPr>
        <w:t>(Rockafellar &amp; Uryasev, 2000)</w:t>
      </w:r>
      <w:r w:rsidRPr="00CF4F9D">
        <w:rPr>
          <w:rFonts w:eastAsiaTheme="minorEastAsia"/>
        </w:rPr>
        <w:fldChar w:fldCharType="end"/>
      </w:r>
      <w:r w:rsidRPr="00CF4F9D">
        <w:rPr>
          <w:rFonts w:eastAsiaTheme="minorEastAsia"/>
        </w:rPr>
        <w:t xml:space="preserve">. This limitation has prompted approaches that integrate predictive modeling with more robust downside risk measures. For example, Conditional Value-at-Risk (CVaR) was proposed to explicitly account for tail losses beyond the </w:t>
      </w:r>
      <w:proofErr w:type="spellStart"/>
      <w:r w:rsidRPr="00CF4F9D">
        <w:rPr>
          <w:rFonts w:eastAsiaTheme="minorEastAsia"/>
        </w:rPr>
        <w:t>VaR</w:t>
      </w:r>
      <w:proofErr w:type="spellEnd"/>
      <w:r w:rsidRPr="00CF4F9D">
        <w:rPr>
          <w:rFonts w:eastAsiaTheme="minorEastAsia"/>
        </w:rPr>
        <w:t xml:space="preserve"> threshold. Methods incorporating such tail-risk metrics have shown promise in improving portfolio resilience to market shocks.</w:t>
      </w:r>
    </w:p>
    <w:p w14:paraId="4F19B616" w14:textId="7A8CF6E2" w:rsidR="00832CD2" w:rsidRPr="00CF4F9D" w:rsidRDefault="00832CD2" w:rsidP="00CF4F9D">
      <w:pPr>
        <w:pStyle w:val="MDPI31text"/>
        <w:rPr>
          <w:rFonts w:eastAsiaTheme="minorEastAsia"/>
        </w:rPr>
      </w:pPr>
      <w:r w:rsidRPr="00CF4F9D">
        <w:rPr>
          <w:rFonts w:eastAsiaTheme="minorEastAsia"/>
        </w:rPr>
        <w:lastRenderedPageBreak/>
        <w:t xml:space="preserve">In recent years, deep reinforcement learning (DRL) has emerged as a powerful framework for sequential decision-making in finance </w:t>
      </w:r>
      <w:r w:rsidRPr="00CF4F9D">
        <w:rPr>
          <w:rFonts w:eastAsiaTheme="minorEastAsia"/>
        </w:rPr>
        <w:fldChar w:fldCharType="begin"/>
      </w:r>
      <w:r w:rsidR="00C7426F">
        <w:rPr>
          <w:rFonts w:eastAsiaTheme="minorEastAsia"/>
        </w:rPr>
        <w:instrText xml:space="preserve"> ADDIN ZOTERO_ITEM CSL_CITATION {"citationID":"8I4pV9rg","properties":{"formattedCitation":"(Bai et al., 2024)","plainCitation":"(Bai et al., 2024)","noteIndex":0},"citationItems":[{"id":819,"uris":["http://zotero.org/users/5952202/items/VWG6CR7B"],"itemData":{"id":819,"type":"article","abstract":"In recent years, there has been a growing trend of applying Reinforcement Learning (RL) in financial applications. This approach has shown great potential to solve decision-making tasks in finance. In this survey, we present a comprehensive study of the applications of RL in finance and conduct a series of meta-analyses to investigate the common themes in the literature, such as the factors that most significantly affect RL's performance compared to traditional methods. Moreover, we identify challenges including explainability, Markov Decision Process (MDP) modeling, and robustness that hinder the broader utilization of RL in the financial industry and discuss recent advancements in overcoming these challenges. Finally, we propose future research directions, such as benchmarking, contextual RL, multi-agent RL, and model-based RL to address these challenges and to further enhance the implementation of RL in finance.","DOI":"10.48550/arXiv.2411.12746","note":"arXiv:2411.12746 [q-fin]","number":"arXiv:2411.12746","publisher":"arXiv","source":"arXiv.org","title":"A Review of Reinforcement Learning in Financial Applications","URL":"http://arxiv.org/abs/2411.12746","author":[{"family":"Bai","given":"Yahui"},{"family":"Gao","given":"Yuhe"},{"family":"Wan","given":"Runzhe"},{"family":"Zhang","given":"Sheng"},{"family":"Song","given":"Rui"}],"accessed":{"date-parts":[["2025",11,15]]},"issued":{"date-parts":[["2024",11,1]]}}}],"schema":"https://github.com/citation-style-language/schema/raw/master/csl-citation.json"} </w:instrText>
      </w:r>
      <w:r w:rsidRPr="00CF4F9D">
        <w:rPr>
          <w:rFonts w:eastAsiaTheme="minorEastAsia"/>
        </w:rPr>
        <w:fldChar w:fldCharType="separate"/>
      </w:r>
      <w:r w:rsidR="00C7426F" w:rsidRPr="00C7426F">
        <w:rPr>
          <w:rFonts w:eastAsiaTheme="minorEastAsia"/>
        </w:rPr>
        <w:t>(Bai et al., 2024)</w:t>
      </w:r>
      <w:r w:rsidRPr="00CF4F9D">
        <w:rPr>
          <w:rFonts w:eastAsiaTheme="minorEastAsia"/>
        </w:rPr>
        <w:fldChar w:fldCharType="end"/>
      </w:r>
      <w:r w:rsidRPr="00CF4F9D">
        <w:rPr>
          <w:rFonts w:eastAsiaTheme="minorEastAsia"/>
        </w:rPr>
        <w:t xml:space="preserve">, finding applications in tasks like algorithmic trading and portfolio rebalancing. DRL agents learn adaptive trading policies in cryptocurrencies from </w:t>
      </w:r>
      <w:r w:rsidRPr="00CF4F9D">
        <w:rPr>
          <w:rFonts w:eastAsiaTheme="minorEastAsia"/>
        </w:rPr>
        <w:fldChar w:fldCharType="begin"/>
      </w:r>
      <w:r w:rsidR="00C7426F">
        <w:rPr>
          <w:rFonts w:eastAsiaTheme="minorEastAsia"/>
        </w:rPr>
        <w:instrText xml:space="preserve"> ADDIN ZOTERO_ITEM CSL_CITATION {"citationID":"ceXjl9Wf","properties":{"formattedCitation":"(Jiang &amp; Liang, 2017)","plainCitation":"(Jiang &amp; Liang, 2017)","noteIndex":0},"citationItems":[{"id":822,"uris":["http://zotero.org/users/5952202/items/RAAE85NX"],"itemData":{"id":822,"type":"article","abstract":"Portfolio management is the decision-making process of allocating an amount of fund into different financial investment products. Cryptocurrencies are electronic and decentralized alternatives to government-issued money, with Bitcoin as the best-known example of a cryptocurrency. This paper presents a model-less convolutional neural network with historic prices of a set of financial assets as its input, outputting portfolio weights of the set. The network is trained with 0.7 years' price data from a cryptocurrency exchange. The training is done in a reinforcement manner, maximizing the accumulative return, which is regarded as the reward function of the network. Backtest trading experiments with trading period of 30 minutes is conducted in the same market, achieving 10-fold returns in 1.8 months' periods. Some recently published portfolio selection strategies are also used to perform the same back-tests, whose results are compared with the neural network. The network is not limited to cryptocurrency, but can be applied to any other financial markets.","DOI":"10.48550/arXiv.1612.01277","note":"arXiv:1612.01277 [cs]","number":"arXiv:1612.01277","publisher":"arXiv","source":"arXiv.org","title":"Cryptocurrency Portfolio Management with Deep Reinforcement Learning","URL":"http://arxiv.org/abs/1612.01277","author":[{"family":"Jiang","given":"Zhengyao"},{"family":"Liang","given":"Jinjun"}],"accessed":{"date-parts":[["2025",11,15]]},"issued":{"date-parts":[["2017",5,11]]}}}],"schema":"https://github.com/citation-style-language/schema/raw/master/csl-citation.json"} </w:instrText>
      </w:r>
      <w:r w:rsidRPr="00CF4F9D">
        <w:rPr>
          <w:rFonts w:eastAsiaTheme="minorEastAsia"/>
        </w:rPr>
        <w:fldChar w:fldCharType="separate"/>
      </w:r>
      <w:r w:rsidR="00C7426F" w:rsidRPr="00C7426F">
        <w:rPr>
          <w:rFonts w:eastAsiaTheme="minorEastAsia"/>
        </w:rPr>
        <w:t>(Jiang &amp; Liang, 2017)</w:t>
      </w:r>
      <w:r w:rsidRPr="00CF4F9D">
        <w:rPr>
          <w:rFonts w:eastAsiaTheme="minorEastAsia"/>
        </w:rPr>
        <w:fldChar w:fldCharType="end"/>
      </w:r>
      <w:r w:rsidRPr="00CF4F9D">
        <w:rPr>
          <w:rFonts w:eastAsiaTheme="minorEastAsia"/>
        </w:rPr>
        <w:t xml:space="preserve"> through interaction with market environments, and they often outperform static strategies on metrics such as cumulative returns. For example, the open-source </w:t>
      </w:r>
      <w:proofErr w:type="spellStart"/>
      <w:r w:rsidRPr="00CF4F9D">
        <w:rPr>
          <w:rFonts w:eastAsiaTheme="minorEastAsia"/>
        </w:rPr>
        <w:t>FinRL</w:t>
      </w:r>
      <w:proofErr w:type="spellEnd"/>
      <w:r w:rsidRPr="00CF4F9D">
        <w:rPr>
          <w:rFonts w:eastAsiaTheme="minorEastAsia"/>
        </w:rPr>
        <w:t xml:space="preserve"> library </w:t>
      </w:r>
      <w:r w:rsidRPr="00CF4F9D">
        <w:rPr>
          <w:rFonts w:eastAsiaTheme="minorEastAsia"/>
        </w:rPr>
        <w:fldChar w:fldCharType="begin"/>
      </w:r>
      <w:r w:rsidR="00C7426F">
        <w:rPr>
          <w:rFonts w:eastAsiaTheme="minorEastAsia"/>
        </w:rPr>
        <w:instrText xml:space="preserve"> ADDIN ZOTERO_ITEM CSL_CITATION {"citationID":"VSr2WVAh","properties":{"formattedCitation":"(Liu et al., 2020)","plainCitation":"(Liu et al., 2020)","noteIndex":0},"citationItems":[{"id":528,"uris":["http://zotero.org/users/5952202/items/2L4UL6CK"],"itemData":{"id":528,"type":"article-journal","abstract":"As deep reinforcement learning (DRL) has been recognized as an effective approach in quantitative finance, getting hands-on experiences is attractive to beginners. However, to train a practical DRL trading agent that decides where to trade, at what price, and what quantity involves error-prone and arduous development and debugging. In this paper, we introduce a DRL library FinRL that facilitates beginners to expose themselves to quantitative finance and to develop their own stock trading strategies. Along with easily-reproducible tutorials, FinRL library allows users to streamline their own developments and to compare with existing schemes easily. Within FinRL, virtual environments are configured with stock market datasets, trading agents are trained with neural networks, and extensive backtesting is analyzed via trading performance. Moreover, it incorporates important trading constraints such as transaction cost, market liquidity and the investor's degree of risk-aversion. FinRL is featured with completeness, hands-on tutorial and reproducibility that favors beginners: (i) at multiple levels of time granularity, FinRL simulates trading environments across various stock markets, including NASDAQ-100, DJIA, SP (ii) organized in a layered architecture with modular structure, FinRL provides fine-tuned state-of-the-art DRL algorithms (DQN, DDPG, PPO, SAC, A2C, TD3, etc.), commonly-used reward functions and standard evaluation baselines to alleviate the debugging workloads and promote the reproducibility, and (iii) being highly extendable, FinRL reserves a complete set of user-import interfaces. Furthermore, we incorporated three application demonstrations, namely single stock trading, multiple stock trading, and portfolio allocation. The FinRL library will be available on Github at link this https URL.","container-title":"SSRN Electronic Journal","DOI":"10.2139/ssrn.3737859","ISSN":"1556-5068","journalAbbreviation":"SSRN Journal","language":"en","source":"Semantic Scholar","title":"FinRL: A Deep Reinforcement Learning Library for Automated Stock Trading in Quantitative Finance","title-short":"FinRL","URL":"https://www.ssrn.com/abstract=3737859","author":[{"family":"Liu","given":"Xiao-Yang"},{"family":"Yang","given":"Hongyang"},{"family":"Chen","given":"Qian"},{"family":"Zhang","given":"Runjia"},{"family":"Yang","given":"Liuqing"},{"family":"Xiao","given":"Bowen"},{"family":"Wang","given":"Christina"}],"accessed":{"date-parts":[["2024",4,28]]},"issued":{"date-parts":[["2020"]]}}}],"schema":"https://github.com/citation-style-language/schema/raw/master/csl-citation.json"} </w:instrText>
      </w:r>
      <w:r w:rsidRPr="00CF4F9D">
        <w:rPr>
          <w:rFonts w:eastAsiaTheme="minorEastAsia"/>
        </w:rPr>
        <w:fldChar w:fldCharType="separate"/>
      </w:r>
      <w:r w:rsidR="00C7426F" w:rsidRPr="00C7426F">
        <w:rPr>
          <w:rFonts w:eastAsiaTheme="minorEastAsia"/>
        </w:rPr>
        <w:t>(Liu et al., 2020)</w:t>
      </w:r>
      <w:r w:rsidRPr="00CF4F9D">
        <w:rPr>
          <w:rFonts w:eastAsiaTheme="minorEastAsia"/>
        </w:rPr>
        <w:fldChar w:fldCharType="end"/>
      </w:r>
      <w:r w:rsidRPr="00CF4F9D">
        <w:rPr>
          <w:rFonts w:eastAsiaTheme="minorEastAsia"/>
        </w:rPr>
        <w:t xml:space="preserve"> demonstrated that an end-to-end DRL agent can learn profitable portfolio allocation rules directly from market data. In such systems, a neural policy network observes raw financial features (price relatives, technical indicators, etc.) and outputs portfolio weight adjustments in an end-to-end manner. This black-box approach has been applied to stock index and cryptocurrency portfolios with notable success </w:t>
      </w:r>
      <w:r w:rsidRPr="00CF4F9D">
        <w:rPr>
          <w:rFonts w:eastAsiaTheme="minorEastAsia"/>
        </w:rPr>
        <w:fldChar w:fldCharType="begin"/>
      </w:r>
      <w:r w:rsidR="00C7426F">
        <w:rPr>
          <w:rFonts w:eastAsiaTheme="minorEastAsia"/>
        </w:rPr>
        <w:instrText xml:space="preserve"> ADDIN ZOTERO_ITEM CSL_CITATION {"citationID":"g596ttQF","properties":{"formattedCitation":"(Deng et al., 2017; Jiang &amp; Liang, 2017)","plainCitation":"(Deng et al., 2017; Jiang &amp; Liang, 2017)","noteIndex":0},"citationItems":[{"id":826,"uris":["http://zotero.org/users/5952202/items/EVFZTLL3"],"itemData":{"id":826,"type":"article-journal","abstract":"Can we train the computer to beat experienced traders for financial assert trading? In this paper, we try to address this challenge by introducing a recurrent deep neural network (NN) for real-time financial signal representation and trading. Our model is inspired by two biological-related learning concepts of deep learning (DL) and reinforcement learning (RL). In the framework, the DL part automatically senses the dynamic market condition for informative feature learning. Then, the RL module interacts with deep representations and makes trading decisions to accumulate the ultimate rewards in an unknown environment. The learning system is implemented in a complex NN that exhibits both the deep and recurrent structures. Hence, we propose a task-aware backpropagation through time method to cope with the gradient vanishing issue in deep training. The robustness of the neural system is verified on both the stock and the commodity future markets under broad testing conditions.","container-title":"IEEE Transactions on Neural Networks and Learning Systems","DOI":"10.1109/TNNLS.2016.2522401","ISSN":"2162-2388","issue":"3","page":"653-664","source":"IEEE Xplore","title":"Deep Direct Reinforcement Learning for Financial Signal Representation and Trading","volume":"28","author":[{"family":"Deng","given":"Yue"},{"family":"Bao","given":"Feng"},{"family":"Kong","given":"Youyong"},{"family":"Ren","given":"Zhiquan"},{"family":"Dai","given":"Qionghai"}],"issued":{"date-parts":[["2017",3]]}}},{"id":822,"uris":["http://zotero.org/users/5952202/items/RAAE85NX"],"itemData":{"id":822,"type":"article","abstract":"Portfolio management is the decision-making process of allocating an amount of fund into different financial investment products. Cryptocurrencies are electronic and decentralized alternatives to government-issued money, with Bitcoin as the best-known example of a cryptocurrency. This paper presents a model-less convolutional neural network with historic prices of a set of financial assets as its input, outputting portfolio weights of the set. The network is trained with 0.7 years' price data from a cryptocurrency exchange. The training is done in a reinforcement manner, maximizing the accumulative return, which is regarded as the reward function of the network. Backtest trading experiments with trading period of 30 minutes is conducted in the same market, achieving 10-fold returns in 1.8 months' periods. Some recently published portfolio selection strategies are also used to perform the same back-tests, whose results are compared with the neural network. The network is not limited to cryptocurrency, but can be applied to any other financial markets.","DOI":"10.48550/arXiv.1612.01277","note":"arXiv:1612.01277 [cs]","number":"arXiv:1612.01277","publisher":"arXiv","source":"arXiv.org","title":"Cryptocurrency Portfolio Management with Deep Reinforcement Learning","URL":"http://arxiv.org/abs/1612.01277","author":[{"family":"Jiang","given":"Zhengyao"},{"family":"Liang","given":"Jinjun"}],"accessed":{"date-parts":[["2025",11,15]]},"issued":{"date-parts":[["2017",5,11]]}}}],"schema":"https://github.com/citation-style-language/schema/raw/master/csl-citation.json"} </w:instrText>
      </w:r>
      <w:r w:rsidRPr="00CF4F9D">
        <w:rPr>
          <w:rFonts w:eastAsiaTheme="minorEastAsia"/>
        </w:rPr>
        <w:fldChar w:fldCharType="separate"/>
      </w:r>
      <w:r w:rsidR="00C7426F" w:rsidRPr="00C7426F">
        <w:rPr>
          <w:rFonts w:eastAsiaTheme="minorEastAsia"/>
        </w:rPr>
        <w:t>(Deng et al., 2017; Jiang &amp; Liang, 2017)</w:t>
      </w:r>
      <w:r w:rsidRPr="00CF4F9D">
        <w:rPr>
          <w:rFonts w:eastAsiaTheme="minorEastAsia"/>
        </w:rPr>
        <w:fldChar w:fldCharType="end"/>
      </w:r>
      <w:r w:rsidRPr="00CF4F9D">
        <w:rPr>
          <w:rFonts w:eastAsiaTheme="minorEastAsia"/>
        </w:rPr>
        <w:t xml:space="preserve">. However, it entangles prediction and decision-making into a single opaque model. The lack of transparency and clear modular structure in these end-to-end policies makes it difficult to interpret why a particular action is taken or to enforce risk controls beyond those indirectly specified in the reward function. In short, prior DRL-based portfolio optimizers like </w:t>
      </w:r>
      <w:proofErr w:type="spellStart"/>
      <w:r w:rsidRPr="00CF4F9D">
        <w:rPr>
          <w:rFonts w:eastAsiaTheme="minorEastAsia"/>
        </w:rPr>
        <w:t>FinRL</w:t>
      </w:r>
      <w:proofErr w:type="spellEnd"/>
      <w:r w:rsidRPr="00CF4F9D">
        <w:rPr>
          <w:rFonts w:eastAsiaTheme="minorEastAsia"/>
        </w:rPr>
        <w:t xml:space="preserve"> learn trading policies directly from raw features without an intermediate prediction layer, which can obscure the economic drivers of the strategy and limit the incorporation of domain knowledge and interpretability.</w:t>
      </w:r>
    </w:p>
    <w:p w14:paraId="286B3991" w14:textId="270EBDE1" w:rsidR="00832CD2" w:rsidRPr="00CF4F9D" w:rsidRDefault="00832CD2" w:rsidP="00CF4F9D">
      <w:pPr>
        <w:pStyle w:val="MDPI31text"/>
        <w:rPr>
          <w:rFonts w:eastAsiaTheme="minorEastAsia"/>
        </w:rPr>
      </w:pPr>
      <w:r w:rsidRPr="00CF4F9D">
        <w:rPr>
          <w:rFonts w:eastAsiaTheme="minorEastAsia"/>
        </w:rPr>
        <w:t>In this paper, we propose a novel two-stage “signal-to-policy” learning architecture that hierarchically separates the return prediction layer from the portfolio allocation layer. Stage 1 focuses on predictive modeling: we train gradient-boosted tree regressors (</w:t>
      </w:r>
      <w:proofErr w:type="spellStart"/>
      <w:r w:rsidRPr="00CF4F9D">
        <w:rPr>
          <w:rFonts w:eastAsiaTheme="minorEastAsia"/>
        </w:rPr>
        <w:t>XGBoost</w:t>
      </w:r>
      <w:proofErr w:type="spellEnd"/>
      <w:r w:rsidRPr="00CF4F9D">
        <w:rPr>
          <w:rFonts w:eastAsiaTheme="minorEastAsia"/>
        </w:rPr>
        <w:t xml:space="preserve">) to forecast each asset’s next-period return using a rich feature set of technical indicators and macroeconomic factors. By leveraging </w:t>
      </w:r>
      <w:proofErr w:type="spellStart"/>
      <w:r w:rsidRPr="00CF4F9D">
        <w:rPr>
          <w:rFonts w:eastAsiaTheme="minorEastAsia"/>
        </w:rPr>
        <w:t>XGBoost</w:t>
      </w:r>
      <w:proofErr w:type="spellEnd"/>
      <w:r w:rsidRPr="00CF4F9D">
        <w:rPr>
          <w:rFonts w:eastAsiaTheme="minorEastAsia"/>
        </w:rPr>
        <w:t xml:space="preserve">, a powerful non-linear machine learning model, Stage 1 can capture complex relationships in the data. We accompany these return predictions with interpretable attributions using SHAP (Shapley Additive Explanations) values. SHAP values decompose each model prediction into the contribution of each input feature, effectively providing a factor attribution for the predicted return. This yields human-interpretable signals – for example, revealing whether an asset’s forecasted outperformance is driven by momentum, mean-reversion, or exposure to a particular macro factor. Combining tree-based models with SHAP has been shown to significantly enhance explanatory power, capturing complex non-linear feature interactions that traditional linear factor models might miss </w:t>
      </w:r>
      <w:r w:rsidRPr="00CF4F9D">
        <w:rPr>
          <w:rFonts w:eastAsiaTheme="minorEastAsia"/>
        </w:rPr>
        <w:fldChar w:fldCharType="begin"/>
      </w:r>
      <w:r w:rsidR="00C7426F">
        <w:rPr>
          <w:rFonts w:eastAsiaTheme="minorEastAsia"/>
        </w:rPr>
        <w:instrText xml:space="preserve"> ADDIN ZOTERO_ITEM CSL_CITATION {"citationID":"lsF0StMY","properties":{"formattedCitation":"(Huang, 2021; Kovvuri et al., 2023)","plainCitation":"(Huang, 2021; Kovvuri et al., 2023)","noteIndex":0},"citationItems":[{"id":828,"uris":["http://zotero.org/users/5952202/items/XU78ZRIZ"],"itemData":{"id":828,"type":"article","abstract":"This paper digests three-factor model by exploring the average impacts of factors on portfolio returns and how factors interact with each other. To do this, we use SHapley Additive exPlanations method (SHAP) to interpret the results obtained by XGBoost. We find that the factors have different impacts on portfolio returns and interact with each other in different ways. We also find that the average impacts of factors on portfolio returns are similar before and after the publication of the three-factor model and the 2008 financial crisis but the interaction between factors vary across times.Note: the paper has been renamed as \"Digesting Three-factor Model\" and published at The Singapore Economic Review.","DOI":"10.2139/ssrn.3772065","event-place":"Rochester, NY","genre":"SSRN Scholarly Paper","language":"en","number":"3772065","publisher":"Social Science Research Network","publisher-place":"Rochester, NY","source":"papers.ssrn.com","title":"Digesting Three-Factor Model by XGBoost and SHAP","URL":"https://papers.ssrn.com/abstract=3772065","author":[{"family":"Huang","given":"Weige"}],"accessed":{"date-parts":[["2025",11,15]]},"issued":{"date-parts":[["2021",1,24]]}}},{"id":830,"uris":["http://zotero.org/users/5952202/items/YS4X92UT"],"itemData":{"id":830,"type":"article-journal","abstract":"We apply explainable artificial intelligence (xAI) to a large dataset of global equity funds. Our approach combines the XGBoost model with Shapley values; the former is a machine learning framework that enhances model fitness while the latter is an xAI method that provides informed explanations regarding the direction and significance of predictors. Based on macro-finance and fund-level factors, our fund performance evaluation of G10 countries uncovers novel insights into the diversification of country portfolios: both over- and under-diversification are associated with poor performance. Our analysis establishes consistency through a benchmark linear regression model and robustness at country level.","container-title":"Finance Research Letters","DOI":"10.1016/j.frl.2023.104419","ISSN":"1544-6123","journalAbbreviation":"Finance Research Letters","page":"104419","source":"ScienceDirect","title":"Fund performance evaluation with explainable artificial intelligence","volume":"58","author":[{"family":"Kovvuri","given":"Veera Raghava Reddy"},{"family":"Fu","given":"Hsuan"},{"family":"Fan","given":"Xiuyi"},{"family":"Seisenberger","given":"Monika"}],"issued":{"date-parts":[["2023",12,1]]}}}],"schema":"https://github.com/citation-style-language/schema/raw/master/csl-citation.json"} </w:instrText>
      </w:r>
      <w:r w:rsidRPr="00CF4F9D">
        <w:rPr>
          <w:rFonts w:eastAsiaTheme="minorEastAsia"/>
        </w:rPr>
        <w:fldChar w:fldCharType="separate"/>
      </w:r>
      <w:r w:rsidR="00C7426F" w:rsidRPr="00C7426F">
        <w:rPr>
          <w:rFonts w:eastAsiaTheme="minorEastAsia"/>
        </w:rPr>
        <w:t>(Huang, 2021; Kovvuri et al., 2023)</w:t>
      </w:r>
      <w:r w:rsidRPr="00CF4F9D">
        <w:rPr>
          <w:rFonts w:eastAsiaTheme="minorEastAsia"/>
        </w:rPr>
        <w:fldChar w:fldCharType="end"/>
      </w:r>
      <w:r w:rsidRPr="00CF4F9D">
        <w:rPr>
          <w:rFonts w:eastAsiaTheme="minorEastAsia"/>
        </w:rPr>
        <w:t>. By design, Stage 1 produces both a point estimate of return for each asset and a vector of feature-based importance scores (attributions) explaining that estimate.</w:t>
      </w:r>
    </w:p>
    <w:p w14:paraId="348C45C5" w14:textId="70E53839" w:rsidR="00832CD2" w:rsidRPr="00CF4F9D" w:rsidRDefault="00832CD2" w:rsidP="00CF4F9D">
      <w:pPr>
        <w:pStyle w:val="MDPI31text"/>
        <w:rPr>
          <w:rFonts w:eastAsiaTheme="minorEastAsia"/>
        </w:rPr>
      </w:pPr>
      <w:r w:rsidRPr="00CF4F9D">
        <w:rPr>
          <w:rFonts w:eastAsiaTheme="minorEastAsia"/>
        </w:rPr>
        <w:t xml:space="preserve">Stage 2 takes these model-driven signals as inputs to a downstream reinforcement learning policy that makes periodic portfolio allocation decisions. We design a Proximal Policy Optimization (PPO) agent that observes the Stage 1 outputs (the predicted returns for each asset, along with their SHAP-based feature attributions) as well as additional state features like recent price </w:t>
      </w:r>
      <w:proofErr w:type="gramStart"/>
      <w:r w:rsidRPr="00CF4F9D">
        <w:rPr>
          <w:rFonts w:eastAsiaTheme="minorEastAsia"/>
        </w:rPr>
        <w:t>trends, and</w:t>
      </w:r>
      <w:proofErr w:type="gramEnd"/>
      <w:r w:rsidRPr="00CF4F9D">
        <w:rPr>
          <w:rFonts w:eastAsiaTheme="minorEastAsia"/>
        </w:rPr>
        <w:t xml:space="preserve"> then </w:t>
      </w:r>
      <w:proofErr w:type="gramStart"/>
      <w:r w:rsidRPr="00CF4F9D">
        <w:rPr>
          <w:rFonts w:eastAsiaTheme="minorEastAsia"/>
        </w:rPr>
        <w:t>decides</w:t>
      </w:r>
      <w:proofErr w:type="gramEnd"/>
      <w:r w:rsidRPr="00CF4F9D">
        <w:rPr>
          <w:rFonts w:eastAsiaTheme="minorEastAsia"/>
        </w:rPr>
        <w:t xml:space="preserve"> how to rebalance the portfolio at each period. The key innovation is that the RL agent’s state is informed by model forecasts and their explanations, rather than relying on raw market data alone. We shape the agent’s objective using a risk-sensitive reward function: at each time step, the reward is defined as the portfolio’s realized return minus a penalty for tail risk, implemented via the portfolio’s CVaR at a chosen confidence level. In effect, the agent is trained to maximize a mean–CVaR utility – seeking high returns while avoiding large drawdowns. Recent studies from </w:t>
      </w:r>
      <w:r w:rsidRPr="00CF4F9D">
        <w:rPr>
          <w:rFonts w:eastAsiaTheme="minorEastAsia"/>
        </w:rPr>
        <w:fldChar w:fldCharType="begin"/>
      </w:r>
      <w:r w:rsidR="00C7426F">
        <w:rPr>
          <w:rFonts w:eastAsiaTheme="minorEastAsia"/>
        </w:rPr>
        <w:instrText xml:space="preserve"> ADDIN ZOTERO_ITEM CSL_CITATION {"citationID":"0CtYyZE5","properties":{"formattedCitation":"(Cui et al., 2023)","plainCitation":"(Cui et al., 2023)","noteIndex":0},"citationItems":[{"id":833,"uris":["http://zotero.org/users/5952202/items/JWYCS7ZU"],"itemData":{"id":833,"type":"article-journal","abstract":"Cryptocurrency markets have much larger tail risk than traditional financial markets, and constructing portfolios with such large tail risk assets would be challenging. Therefore, cryptocurrency funds demand new superior risk management models and Conditional Value at Risk (CVaR) is a prevailing risk measure for constructing portfolios in stock markets with large tail risk. Consequently, our paper contributes to the literature by developing a new cryptocurrency portfolio model framework based on the CVaR risk measure and a deep reinforcement learning optimization framework. We use the data from cryptocurrency market starting 2015 to 2021, unfolding that CVaR measure with deep learning outperforms the traditional portfolio construction technique. Compared with traditional economic parameter-based portfolio models, our model free based approach can capture the nonlinear compounding effect of multiple risk shocks by deep reinforcement learning on the risk distribution with economic structural breakdown. It can guide investments in financial markets with high tail risks.","container-title":"Economic Modelling","issue":"C","language":"en","note":"publisher: Elsevier","source":"ideas.repec.org","title":"Portfolio constructions in cryptocurrency market: A CVaR-based deep reinforcement learning approach","title-short":"Portfolio constructions in cryptocurrency market","URL":"https://ideas.repec.org//a/eee/ecmode/v119y2023ics0264999322003157.html","volume":"119","author":[{"family":"Cui","given":"Tianxiang"},{"family":"Ding","given":"Shusheng"},{"family":"Jin","given":"Huan"},{"family":"Zhang","given":"Yongmin"}],"accessed":{"date-parts":[["2025",11,15]]},"issued":{"date-parts":[["2023"]]}}}],"schema":"https://github.com/citation-style-language/schema/raw/master/csl-citation.json"} </w:instrText>
      </w:r>
      <w:r w:rsidRPr="00CF4F9D">
        <w:rPr>
          <w:rFonts w:eastAsiaTheme="minorEastAsia"/>
        </w:rPr>
        <w:fldChar w:fldCharType="separate"/>
      </w:r>
      <w:r w:rsidR="00C7426F" w:rsidRPr="00C7426F">
        <w:rPr>
          <w:rFonts w:eastAsiaTheme="minorEastAsia"/>
        </w:rPr>
        <w:t>(Cui et al., 2023)</w:t>
      </w:r>
      <w:r w:rsidRPr="00CF4F9D">
        <w:rPr>
          <w:rFonts w:eastAsiaTheme="minorEastAsia"/>
        </w:rPr>
        <w:fldChar w:fldCharType="end"/>
      </w:r>
      <w:r w:rsidRPr="00CF4F9D">
        <w:rPr>
          <w:rFonts w:eastAsiaTheme="minorEastAsia"/>
        </w:rPr>
        <w:t xml:space="preserve"> in portfolio management have highlighted the benefit of incorporating CVaR into the reinforcement learning objective to focus the agent on managing downside risk. By using CVaR in the reward, our PPO agent internalizes a risk-aware criterion that is more aligned with investors’ interests in limiting losses, unlike standard reward formulations that may ignore tail risk. The Stage 2 policy thus learns to adjust </w:t>
      </w:r>
      <w:r w:rsidRPr="00CF4F9D">
        <w:rPr>
          <w:rFonts w:eastAsiaTheme="minorEastAsia"/>
        </w:rPr>
        <w:lastRenderedPageBreak/>
        <w:t>asset weights based on the predictive signals (and their indicated confidence or significance) in a manner that accounts for prediction uncertainty and worst-case outcomes.</w:t>
      </w:r>
    </w:p>
    <w:p w14:paraId="045D6518" w14:textId="44E262AF" w:rsidR="00832CD2" w:rsidRPr="00CF4F9D" w:rsidRDefault="00832CD2" w:rsidP="00CF4F9D">
      <w:pPr>
        <w:pStyle w:val="MDPI31text"/>
        <w:rPr>
          <w:rFonts w:eastAsiaTheme="minorEastAsia"/>
        </w:rPr>
      </w:pPr>
      <w:r w:rsidRPr="00CF4F9D">
        <w:rPr>
          <w:rFonts w:eastAsiaTheme="minorEastAsia"/>
        </w:rPr>
        <w:t xml:space="preserve">Our hierarchical signal-to-policy framework offers several advantages over conventional end-to-end trading agents. First, by decoupling </w:t>
      </w:r>
      <w:proofErr w:type="gramStart"/>
      <w:r w:rsidRPr="00CF4F9D">
        <w:rPr>
          <w:rFonts w:eastAsiaTheme="minorEastAsia"/>
        </w:rPr>
        <w:t>prediction</w:t>
      </w:r>
      <w:proofErr w:type="gramEnd"/>
      <w:r w:rsidRPr="00CF4F9D">
        <w:rPr>
          <w:rFonts w:eastAsiaTheme="minorEastAsia"/>
        </w:rPr>
        <w:t xml:space="preserve"> from allocation, we introduce a clear two-stage decision structure: Stage 1 (signal generation) focuses on estimating expected returns with interpretability, and Stage 2 (policy optimization) focuses on translating those signals into actions under a specified risk preference. This hierarchy provides a modular design that improves clarity and flexibility in modeling the investment decision process. The approach is analogous to the workflow of human portfolio managers, who often form views on returns (informed by models or analyst forecasts) and then optimize allocations given those views and explicit risk constraints. In contrast to prior approaches like </w:t>
      </w:r>
      <w:proofErr w:type="spellStart"/>
      <w:r w:rsidRPr="00CF4F9D">
        <w:rPr>
          <w:rFonts w:eastAsiaTheme="minorEastAsia"/>
        </w:rPr>
        <w:t>FinRL</w:t>
      </w:r>
      <w:proofErr w:type="spellEnd"/>
      <w:r w:rsidRPr="00CF4F9D">
        <w:rPr>
          <w:rFonts w:eastAsiaTheme="minorEastAsia"/>
        </w:rPr>
        <w:t xml:space="preserve"> that attempt to learn everything in one monolithic model, our framework injects domain knowledge and transparency at the interface between the two stages. The inclusion of SHAP-attributed factors means the RL agent’s decisions can be traced back to economically meaningful features, enhancing trust and accountability. Indeed, combining predictive ML models with Shapley-value explanations has been noted as a powerful way to interpret complex “black-box” systems and understand the drivers behind their outputs based on </w:t>
      </w:r>
      <w:r w:rsidRPr="00CF4F9D">
        <w:rPr>
          <w:rFonts w:eastAsiaTheme="minorEastAsia"/>
        </w:rPr>
        <w:fldChar w:fldCharType="begin"/>
      </w:r>
      <w:r w:rsidR="00C7426F">
        <w:rPr>
          <w:rFonts w:eastAsiaTheme="minorEastAsia"/>
        </w:rPr>
        <w:instrText xml:space="preserve"> ADDIN ZOTERO_ITEM CSL_CITATION {"citationID":"dZK8ekJF","properties":{"formattedCitation":"(Barredo Arrieta et al., 2020)","plainCitation":"(Barredo Arrieta et al., 2020)","noteIndex":0},"citationItems":[{"id":835,"uris":["http://zotero.org/users/5952202/items/GD5CFM5M"],"itemData":{"id":835,"type":"article-journal","abstract":"In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interpretability.","container-title":"Information Fusion","DOI":"10.1016/j.inffus.2019.12.012","ISSN":"1566-2535","journalAbbreviation":"Information Fusion","page":"82-115","source":"ScienceDirect","title":"Explainable Artificial Intelligence (XAI): Concepts, taxonomies, opportunities and challenges toward responsible AI","title-short":"Explainable Artificial Intelligence (XAI)","volume":"58","author":[{"family":"Barredo Arrieta","given":"Alejandro"},{"family":"Díaz-Rodríguez","given":"Natalia"},{"family":"Del Ser","given":"Javier"},{"family":"Bennetot","given":"Adrien"},{"family":"Tabik","given":"Siham"},{"family":"Barbado","given":"Alberto"},{"family":"Garcia","given":"Salvador"},{"family":"Gil-Lopez","given":"Sergio"},{"family":"Molina","given":"Daniel"},{"family":"Benjamins","given":"Richard"},{"family":"Chatila","given":"Raja"},{"family":"Herrera","given":"Francisco"}],"issued":{"date-parts":[["2020",6,1]]}}}],"schema":"https://github.com/citation-style-language/schema/raw/master/csl-citation.json"} </w:instrText>
      </w:r>
      <w:r w:rsidRPr="00CF4F9D">
        <w:rPr>
          <w:rFonts w:eastAsiaTheme="minorEastAsia"/>
        </w:rPr>
        <w:fldChar w:fldCharType="separate"/>
      </w:r>
      <w:r w:rsidR="00C7426F" w:rsidRPr="00C7426F">
        <w:rPr>
          <w:rFonts w:eastAsiaTheme="minorEastAsia"/>
        </w:rPr>
        <w:t>(Barredo Arrieta et al., 2020)</w:t>
      </w:r>
      <w:r w:rsidRPr="00CF4F9D">
        <w:rPr>
          <w:rFonts w:eastAsiaTheme="minorEastAsia"/>
        </w:rPr>
        <w:fldChar w:fldCharType="end"/>
      </w:r>
      <w:r w:rsidRPr="00CF4F9D">
        <w:rPr>
          <w:rFonts w:eastAsiaTheme="minorEastAsia"/>
        </w:rPr>
        <w:t>. Here, those interpretability benefits are carried into the reinforcement learning policy: the agent’s behavior is explicitly influenced by quantified contributions of known factors, making the resulting strategy more explainable to researchers and practitioners.</w:t>
      </w:r>
    </w:p>
    <w:p w14:paraId="0DFC0AFC" w14:textId="77777777" w:rsidR="00832CD2" w:rsidRPr="00CF4F9D" w:rsidRDefault="00832CD2" w:rsidP="00CF4F9D">
      <w:pPr>
        <w:pStyle w:val="MDPI31text"/>
        <w:rPr>
          <w:rFonts w:eastAsiaTheme="minorEastAsia"/>
        </w:rPr>
      </w:pPr>
      <w:r w:rsidRPr="00CF4F9D">
        <w:rPr>
          <w:rFonts w:eastAsiaTheme="minorEastAsia"/>
        </w:rPr>
        <w:t>Second, the hierarchical approach can improve learning efficiency and robustness. Stage 1’s gradient boosting models serve as a form of feature extractor and noise filter, isolating signals that have predictive value. This reduces the burden on the RL network; the policy no longer needs to learn from scratch which raw features correlate with future returns, because that knowledge is distilled in the Stage 1 outputs. The RL agent can instead focus on the higher-level task of allocating capital in a risk-aware way given those informed predictions. By splitting the problem, we mitigate the challenge of noisy, high-dimensional inputs that purely model-free RL agents face, and we provide a stronger inductive bias for the learning process. Furthermore, the mean–CVaR reward shaping ensures that the learned policy is risk-aware by construction, in contrast to many DRL trading agents which may chase high returns with little regard for volatility or tail risk. Our approach thus marries model-based forecasting with model-free reinforcement learning in a hierarchical manner, aiming to leverage the strengths of both paradigms: the foresight of predictive models and the adaptability of reinforcement learning for decision-making.</w:t>
      </w:r>
    </w:p>
    <w:p w14:paraId="1BBB07F5" w14:textId="4DC46A8F" w:rsidR="00832CD2" w:rsidRPr="00CF4F9D" w:rsidRDefault="00832CD2" w:rsidP="00CF4F9D">
      <w:pPr>
        <w:pStyle w:val="MDPI31text"/>
        <w:rPr>
          <w:rFonts w:eastAsiaTheme="minorEastAsia"/>
        </w:rPr>
      </w:pPr>
      <w:r w:rsidRPr="00CF4F9D">
        <w:rPr>
          <w:rFonts w:eastAsiaTheme="minorEastAsia"/>
        </w:rPr>
        <w:t xml:space="preserve">Finally, we validate our hierarchical signal-to-policy approach with an empirical study on a portfolio of two </w:t>
      </w:r>
      <w:r w:rsidR="000E0FBB" w:rsidRPr="00CF4F9D">
        <w:rPr>
          <w:rFonts w:eastAsiaTheme="minorEastAsia"/>
        </w:rPr>
        <w:t xml:space="preserve">investment </w:t>
      </w:r>
      <w:r w:rsidRPr="00CF4F9D">
        <w:rPr>
          <w:rFonts w:eastAsiaTheme="minorEastAsia"/>
        </w:rPr>
        <w:t xml:space="preserve">universes including sector ETFs and </w:t>
      </w:r>
      <w:r w:rsidR="000E0FBB" w:rsidRPr="00CF4F9D">
        <w:rPr>
          <w:rFonts w:eastAsiaTheme="minorEastAsia"/>
        </w:rPr>
        <w:t>Dow Jones Industrial Average constituents</w:t>
      </w:r>
      <w:r w:rsidRPr="00CF4F9D">
        <w:rPr>
          <w:rFonts w:eastAsiaTheme="minorEastAsia"/>
        </w:rPr>
        <w:t xml:space="preserve">. The experimental results show that our risk-aware, SHAP-informed DRL policy achieves significant improvements over a range of benchmark strategies. In particular, the proposed framework outperforms a standard black-box DRL agent that uses only raw technical features, as well as traditional benchmarks like equal-weighting and classical mean–variance optimization. Our method delivers higher average returns and better downside protection – for example, it attains a higher annualized Sharpe ratio and a lower maximum drawdown than the comparison strategies. Consistent with prior work that integrates CVaR and additional information into DRL (such as sentiment analysis by </w:t>
      </w:r>
      <w:r w:rsidRPr="00CF4F9D">
        <w:rPr>
          <w:rFonts w:eastAsiaTheme="minorEastAsia"/>
        </w:rPr>
        <w:fldChar w:fldCharType="begin"/>
      </w:r>
      <w:r w:rsidR="00C7426F">
        <w:rPr>
          <w:rFonts w:eastAsiaTheme="minorEastAsia"/>
        </w:rPr>
        <w:instrText xml:space="preserve"> ADDIN ZOTERO_ITEM CSL_CITATION {"citationID":"TnDbdI2W","properties":{"formattedCitation":"(Mantshimuli, 2025)","plainCitation":"(Mantshimuli, 2025)","noteIndex":0},"citationItems":[{"id":840,"uris":["http://zotero.org/users/5952202/items/UH7SNZJ2"],"itemData":{"id":840,"type":"article-journal","abstract":"This paper presents an innovative portfolio optimization framework that synergistically integrates CVaR-based diversification with Deep Reinforcement Learning (DRL) and sentiment analysis from a Large Language Model (LLM). Traditional optimization methods, such as Mean-Variance Optimization (MVO) and Most Diversified Portfolio (MDP) strategies, often fall short in capturing tail risks and adapting to dynamic market conditions. In contrast, our approach employs the Deep Deterministic Policy Gradient (DDPG) DRL algorithm to dynamically adjust asset allocations taking transaction costs into account while explicitly managing downside risk via Conditional Value-at-Risk (CVaR). To further enhance the decision-making process, sentiment scores derived from the FinBERT LLM are incorporated into the state space, enabling the model to capture qualitative market signals and improve risk-adjusted performance. Empirical evaluations reveal that our portfolio, the DRL Sentiment-Aware CVaR Ratio Portfolio, outperforms benchmark strategies, including Equally Weighted, Minimum CVaR, and traditional MDP portfolios, by achieving higher annualized returns, improved Sharpe and Omega ratios, and elevated Jensen’s alpha. These promising results underscore the potential of combining robust risk management measures for portfolio diversification with advanced machine learning techniques and sentiment analysis to navigate the complexities of contemporary financial markets. Future research directions include extending the framework to multi-asset classes, integrating additional alternative data sources, and exploring alternative DRL algorithms to further enhance performance.","container-title":"IEEE Access","DOI":"10.1109/ACCESS.2025.3624652","journalAbbreviation":"IEEE Access","page":"1-1","source":"ResearchGate","title":"Sentiment-Aware Portfolio Optimization: CVaR-Based Diversification With Deep Reinforcement Learning","title-short":"Sentiment-Aware Portfolio Optimization","volume":"PP","author":[{"family":"Mantshimuli","given":"Lamukanyani"}],"issued":{"date-parts":[["2025",1,1]]}}}],"schema":"https://github.com/citation-style-language/schema/raw/master/csl-citation.json"} </w:instrText>
      </w:r>
      <w:r w:rsidRPr="00CF4F9D">
        <w:rPr>
          <w:rFonts w:eastAsiaTheme="minorEastAsia"/>
        </w:rPr>
        <w:fldChar w:fldCharType="separate"/>
      </w:r>
      <w:r w:rsidR="00C7426F" w:rsidRPr="00C7426F">
        <w:rPr>
          <w:rFonts w:eastAsiaTheme="minorEastAsia"/>
        </w:rPr>
        <w:t>(Mantshimuli, 2025)</w:t>
      </w:r>
      <w:r w:rsidRPr="00CF4F9D">
        <w:rPr>
          <w:rFonts w:eastAsiaTheme="minorEastAsia"/>
        </w:rPr>
        <w:fldChar w:fldCharType="end"/>
      </w:r>
      <w:r w:rsidRPr="00CF4F9D">
        <w:rPr>
          <w:rFonts w:eastAsiaTheme="minorEastAsia"/>
        </w:rPr>
        <w:t>), we find that the hierarchical approach produces a more favorable trade-off between return and risk than either purely model-based or purely model-free alternatives. These findings underscore the value of combining predictive modeling and interpretable signals with reinforcement learning in a unified framework. We believe this work will be of interest to researchers in financial machine learning and quantitative finance, as it offers a novel pathway to building transparent, risk-</w:t>
      </w:r>
      <w:r w:rsidRPr="00CF4F9D">
        <w:rPr>
          <w:rFonts w:eastAsiaTheme="minorEastAsia"/>
        </w:rPr>
        <w:lastRenderedPageBreak/>
        <w:t>sensitive trading agents. By embedding domain insights into the learning process, the framework provides not only strong empirical performance but also improved explainability – an increasingly important criterion for adoption in high-stakes financial decision-making. In summary, our hierarchical signal-to-policy paradigm helps bridge the gap between data-driven AI techniques and traditional financial expertise, opening new avenues for research in robust and explainable portfolio optimization.</w:t>
      </w:r>
    </w:p>
    <w:p w14:paraId="1471DD78" w14:textId="0CEDF809" w:rsidR="00CE04DB" w:rsidRPr="00CF4F9D" w:rsidRDefault="00832CD2" w:rsidP="00CF4F9D">
      <w:pPr>
        <w:pStyle w:val="MDPI31text"/>
      </w:pPr>
      <w:r w:rsidRPr="00CF4F9D">
        <w:rPr>
          <w:rFonts w:eastAsiaTheme="minorEastAsia"/>
        </w:rPr>
        <w:t>The remainder of this paper</w:t>
      </w:r>
      <w:r w:rsidRPr="00CF4F9D">
        <w:t xml:space="preserve"> is organized as follows. Section 2 reviews the relevant literature in portfolio optimization, predictive modeling, reinforcement learning in finance, and explainable AI. Section 3 presents the proposed signal-to-policy framework, detailing both the Stage-1 forecasting system and the Stage-2 PPO-based allocation agent. Section 4 describes the empirical design, including data preparation, feature engineering, </w:t>
      </w:r>
      <w:proofErr w:type="spellStart"/>
      <w:r w:rsidRPr="00CF4F9D">
        <w:t>backtesting</w:t>
      </w:r>
      <w:proofErr w:type="spellEnd"/>
      <w:r w:rsidRPr="00CF4F9D">
        <w:t xml:space="preserve"> protocol, and statistical evaluation, followed by a comprehensive analysis of the results. Section 5 concludes with key findings, practical implications, and avenues for future research.</w:t>
      </w:r>
    </w:p>
    <w:bookmarkEnd w:id="0"/>
    <w:p w14:paraId="6F49F84B" w14:textId="6D5B6274" w:rsidR="00635718" w:rsidRPr="00500DA3" w:rsidRDefault="00635718" w:rsidP="00101E07">
      <w:pPr>
        <w:pStyle w:val="MDPI21heading1"/>
      </w:pPr>
      <w:r w:rsidRPr="00500DA3">
        <w:t xml:space="preserve">2. </w:t>
      </w:r>
      <w:r w:rsidR="00730A22" w:rsidRPr="00500DA3">
        <w:t>Literature Review</w:t>
      </w:r>
    </w:p>
    <w:p w14:paraId="2D561416" w14:textId="3B83C2A1" w:rsidR="00730A22" w:rsidRPr="00500DA3" w:rsidRDefault="00D9420F" w:rsidP="00730A22">
      <w:pPr>
        <w:pStyle w:val="MDPI22heading2"/>
        <w:spacing w:before="240"/>
        <w:rPr>
          <w:noProof w:val="0"/>
        </w:rPr>
      </w:pPr>
      <w:bookmarkStart w:id="1" w:name="page2"/>
      <w:bookmarkEnd w:id="1"/>
      <w:r w:rsidRPr="00500DA3">
        <w:rPr>
          <w:noProof w:val="0"/>
        </w:rPr>
        <w:t xml:space="preserve">2.1. </w:t>
      </w:r>
      <w:r w:rsidR="00730A22" w:rsidRPr="00500DA3">
        <w:rPr>
          <w:noProof w:val="0"/>
        </w:rPr>
        <w:t xml:space="preserve">Portfolio Optimization and </w:t>
      </w:r>
      <w:r w:rsidR="00635A63">
        <w:rPr>
          <w:noProof w:val="0"/>
        </w:rPr>
        <w:t>Risk Management</w:t>
      </w:r>
    </w:p>
    <w:p w14:paraId="3A84D46B" w14:textId="0A9B5CF5" w:rsidR="00635A63" w:rsidRPr="00CF4F9D" w:rsidRDefault="00635A63" w:rsidP="00CF4F9D">
      <w:pPr>
        <w:pStyle w:val="MDPI31text"/>
        <w:rPr>
          <w:rFonts w:eastAsiaTheme="minorEastAsia"/>
        </w:rPr>
      </w:pPr>
      <w:r w:rsidRPr="00CF4F9D">
        <w:rPr>
          <w:rFonts w:eastAsiaTheme="minorEastAsia"/>
        </w:rPr>
        <w:t>Modern Portfolio Theory (MPT), introduced b</w:t>
      </w:r>
      <w:r w:rsidR="0000293E" w:rsidRPr="00CF4F9D">
        <w:rPr>
          <w:rFonts w:eastAsiaTheme="minorEastAsia"/>
        </w:rPr>
        <w:t>y</w:t>
      </w:r>
      <w:r w:rsidR="00F078CD">
        <w:rPr>
          <w:rFonts w:eastAsiaTheme="minorEastAsia"/>
        </w:rPr>
        <w:t xml:space="preserve"> </w:t>
      </w:r>
      <w:r w:rsidR="00F078CD">
        <w:rPr>
          <w:rFonts w:eastAsiaTheme="minorEastAsia"/>
        </w:rPr>
        <w:fldChar w:fldCharType="begin"/>
      </w:r>
      <w:r w:rsidR="00C7426F">
        <w:rPr>
          <w:rFonts w:eastAsiaTheme="minorEastAsia"/>
        </w:rPr>
        <w:instrText xml:space="preserve"> ADDIN ZOTERO_ITEM CSL_CITATION {"citationID":"SAL9C1u0","properties":{"formattedCitation":"(Markowitz, 1952)","plainCitation":"(Markowitz, 1952)","noteIndex":0},"citationItems":[{"id":261,"uris":["http://zotero.org/users/5952202/items/2652V7KD"],"itemData":{"id":261,"type":"article-journal","archive":"JSTOR","container-title":"The Journal of Finance","DOI":"10.2307/2975974","ISSN":"0022-1082","issue":"1","note":"publisher: [American Finance Association, Wiley]","page":"77-91","source":"JSTOR","title":"Portfolio Selection","volume":"7","author":[{"family":"Markowitz","given":"Harry"}],"issued":{"date-parts":[["1952"]]}}}],"schema":"https://github.com/citation-style-language/schema/raw/master/csl-citation.json"} </w:instrText>
      </w:r>
      <w:r w:rsidR="00F078CD">
        <w:rPr>
          <w:rFonts w:eastAsiaTheme="minorEastAsia"/>
        </w:rPr>
        <w:fldChar w:fldCharType="separate"/>
      </w:r>
      <w:r w:rsidR="00C7426F" w:rsidRPr="00C7426F">
        <w:rPr>
          <w:rFonts w:eastAsiaTheme="minorEastAsia"/>
        </w:rPr>
        <w:t>(Markowitz, 1952)</w:t>
      </w:r>
      <w:r w:rsidR="00F078CD">
        <w:rPr>
          <w:rFonts w:eastAsiaTheme="minorEastAsia"/>
        </w:rPr>
        <w:fldChar w:fldCharType="end"/>
      </w:r>
      <w:r w:rsidRPr="00CF4F9D">
        <w:rPr>
          <w:rFonts w:eastAsiaTheme="minorEastAsia"/>
        </w:rPr>
        <w:t>, established the mean–variance framework which remains as the foundation of portfolio allocation. By establishing the efficient frontier, MPT formalized how investors can balance expected return against risk and demonstrated the role of diversification in reducing portfolio variance</w:t>
      </w:r>
      <w:r w:rsidR="0000293E" w:rsidRPr="00CF4F9D">
        <w:rPr>
          <w:rFonts w:eastAsiaTheme="minorEastAsia"/>
        </w:rPr>
        <w:t xml:space="preserve"> </w:t>
      </w:r>
      <w:r w:rsidR="0000293E" w:rsidRPr="00CF4F9D">
        <w:rPr>
          <w:rFonts w:eastAsiaTheme="minorEastAsia"/>
        </w:rPr>
        <w:fldChar w:fldCharType="begin"/>
      </w:r>
      <w:r w:rsidR="00C7426F">
        <w:rPr>
          <w:rFonts w:eastAsiaTheme="minorEastAsia"/>
        </w:rPr>
        <w:instrText xml:space="preserve"> ADDIN ZOTERO_ITEM CSL_CITATION {"citationID":"QlisRUZk","properties":{"formattedCitation":"(Roy, 1952)","plainCitation":"(Roy, 1952)","noteIndex":0},"citationItems":[{"id":841,"uris":["http://zotero.org/users/5952202/items/MH9T5MGB"],"itemData":{"id":841,"type":"article-journal","container-title":"Econometrica","DOI":"10.2307/1907413","ISSN":"0012-9682","issue":"3","note":"publisher: [Wiley, Econometric Society]","page":"431-449","source":"JSTOR","title":"Safety First and the Holding of Assets","volume":"20","author":[{"family":"Roy","given":"A. D."}],"issued":{"date-parts":[["1952"]]}}}],"schema":"https://github.com/citation-style-language/schema/raw/master/csl-citation.json"} </w:instrText>
      </w:r>
      <w:r w:rsidR="0000293E" w:rsidRPr="00CF4F9D">
        <w:rPr>
          <w:rFonts w:eastAsiaTheme="minorEastAsia"/>
        </w:rPr>
        <w:fldChar w:fldCharType="separate"/>
      </w:r>
      <w:r w:rsidR="00C7426F" w:rsidRPr="00C7426F">
        <w:rPr>
          <w:rFonts w:eastAsiaTheme="minorEastAsia"/>
        </w:rPr>
        <w:t>(Roy, 1952)</w:t>
      </w:r>
      <w:r w:rsidR="0000293E" w:rsidRPr="00CF4F9D">
        <w:rPr>
          <w:rFonts w:eastAsiaTheme="minorEastAsia"/>
        </w:rPr>
        <w:fldChar w:fldCharType="end"/>
      </w:r>
      <w:r w:rsidRPr="00CF4F9D">
        <w:rPr>
          <w:rFonts w:eastAsiaTheme="minorEastAsia"/>
        </w:rPr>
        <w:t xml:space="preserve">. Subsequent theoretical advances extended this foundation. </w:t>
      </w:r>
      <w:r w:rsidR="003D61E3" w:rsidRPr="00CF4F9D">
        <w:rPr>
          <w:rFonts w:eastAsiaTheme="minorEastAsia"/>
        </w:rPr>
        <w:fldChar w:fldCharType="begin"/>
      </w:r>
      <w:r w:rsidR="00C7426F">
        <w:rPr>
          <w:rFonts w:eastAsiaTheme="minorEastAsia"/>
        </w:rPr>
        <w:instrText xml:space="preserve"> ADDIN ZOTERO_ITEM CSL_CITATION {"citationID":"PZw8sibv","properties":{"formattedCitation":"(Sharpe, 1964)","plainCitation":"(Sharpe, 1964)","noteIndex":0},"citationItems":[{"id":842,"uris":["http://zotero.org/users/5952202/items/CRZYLJMH"],"itemData":{"id":842,"type":"article-journal","container-title":"The Journal of Finance","DOI":"10.2307/2977928","ISSN":"0022-1082","issue":"3","note":"publisher: [American Finance Association, Wiley]","page":"425-442","source":"JSTOR","title":"Capital Asset Prices: A Theory of Market Equilibrium under Conditions of Risk","title-short":"Capital Asset Prices","volume":"19","author":[{"family":"Sharpe","given":"William F."}],"issued":{"date-parts":[["1964"]]}}}],"schema":"https://github.com/citation-style-language/schema/raw/master/csl-citation.json"} </w:instrText>
      </w:r>
      <w:r w:rsidR="003D61E3" w:rsidRPr="00CF4F9D">
        <w:rPr>
          <w:rFonts w:eastAsiaTheme="minorEastAsia"/>
        </w:rPr>
        <w:fldChar w:fldCharType="separate"/>
      </w:r>
      <w:r w:rsidR="00C7426F" w:rsidRPr="00C7426F">
        <w:rPr>
          <w:rFonts w:eastAsiaTheme="minorEastAsia"/>
        </w:rPr>
        <w:t>(Sharpe, 1964)</w:t>
      </w:r>
      <w:r w:rsidR="003D61E3" w:rsidRPr="00CF4F9D">
        <w:rPr>
          <w:rFonts w:eastAsiaTheme="minorEastAsia"/>
        </w:rPr>
        <w:fldChar w:fldCharType="end"/>
      </w:r>
      <w:r w:rsidR="003D61E3" w:rsidRPr="00CF4F9D">
        <w:rPr>
          <w:rFonts w:eastAsiaTheme="minorEastAsia"/>
        </w:rPr>
        <w:t xml:space="preserve"> proposed CAMP which</w:t>
      </w:r>
      <w:r w:rsidRPr="00CF4F9D">
        <w:rPr>
          <w:rFonts w:eastAsiaTheme="minorEastAsia"/>
        </w:rPr>
        <w:t xml:space="preserve"> linked expected returns to systematic market exposure, while </w:t>
      </w:r>
      <w:r w:rsidR="003D61E3" w:rsidRPr="00CF4F9D">
        <w:rPr>
          <w:rFonts w:eastAsiaTheme="minorEastAsia"/>
        </w:rPr>
        <w:fldChar w:fldCharType="begin"/>
      </w:r>
      <w:r w:rsidR="005F0EC9">
        <w:rPr>
          <w:rFonts w:eastAsiaTheme="minorEastAsia"/>
        </w:rPr>
        <w:instrText xml:space="preserve"> ADDIN ZOTERO_ITEM CSL_CITATION {"citationID":"U7GrvQq2","properties":{"formattedCitation":"(Ross, 1976a)","plainCitation":"(Ross, 1976a)","noteIndex":0},"citationItems":[{"id":843,"uris":["http://zotero.org/users/5952202/items/QQ35RCT3"],"itemData":{"id":843,"type":"article-journal","container-title":"Journal of Economic Theory","DOI":"10.1016/0022-0531(76)90046-6","ISSN":"0022-0531","issue":"3","journalAbbreviation":"Journal of Economic Theory","page":"341-360","source":"ScienceDirect","title":"The arbitrage theory of capital asset pricing","volume":"13","author":[{"family":"Ross","given":"Stephen A"}],"issued":{"date-parts":[["1976",12,1]]}}}],"schema":"https://github.com/citation-style-language/schema/raw/master/csl-citation.json"} </w:instrText>
      </w:r>
      <w:r w:rsidR="003D61E3" w:rsidRPr="00CF4F9D">
        <w:rPr>
          <w:rFonts w:eastAsiaTheme="minorEastAsia"/>
        </w:rPr>
        <w:fldChar w:fldCharType="separate"/>
      </w:r>
      <w:r w:rsidR="005F0EC9" w:rsidRPr="005F0EC9">
        <w:rPr>
          <w:rFonts w:eastAsiaTheme="minorEastAsia"/>
        </w:rPr>
        <w:t>(Ross, 1976a)</w:t>
      </w:r>
      <w:r w:rsidR="003D61E3" w:rsidRPr="00CF4F9D">
        <w:rPr>
          <w:rFonts w:eastAsiaTheme="minorEastAsia"/>
        </w:rPr>
        <w:fldChar w:fldCharType="end"/>
      </w:r>
      <w:r w:rsidR="003D61E3" w:rsidRPr="00CF4F9D">
        <w:rPr>
          <w:rFonts w:eastAsiaTheme="minorEastAsia"/>
        </w:rPr>
        <w:t xml:space="preserve"> </w:t>
      </w:r>
      <w:r w:rsidRPr="00CF4F9D">
        <w:rPr>
          <w:rFonts w:eastAsiaTheme="minorEastAsia"/>
        </w:rPr>
        <w:t>introduced</w:t>
      </w:r>
      <w:r w:rsidR="003D61E3" w:rsidRPr="00CF4F9D">
        <w:rPr>
          <w:rFonts w:eastAsiaTheme="minorEastAsia"/>
        </w:rPr>
        <w:t xml:space="preserve"> APT theory for</w:t>
      </w:r>
      <w:r w:rsidRPr="00CF4F9D">
        <w:rPr>
          <w:rFonts w:eastAsiaTheme="minorEastAsia"/>
        </w:rPr>
        <w:t xml:space="preserve"> a multifactor representation of risk premia. Empirical work by </w:t>
      </w:r>
      <w:r w:rsidR="003D61E3" w:rsidRPr="00CF4F9D">
        <w:rPr>
          <w:rFonts w:eastAsiaTheme="minorEastAsia"/>
        </w:rPr>
        <w:fldChar w:fldCharType="begin"/>
      </w:r>
      <w:r w:rsidR="00C7426F">
        <w:rPr>
          <w:rFonts w:eastAsiaTheme="minorEastAsia"/>
        </w:rPr>
        <w:instrText xml:space="preserve"> ADDIN ZOTERO_ITEM CSL_CITATION {"citationID":"ThVwIHlq","properties":{"formattedCitation":"(Fama &amp; French, 1992, 1993)","plainCitation":"(Fama &amp; French, 1992, 1993)","noteIndex":0},"citationItems":[{"id":848,"uris":["http://zotero.org/users/5952202/items/848EBEYN"],"itemData":{"id":848,"type":"article-journal","abstract":"Two easily measured variables, size and book-to-market equity, combine to capture the cross-sectional variation in average stock returns associated with market β, size, leverage, book-to-market equity, and earnings-price ratios. Moreover, when the tests allow for variation in β that is unrelated to size, the relation between market β and average return is flat, even when β is the only explanatory variable.","container-title":"The Journal of Finance","DOI":"10.2307/2329112","ISSN":"0022-1082","issue":"2","note":"publisher: [American Finance Association, Wiley]","page":"427-465","source":"JSTOR","title":"The Cross-Section of Expected Stock Returns","volume":"47","author":[{"family":"Fama","given":"Eugene F."},{"family":"French","given":"Kenneth R."}],"issued":{"date-parts":[["1992"]]}}},{"id":846,"uris":["http://zotero.org/users/5952202/items/DAKWLVEE"],"itemData":{"id":846,"type":"article-journal","abstract":"This paper identifies five common risk factors in the returns on stocks and bonds. There are three stock-market factors: an overall market factor and factors related to firm size and book-to-market equity. There are two bond-market factors, related to maturity and default risks. Stock returns have shared variation due to the stock-market factors, and they are linked to bond returns through shared variation in the bond-market factors. Except for low-grade corporates, the bond-market factors capture the common variation in bond returns. Most important, the five factors seem to explain average returns on stocks and bonds.","container-title":"Journal of Financial Economics","DOI":"10.1016/0304-405X(93)90023-5","ISSN":"0304-405X","issue":"1","journalAbbreviation":"Journal of Financial Economics","page":"3-56","source":"ScienceDirect","title":"Common risk factors in the returns on stocks and bonds","volume":"33","author":[{"family":"Fama","given":"Eugene F."},{"family":"French","given":"Kenneth R."}],"issued":{"date-parts":[["1993",2,1]]}}}],"schema":"https://github.com/citation-style-language/schema/raw/master/csl-citation.json"} </w:instrText>
      </w:r>
      <w:r w:rsidR="003D61E3" w:rsidRPr="00CF4F9D">
        <w:rPr>
          <w:rFonts w:eastAsiaTheme="minorEastAsia"/>
        </w:rPr>
        <w:fldChar w:fldCharType="separate"/>
      </w:r>
      <w:r w:rsidR="00C7426F" w:rsidRPr="00C7426F">
        <w:rPr>
          <w:rFonts w:eastAsiaTheme="minorEastAsia"/>
        </w:rPr>
        <w:t>(Fama &amp; French, 1992, 1993)</w:t>
      </w:r>
      <w:r w:rsidR="003D61E3" w:rsidRPr="00CF4F9D">
        <w:rPr>
          <w:rFonts w:eastAsiaTheme="minorEastAsia"/>
        </w:rPr>
        <w:fldChar w:fldCharType="end"/>
      </w:r>
      <w:r w:rsidR="003D61E3" w:rsidRPr="00CF4F9D">
        <w:rPr>
          <w:rFonts w:eastAsiaTheme="minorEastAsia"/>
        </w:rPr>
        <w:t xml:space="preserve"> </w:t>
      </w:r>
      <w:r w:rsidRPr="00CF4F9D">
        <w:rPr>
          <w:rFonts w:eastAsiaTheme="minorEastAsia"/>
        </w:rPr>
        <w:t>further showed that factors such as size and value contribute meaningfully to cross-sectional return variation, motivating the development of multifactor asset-pricing models.</w:t>
      </w:r>
    </w:p>
    <w:p w14:paraId="6AEFBD95" w14:textId="5C2C9C11" w:rsidR="00635A63" w:rsidRPr="00CF4F9D" w:rsidRDefault="00635A63" w:rsidP="00CF4F9D">
      <w:pPr>
        <w:pStyle w:val="MDPI31text"/>
        <w:rPr>
          <w:rFonts w:eastAsiaTheme="minorEastAsia"/>
        </w:rPr>
      </w:pPr>
      <w:r w:rsidRPr="00CF4F9D">
        <w:rPr>
          <w:rFonts w:eastAsiaTheme="minorEastAsia"/>
        </w:rPr>
        <w:t>Although influential, the classical mean–variance paradigm has notable limitations. It relies on second-moment risk measures and effectively assumes near-normal return distributions, penalizing upside and downside volatility symmetrically</w:t>
      </w:r>
      <w:r w:rsidR="0050226B" w:rsidRPr="00CF4F9D">
        <w:rPr>
          <w:rFonts w:eastAsiaTheme="minorEastAsia"/>
        </w:rPr>
        <w:t xml:space="preserve"> as noted in</w:t>
      </w:r>
      <w:r w:rsidR="00C84AA9" w:rsidRPr="00CF4F9D">
        <w:rPr>
          <w:rFonts w:eastAsiaTheme="minorEastAsia"/>
        </w:rPr>
        <w:t xml:space="preserve"> </w:t>
      </w:r>
      <w:r w:rsidR="00C84AA9" w:rsidRPr="00CF4F9D">
        <w:rPr>
          <w:rFonts w:eastAsiaTheme="minorEastAsia"/>
        </w:rPr>
        <w:fldChar w:fldCharType="begin"/>
      </w:r>
      <w:r w:rsidR="00C7426F">
        <w:rPr>
          <w:rFonts w:eastAsiaTheme="minorEastAsia"/>
        </w:rPr>
        <w:instrText xml:space="preserve"> ADDIN ZOTERO_ITEM CSL_CITATION {"citationID":"gcTCbO8O","properties":{"formattedCitation":"(Harvey et al., 2010)","plainCitation":"(Harvey et al., 2010)","noteIndex":0},"citationItems":[{"id":859,"uris":["http://zotero.org/users/5952202/items/8M76374E"],"itemData":{"id":859,"type":"article-journal","container-title":"Quantitative Finance","DOI":"10.1080/14697681003756877","ISSN":"1469-7688, 1469-7696","issue":"5","journalAbbreviation":"Quantitative Finance","language":"en","page":"469-485","source":"DOI.org (Crossref)","title":"Portfolio selection with higher moments","volume":"10","author":[{"family":"Harvey","given":"Campbell R."},{"family":"Liechty","given":"John C."},{"family":"Liechty","given":"Merrill W."},{"family":"Müller","given":"Peter"}],"issued":{"date-parts":[["2010",5]]}}}],"schema":"https://github.com/citation-style-language/schema/raw/master/csl-citation.json"} </w:instrText>
      </w:r>
      <w:r w:rsidR="00C84AA9" w:rsidRPr="00CF4F9D">
        <w:rPr>
          <w:rFonts w:eastAsiaTheme="minorEastAsia"/>
        </w:rPr>
        <w:fldChar w:fldCharType="separate"/>
      </w:r>
      <w:r w:rsidR="00C7426F" w:rsidRPr="00C7426F">
        <w:rPr>
          <w:rFonts w:eastAsiaTheme="minorEastAsia"/>
        </w:rPr>
        <w:t>(Harvey et al., 2010)</w:t>
      </w:r>
      <w:r w:rsidR="00C84AA9" w:rsidRPr="00CF4F9D">
        <w:rPr>
          <w:rFonts w:eastAsiaTheme="minorEastAsia"/>
        </w:rPr>
        <w:fldChar w:fldCharType="end"/>
      </w:r>
      <w:r w:rsidRPr="00CF4F9D">
        <w:rPr>
          <w:rFonts w:eastAsiaTheme="minorEastAsia"/>
        </w:rPr>
        <w:t>. The optimization is also highly sensitive to estimation error: small fluctuation in expected returns or covariances can lead to large shifts in optimal weights</w:t>
      </w:r>
      <w:r w:rsidR="0050226B" w:rsidRPr="00CF4F9D">
        <w:rPr>
          <w:rFonts w:eastAsiaTheme="minorEastAsia"/>
        </w:rPr>
        <w:t xml:space="preserve"> </w:t>
      </w:r>
      <w:r w:rsidR="0050226B" w:rsidRPr="00CF4F9D">
        <w:rPr>
          <w:rFonts w:eastAsiaTheme="minorEastAsia"/>
        </w:rPr>
        <w:fldChar w:fldCharType="begin"/>
      </w:r>
      <w:r w:rsidR="00C7426F">
        <w:rPr>
          <w:rFonts w:eastAsiaTheme="minorEastAsia"/>
        </w:rPr>
        <w:instrText xml:space="preserve"> ADDIN ZOTERO_ITEM CSL_CITATION {"citationID":"83tR1jHn","properties":{"formattedCitation":"(Hurley &amp; Brimberg, 2015)","plainCitation":"(Hurley &amp; Brimberg, 2015)","noteIndex":0},"citationItems":[{"id":851,"uris":["http://zotero.org/users/5952202/items/TXGCSGY9"],"itemData":{"id":851,"type":"article-journal","abstract":"The Markowitz mean–variance portfolio optimization problem is a quadratic programming problem whose first-order conditions require the solution of a linear system. It is well known that the optimal portfolio weights are sensitive to parameter estimates, particularly the mean return vector. This has generally been attributed to the interaction of estimation error and optimization. In this paper we present some examples that suggest the linear system produced by the first-order conditions is ill-conditioned and it is this property that gives rise to the sensitivity of the optimal weights.","container-title":"Operations Research Perspectives","DOI":"10.1016/j.orp.2015.06.003","ISSN":"2214-7160","journalAbbreviation":"Operations Research Perspectives","page":"133-136","source":"ScienceDirect","title":"A note on the sensitivity of the strategic asset allocation problem","volume":"2","author":[{"family":"Hurley","given":"W. J."},{"family":"Brimberg","given":"Jack"}],"issued":{"date-parts":[["2015",12,1]]}}}],"schema":"https://github.com/citation-style-language/schema/raw/master/csl-citation.json"} </w:instrText>
      </w:r>
      <w:r w:rsidR="0050226B" w:rsidRPr="00CF4F9D">
        <w:rPr>
          <w:rFonts w:eastAsiaTheme="minorEastAsia"/>
        </w:rPr>
        <w:fldChar w:fldCharType="separate"/>
      </w:r>
      <w:r w:rsidR="00C7426F" w:rsidRPr="00C7426F">
        <w:rPr>
          <w:rFonts w:eastAsiaTheme="minorEastAsia"/>
        </w:rPr>
        <w:t>(Hurley &amp; Brimberg, 2015)</w:t>
      </w:r>
      <w:r w:rsidR="0050226B" w:rsidRPr="00CF4F9D">
        <w:rPr>
          <w:rFonts w:eastAsiaTheme="minorEastAsia"/>
        </w:rPr>
        <w:fldChar w:fldCharType="end"/>
      </w:r>
      <w:r w:rsidRPr="00CF4F9D">
        <w:rPr>
          <w:rFonts w:eastAsiaTheme="minorEastAsia"/>
        </w:rPr>
        <w:t>. These issues often produce unstable portfolios that perform poorly when evaluated out of sample</w:t>
      </w:r>
      <w:r w:rsidR="0050226B" w:rsidRPr="00CF4F9D">
        <w:rPr>
          <w:rFonts w:eastAsiaTheme="minorEastAsia"/>
        </w:rPr>
        <w:t xml:space="preserve"> based on </w:t>
      </w:r>
      <w:r w:rsidR="0050226B" w:rsidRPr="00CF4F9D">
        <w:rPr>
          <w:rFonts w:eastAsiaTheme="minorEastAsia"/>
        </w:rPr>
        <w:fldChar w:fldCharType="begin"/>
      </w:r>
      <w:r w:rsidR="00C7426F">
        <w:rPr>
          <w:rFonts w:eastAsiaTheme="minorEastAsia"/>
        </w:rPr>
        <w:instrText xml:space="preserve"> ADDIN ZOTERO_ITEM CSL_CITATION {"citationID":"B04WlVFO","properties":{"formattedCitation":"(Welch &amp; Goyal, 2008)","plainCitation":"(Welch &amp; Goyal, 2008)","noteIndex":0},"citationItems":[{"id":857,"uris":["http://zotero.org/users/5952202/items/FJZWD35J"],"itemData":{"id":857,"type":"article-journal","container-title":"Review of Financial Studies","DOI":"10.1093/rfs/hhm014","ISSN":"0893-9454, 1465-7368","issue":"4","journalAbbreviation":"Rev. Financ. Stud.","language":"en","page":"1455-1508","source":"DOI.org (Crossref)","title":"A Comprehensive Look at The Empirical Performance of Equity Premium Prediction","volume":"21","author":[{"family":"Welch","given":"Ivo"},{"family":"Goyal","given":"Amit"}],"issued":{"date-parts":[["2008",7]]}}}],"schema":"https://github.com/citation-style-language/schema/raw/master/csl-citation.json"} </w:instrText>
      </w:r>
      <w:r w:rsidR="0050226B" w:rsidRPr="00CF4F9D">
        <w:rPr>
          <w:rFonts w:eastAsiaTheme="minorEastAsia"/>
        </w:rPr>
        <w:fldChar w:fldCharType="separate"/>
      </w:r>
      <w:r w:rsidR="00C7426F" w:rsidRPr="00C7426F">
        <w:rPr>
          <w:rFonts w:eastAsiaTheme="minorEastAsia"/>
        </w:rPr>
        <w:t>(Welch &amp; Goyal, 2008)</w:t>
      </w:r>
      <w:r w:rsidR="0050226B" w:rsidRPr="00CF4F9D">
        <w:rPr>
          <w:rFonts w:eastAsiaTheme="minorEastAsia"/>
        </w:rPr>
        <w:fldChar w:fldCharType="end"/>
      </w:r>
      <w:r w:rsidRPr="00CF4F9D">
        <w:rPr>
          <w:rFonts w:eastAsiaTheme="minorEastAsia"/>
        </w:rPr>
        <w:t>.</w:t>
      </w:r>
    </w:p>
    <w:p w14:paraId="2BC147EC" w14:textId="1E08E0AD" w:rsidR="00635A63" w:rsidRPr="00CF4F9D" w:rsidRDefault="00635A63" w:rsidP="00CF4F9D">
      <w:pPr>
        <w:pStyle w:val="MDPI31text"/>
        <w:rPr>
          <w:rFonts w:eastAsiaTheme="minorEastAsia"/>
        </w:rPr>
      </w:pPr>
      <w:r w:rsidRPr="00CF4F9D">
        <w:rPr>
          <w:rFonts w:eastAsiaTheme="minorEastAsia"/>
        </w:rPr>
        <w:t xml:space="preserve">A substantial body of research has sought to mitigate these weaknesses by incorporating more realistic loss functions and robust optimization principles. Early work by </w:t>
      </w:r>
      <w:r w:rsidR="00C84AA9" w:rsidRPr="00CF4F9D">
        <w:rPr>
          <w:rFonts w:eastAsiaTheme="minorEastAsia"/>
        </w:rPr>
        <w:fldChar w:fldCharType="begin"/>
      </w:r>
      <w:r w:rsidR="00C7426F">
        <w:rPr>
          <w:rFonts w:eastAsiaTheme="minorEastAsia"/>
        </w:rPr>
        <w:instrText xml:space="preserve"> ADDIN ZOTERO_ITEM CSL_CITATION {"citationID":"q8Ddgwz5","properties":{"formattedCitation":"(Roy, 1952)","plainCitation":"(Roy, 1952)","noteIndex":0},"citationItems":[{"id":841,"uris":["http://zotero.org/users/5952202/items/MH9T5MGB"],"itemData":{"id":841,"type":"article-journal","container-title":"Econometrica","DOI":"10.2307/1907413","ISSN":"0012-9682","issue":"3","note":"publisher: [Wiley, Econometric Society]","page":"431-449","source":"JSTOR","title":"Safety First and the Holding of Assets","volume":"20","author":[{"family":"Roy","given":"A. D."}],"issued":{"date-parts":[["1952"]]}}}],"schema":"https://github.com/citation-style-language/schema/raw/master/csl-citation.json"} </w:instrText>
      </w:r>
      <w:r w:rsidR="00C84AA9" w:rsidRPr="00CF4F9D">
        <w:rPr>
          <w:rFonts w:eastAsiaTheme="minorEastAsia"/>
        </w:rPr>
        <w:fldChar w:fldCharType="separate"/>
      </w:r>
      <w:r w:rsidR="00C7426F" w:rsidRPr="00C7426F">
        <w:rPr>
          <w:rFonts w:eastAsiaTheme="minorEastAsia"/>
        </w:rPr>
        <w:t>(Roy, 1952)</w:t>
      </w:r>
      <w:r w:rsidR="00C84AA9" w:rsidRPr="00CF4F9D">
        <w:rPr>
          <w:rFonts w:eastAsiaTheme="minorEastAsia"/>
        </w:rPr>
        <w:fldChar w:fldCharType="end"/>
      </w:r>
      <w:r w:rsidR="00C84AA9" w:rsidRPr="00CF4F9D">
        <w:rPr>
          <w:rFonts w:eastAsiaTheme="minorEastAsia"/>
        </w:rPr>
        <w:t xml:space="preserve"> </w:t>
      </w:r>
      <w:r w:rsidRPr="00CF4F9D">
        <w:rPr>
          <w:rFonts w:eastAsiaTheme="minorEastAsia"/>
        </w:rPr>
        <w:t xml:space="preserve">emphasized controlling the probability of extreme losses through a safety-first criterion. Downside-oriented measures, such as </w:t>
      </w:r>
      <w:proofErr w:type="spellStart"/>
      <w:r w:rsidRPr="00CF4F9D">
        <w:rPr>
          <w:rFonts w:eastAsiaTheme="minorEastAsia"/>
        </w:rPr>
        <w:t>semivariance</w:t>
      </w:r>
      <w:proofErr w:type="spellEnd"/>
      <w:r w:rsidRPr="00CF4F9D">
        <w:rPr>
          <w:rFonts w:eastAsiaTheme="minorEastAsia"/>
        </w:rPr>
        <w:t>, were proposed to better align risk assessment with investor preferences</w:t>
      </w:r>
      <w:r w:rsidR="00C84AA9" w:rsidRPr="00CF4F9D">
        <w:rPr>
          <w:rFonts w:eastAsiaTheme="minorEastAsia"/>
        </w:rPr>
        <w:t xml:space="preserve"> </w:t>
      </w:r>
      <w:r w:rsidR="00C84AA9" w:rsidRPr="00CF4F9D">
        <w:rPr>
          <w:rFonts w:eastAsiaTheme="minorEastAsia"/>
        </w:rPr>
        <w:fldChar w:fldCharType="begin"/>
      </w:r>
      <w:r w:rsidR="00C7426F">
        <w:rPr>
          <w:rFonts w:eastAsiaTheme="minorEastAsia"/>
        </w:rPr>
        <w:instrText xml:space="preserve"> ADDIN ZOTERO_ITEM CSL_CITATION {"citationID":"JFOW9NB3","properties":{"formattedCitation":"(Harvey et al., 2010)","plainCitation":"(Harvey et al., 2010)","noteIndex":0},"citationItems":[{"id":859,"uris":["http://zotero.org/users/5952202/items/8M76374E"],"itemData":{"id":859,"type":"article-journal","container-title":"Quantitative Finance","DOI":"10.1080/14697681003756877","ISSN":"1469-7688, 1469-7696","issue":"5","journalAbbreviation":"Quantitative Finance","language":"en","page":"469-485","source":"DOI.org (Crossref)","title":"Portfolio selection with higher moments","volume":"10","author":[{"family":"Harvey","given":"Campbell R."},{"family":"Liechty","given":"John C."},{"family":"Liechty","given":"Merrill W."},{"family":"Müller","given":"Peter"}],"issued":{"date-parts":[["2010",5]]}}}],"schema":"https://github.com/citation-style-language/schema/raw/master/csl-citation.json"} </w:instrText>
      </w:r>
      <w:r w:rsidR="00C84AA9" w:rsidRPr="00CF4F9D">
        <w:rPr>
          <w:rFonts w:eastAsiaTheme="minorEastAsia"/>
        </w:rPr>
        <w:fldChar w:fldCharType="separate"/>
      </w:r>
      <w:r w:rsidR="00C7426F" w:rsidRPr="00C7426F">
        <w:rPr>
          <w:rFonts w:eastAsiaTheme="minorEastAsia"/>
        </w:rPr>
        <w:t>(Harvey et al., 2010)</w:t>
      </w:r>
      <w:r w:rsidR="00C84AA9" w:rsidRPr="00CF4F9D">
        <w:rPr>
          <w:rFonts w:eastAsiaTheme="minorEastAsia"/>
        </w:rPr>
        <w:fldChar w:fldCharType="end"/>
      </w:r>
      <w:r w:rsidRPr="00CF4F9D">
        <w:rPr>
          <w:rFonts w:eastAsiaTheme="minorEastAsia"/>
        </w:rPr>
        <w:t>. A major advance came from</w:t>
      </w:r>
      <w:r w:rsidR="00C84AA9" w:rsidRPr="00CF4F9D">
        <w:rPr>
          <w:rFonts w:eastAsiaTheme="minorEastAsia"/>
        </w:rPr>
        <w:fldChar w:fldCharType="begin"/>
      </w:r>
      <w:r w:rsidR="00C7426F">
        <w:rPr>
          <w:rFonts w:eastAsiaTheme="minorEastAsia"/>
        </w:rPr>
        <w:instrText xml:space="preserve"> ADDIN ZOTERO_ITEM CSL_CITATION {"citationID":"x8teO6yv","properties":{"formattedCitation":"(Rockafellar &amp; Uryasev, 2000, 2002)","plainCitation":"(Rockafellar &amp; Uryasev, 2000, 2002)","noteIndex":0},"citationItems":[{"id":226,"uris":["http://zotero.org/users/5952202/items/G6UMVPKX"],"itemData":{"id":226,"type":"article-journal","container-title":"The Journal of Risk","DOI":"10.21314/JOR.2000.038","ISSN":"14651211","issue":"3","journalAbbreviation":"JOR","language":"en","page":"21-41","source":"DOI.org (Crossref)","title":"Optimization of conditional value-at-risk","volume":"2","author":[{"family":"Rockafellar","given":"R. Tyrrell"},{"family":"Uryasev","given":"Stanislav"}],"issued":{"date-parts":[["2000"]]}}},{"id":860,"uris":["http://zotero.org/users/5952202/items/P9XII79N"],"itemData":{"id":860,"type":"article-journal","abstract":"Fundamental properties of conditional value-at-risk (CVaR), as a measure of risk with significant advantages over value-at-risk (VaR), are derived for loss distributions in finance that can involve discreetness. Such distributions are of particular importance in applications because of the prevalence of models based on scenarios and finite sampling. CVaR is able to quantify dangers beyond VaR and moreover it is coherent. It provides optimization short-cuts which, through linear programming techniques, make practical many large-scale calculations that could otherwise be out of reach. The numerical efficiency and stability of such calculations, shown in several case studies, are illustrated further with an example of index tracking.","container-title":"Journal of Banking &amp; Finance","DOI":"10.1016/S0378-4266(02)00271-6","ISSN":"0378-4266","issue":"7","journalAbbreviation":"Journal of Banking &amp; Finance","page":"1443-1471","source":"ScienceDirect","title":"Conditional value-at-risk for general loss distributions","volume":"26","author":[{"family":"Rockafellar","given":"R. Tyrrell"},{"family":"Uryasev","given":"Stanislav"}],"issued":{"date-parts":[["2002",7,1]]}}}],"schema":"https://github.com/citation-style-language/schema/raw/master/csl-citation.json"} </w:instrText>
      </w:r>
      <w:r w:rsidR="00C84AA9" w:rsidRPr="00CF4F9D">
        <w:rPr>
          <w:rFonts w:eastAsiaTheme="minorEastAsia"/>
        </w:rPr>
        <w:fldChar w:fldCharType="separate"/>
      </w:r>
      <w:r w:rsidR="00C7426F" w:rsidRPr="00C7426F">
        <w:rPr>
          <w:rFonts w:eastAsiaTheme="minorEastAsia"/>
        </w:rPr>
        <w:t>(</w:t>
      </w:r>
      <w:proofErr w:type="spellStart"/>
      <w:r w:rsidR="00C7426F" w:rsidRPr="00C7426F">
        <w:rPr>
          <w:rFonts w:eastAsiaTheme="minorEastAsia"/>
        </w:rPr>
        <w:t>Rockafellar</w:t>
      </w:r>
      <w:proofErr w:type="spellEnd"/>
      <w:r w:rsidR="00C7426F" w:rsidRPr="00C7426F">
        <w:rPr>
          <w:rFonts w:eastAsiaTheme="minorEastAsia"/>
        </w:rPr>
        <w:t xml:space="preserve"> &amp; Uryasev, 2000, 2002)</w:t>
      </w:r>
      <w:r w:rsidR="00C84AA9" w:rsidRPr="00CF4F9D">
        <w:rPr>
          <w:rFonts w:eastAsiaTheme="minorEastAsia"/>
        </w:rPr>
        <w:fldChar w:fldCharType="end"/>
      </w:r>
      <w:r w:rsidRPr="00CF4F9D">
        <w:rPr>
          <w:rFonts w:eastAsiaTheme="minorEastAsia"/>
        </w:rPr>
        <w:t>, who introduced Conditional Value-at-Risk (CVaR) as a coherent risk metric that focuses explicitly on tail losses. Their CVaR optimization framework is computationally tractable and yields allocations that provide superior protection against large drawdowns compared with variance-based methods.</w:t>
      </w:r>
    </w:p>
    <w:p w14:paraId="519B008B" w14:textId="4DD390D3" w:rsidR="008F7CF9" w:rsidRPr="00CF4F9D" w:rsidRDefault="00635A63" w:rsidP="00CF4F9D">
      <w:pPr>
        <w:pStyle w:val="MDPI31text"/>
        <w:rPr>
          <w:rFonts w:eastAsiaTheme="minorEastAsia"/>
        </w:rPr>
      </w:pPr>
      <w:r w:rsidRPr="00CF4F9D">
        <w:rPr>
          <w:rFonts w:eastAsiaTheme="minorEastAsia"/>
        </w:rPr>
        <w:t>Researchers have also developed approaches aimed at improving robustness to parameter uncertainty. The Black–</w:t>
      </w:r>
      <w:proofErr w:type="spellStart"/>
      <w:r w:rsidRPr="00CF4F9D">
        <w:rPr>
          <w:rFonts w:eastAsiaTheme="minorEastAsia"/>
        </w:rPr>
        <w:t>Litterman</w:t>
      </w:r>
      <w:proofErr w:type="spellEnd"/>
      <w:r w:rsidRPr="00CF4F9D">
        <w:rPr>
          <w:rFonts w:eastAsiaTheme="minorEastAsia"/>
        </w:rPr>
        <w:t xml:space="preserve"> model</w:t>
      </w:r>
      <w:r w:rsidR="00C84AA9" w:rsidRPr="00CF4F9D">
        <w:rPr>
          <w:rFonts w:eastAsiaTheme="minorEastAsia"/>
        </w:rPr>
        <w:t xml:space="preserve"> by </w:t>
      </w:r>
      <w:r w:rsidR="00C84AA9" w:rsidRPr="00CF4F9D">
        <w:rPr>
          <w:rFonts w:eastAsiaTheme="minorEastAsia"/>
        </w:rPr>
        <w:fldChar w:fldCharType="begin"/>
      </w:r>
      <w:r w:rsidR="00C7426F">
        <w:rPr>
          <w:rFonts w:eastAsiaTheme="minorEastAsia"/>
        </w:rPr>
        <w:instrText xml:space="preserve"> ADDIN ZOTERO_ITEM CSL_CITATION {"citationID":"MWp16w4v","properties":{"formattedCitation":"(Black &amp; Litterman, 1992)","plainCitation":"(Black &amp; Litterman, 1992)","noteIndex":0},"citationItems":[{"id":863,"uris":["http://zotero.org/users/5952202/items/BRNGUUMH"],"itemData":{"id":863,"type":"article-journal","container-title":"Financial Analysts Journal","DOI":"10.2469/faj.v48.n5.28","ISSN":"0015-198X, 1938-3312","issue":"5","journalAbbreviation":"Financial Analysts Journal","language":"en","page":"28-43","source":"DOI.org (Crossref)","title":"Global Portfolio Optimization","volume":"48","author":[{"family":"Black","given":"Fischer"},{"family":"Litterman","given":"Robert"}],"issued":{"date-parts":[["1992",9]]}}}],"schema":"https://github.com/citation-style-language/schema/raw/master/csl-citation.json"} </w:instrText>
      </w:r>
      <w:r w:rsidR="00C84AA9" w:rsidRPr="00CF4F9D">
        <w:rPr>
          <w:rFonts w:eastAsiaTheme="minorEastAsia"/>
        </w:rPr>
        <w:fldChar w:fldCharType="separate"/>
      </w:r>
      <w:r w:rsidR="00C7426F" w:rsidRPr="00C7426F">
        <w:rPr>
          <w:rFonts w:eastAsiaTheme="minorEastAsia"/>
        </w:rPr>
        <w:t>(Black &amp; Litterman, 1992)</w:t>
      </w:r>
      <w:r w:rsidR="00C84AA9" w:rsidRPr="00CF4F9D">
        <w:rPr>
          <w:rFonts w:eastAsiaTheme="minorEastAsia"/>
        </w:rPr>
        <w:fldChar w:fldCharType="end"/>
      </w:r>
      <w:r w:rsidRPr="00CF4F9D">
        <w:rPr>
          <w:rFonts w:eastAsiaTheme="minorEastAsia"/>
        </w:rPr>
        <w:t xml:space="preserve"> combines prior market equilibrium with investor views to produce more stable return estimates and diversified portfolios. Risk-parity formulations seek allocations in which each asset contributes equally to total portfolio risk, offering more consistent performance across market regimes than traditional heuristic allocations such as the 60/40 portfolio</w:t>
      </w:r>
      <w:r w:rsidR="00C84AA9" w:rsidRPr="00CF4F9D">
        <w:rPr>
          <w:rFonts w:eastAsiaTheme="minorEastAsia"/>
        </w:rPr>
        <w:t xml:space="preserve"> as proposed by </w:t>
      </w:r>
      <w:r w:rsidR="00C84AA9" w:rsidRPr="00CF4F9D">
        <w:rPr>
          <w:rFonts w:eastAsiaTheme="minorEastAsia"/>
        </w:rPr>
        <w:fldChar w:fldCharType="begin"/>
      </w:r>
      <w:r w:rsidR="00C7426F">
        <w:rPr>
          <w:rFonts w:eastAsiaTheme="minorEastAsia"/>
        </w:rPr>
        <w:instrText xml:space="preserve"> ADDIN ZOTERO_ITEM CSL_CITATION {"citationID":"nfvviHB8","properties":{"formattedCitation":"(Chaves et al., 2011)","plainCitation":"(Chaves et al., 2011)","noteIndex":0},"citationItems":[{"id":871,"uris":["http://zotero.org/users/5952202/items/XVRQAXHJ"],"itemData":{"id":871,"type":"article-journal","abstract":"In this paper, we conduct a horse race between representative Risk Parity portfolios and other asset allocation strategies, including equal weighting, minimum-variance, mean–variance optimization, and the classic 60/40 equity/bond portfolio. We find that the traditional Risk Parity portfolio construction does not consistently outperform on a risk-adjusted basis the equal weighting or a model pension fund portfolio anchored to the 60/40 equity/bond portfolio structure. However, it does significantly outperform optimized allocation strategies such as minimum-variance and mean–variance efficient portfolios on a consistent basis. Over the past 30 years, the Sharpe Ratios of the Risk Parity and the equal weighting portfolio have been much more stable across decade-long sub-periods than either the 60/40 portfolio or the optimized portfolios. Although Risk Parity performs on par with equal weighting, it does provide better diversification in terms of risk allocation and, thus, warrants further consideration as an asset allocation strategy. However, we show that the Risk Parity strategy’s performance can be highly dependent on the investment universe. Thus, to execute on Risk Parity successfully, careful selection of asset classes is very critical and, for the time being, remains an art rather than a science.","container-title":"The Journal of Investing","DOI":"10.3905/joi.2011.20.1.108","ISSN":"1068-0896, 2168-8613","issue":"1","journalAbbreviation":"JOI","language":"en","page":"108-118","source":"DOI.org (Crossref)","title":"Risk Parity Portfolio vs. Other Asset Allocation Heuristic Portfolios","volume":"20","author":[{"family":"Chaves","given":"Denis"},{"family":"Hsu","given":"Jason"},{"family":"Li","given":"Feifei"},{"family":"Shakernia","given":"Omid"}],"issued":{"date-parts":[["2011",2,28]]}}}],"schema":"https://github.com/citation-style-language/schema/raw/master/csl-citation.json"} </w:instrText>
      </w:r>
      <w:r w:rsidR="00C84AA9" w:rsidRPr="00CF4F9D">
        <w:rPr>
          <w:rFonts w:eastAsiaTheme="minorEastAsia"/>
        </w:rPr>
        <w:fldChar w:fldCharType="separate"/>
      </w:r>
      <w:r w:rsidR="00C7426F" w:rsidRPr="00C7426F">
        <w:rPr>
          <w:rFonts w:eastAsiaTheme="minorEastAsia"/>
        </w:rPr>
        <w:t>(Chaves et al., 2011)</w:t>
      </w:r>
      <w:r w:rsidR="00C84AA9" w:rsidRPr="00CF4F9D">
        <w:rPr>
          <w:rFonts w:eastAsiaTheme="minorEastAsia"/>
        </w:rPr>
        <w:fldChar w:fldCharType="end"/>
      </w:r>
      <w:r w:rsidRPr="00CF4F9D">
        <w:rPr>
          <w:rFonts w:eastAsiaTheme="minorEastAsia"/>
        </w:rPr>
        <w:t xml:space="preserve">. Collectively, these contributions underscore the importance of </w:t>
      </w:r>
      <w:r w:rsidRPr="00CF4F9D">
        <w:rPr>
          <w:rFonts w:eastAsiaTheme="minorEastAsia"/>
        </w:rPr>
        <w:lastRenderedPageBreak/>
        <w:t>recognizing estimation uncertainty, asymmetry in return distributions, and tail risk in portfolio construction. They provide a strong rationale for portfolio frameworks that incorporate downside-risk penalties—such as CVaR—and adopt robust optimization techniques as central components of modern risk management.</w:t>
      </w:r>
    </w:p>
    <w:p w14:paraId="6C830A79" w14:textId="0DE458B7" w:rsidR="005E292B" w:rsidRPr="00500DA3" w:rsidRDefault="005E292B" w:rsidP="005E292B">
      <w:pPr>
        <w:pStyle w:val="MDPI22heading2"/>
        <w:spacing w:before="240"/>
        <w:rPr>
          <w:noProof w:val="0"/>
        </w:rPr>
      </w:pPr>
      <w:r w:rsidRPr="00500DA3">
        <w:rPr>
          <w:noProof w:val="0"/>
        </w:rPr>
        <w:t>2.</w:t>
      </w:r>
      <w:r>
        <w:rPr>
          <w:noProof w:val="0"/>
        </w:rPr>
        <w:t>2</w:t>
      </w:r>
      <w:r w:rsidRPr="00500DA3">
        <w:rPr>
          <w:noProof w:val="0"/>
        </w:rPr>
        <w:t xml:space="preserve">. </w:t>
      </w:r>
      <w:r w:rsidR="00655BB0" w:rsidRPr="00655BB0">
        <w:rPr>
          <w:noProof w:val="0"/>
        </w:rPr>
        <w:t>Deep Reinforcement Learning and Predictive Modeling in Finance</w:t>
      </w:r>
    </w:p>
    <w:p w14:paraId="4910F0E6" w14:textId="007AA5BD" w:rsidR="00CF4F9D" w:rsidRPr="00655BB0" w:rsidRDefault="00CF4F9D" w:rsidP="00655BB0">
      <w:pPr>
        <w:pStyle w:val="MDPI31text"/>
      </w:pPr>
      <w:r w:rsidRPr="00655BB0">
        <w:t xml:space="preserve">Machine learning (ML) methods have become increasingly prominent in empirical asset pricing and return prediction. Traditional linear factor models often exhibit limited out-of-sample forecasting </w:t>
      </w:r>
      <w:proofErr w:type="gramStart"/>
      <w:r w:rsidRPr="00655BB0">
        <w:t>ability[</w:t>
      </w:r>
      <w:proofErr w:type="gramEnd"/>
      <w:r w:rsidRPr="00655BB0">
        <w:t xml:space="preserve">9], in part because linear specifications cannot capture the nonlinear interactions and structural features present in financial data. Recent studies demonstrate that nonlinear ML models can substantially improve predictive performance. </w:t>
      </w:r>
      <w:r w:rsidR="00B17654" w:rsidRPr="00655BB0">
        <w:rPr>
          <w:rFonts w:eastAsiaTheme="minorEastAsia"/>
        </w:rPr>
        <w:fldChar w:fldCharType="begin"/>
      </w:r>
      <w:r w:rsidR="00C7426F">
        <w:rPr>
          <w:rFonts w:eastAsiaTheme="minorEastAsia"/>
        </w:rPr>
        <w:instrText xml:space="preserve"> ADDIN ZOTERO_ITEM CSL_CITATION {"citationID":"CKBdeSFE","properties":{"formattedCitation":"(Gu et al., 2020)","plainCitation":"(Gu et al., 2020)","noteIndex":0},"citationItems":[{"id":872,"uris":["http://zotero.org/users/5952202/items/52ZUCBNH"],"itemData":{"id":872,"type":"article-journal","abstract":"We perform a comparative analysis of machine learning methods for the canonical problem of empirical asset pricing: measuring asset risk premiums. We demonstrate large economic gains to investors using machine learning forecasts, in some cases doubling the performance of leading regression-based strategies from the literature. We identify the best-performing methods (trees and neural networks) and trace their predictive gains to allowing nonlinear predictor interactions missed by other methods. All methods agree on the same set of dominant predictive signals, a set that includes variations on momentum, liquidity, and volatility.Authors have furnished an Internet Appendix, which is available on the Oxford University Press Web site next to the link to the final published paper online.","container-title":"The Review of Financial Studies","DOI":"10.1093/rfs/hhaa009","ISSN":"0893-9454","issue":"5","journalAbbreviation":"Rev Financ Stud","page":"2223-2273","source":"Silverchair","title":"Empirical Asset Pricing via Machine Learning","volume":"33","author":[{"family":"Gu","given":"Shihao"},{"family":"Kelly","given":"Bryan"},{"family":"Xiu","given":"Dacheng"}],"issued":{"date-parts":[["2020",5,1]]}}}],"schema":"https://github.com/citation-style-language/schema/raw/master/csl-citation.json"} </w:instrText>
      </w:r>
      <w:r w:rsidR="00B17654" w:rsidRPr="00655BB0">
        <w:rPr>
          <w:rFonts w:eastAsiaTheme="minorEastAsia"/>
        </w:rPr>
        <w:fldChar w:fldCharType="separate"/>
      </w:r>
      <w:r w:rsidR="00C7426F" w:rsidRPr="00C7426F">
        <w:rPr>
          <w:rFonts w:eastAsiaTheme="minorEastAsia"/>
        </w:rPr>
        <w:t>(Gu et al., 2020)</w:t>
      </w:r>
      <w:r w:rsidR="00B17654" w:rsidRPr="00655BB0">
        <w:rPr>
          <w:rFonts w:eastAsiaTheme="minorEastAsia"/>
        </w:rPr>
        <w:fldChar w:fldCharType="end"/>
      </w:r>
      <w:r w:rsidR="00B17654" w:rsidRPr="00655BB0">
        <w:rPr>
          <w:rFonts w:eastAsiaTheme="minorEastAsia"/>
        </w:rPr>
        <w:t xml:space="preserve"> </w:t>
      </w:r>
      <w:r w:rsidRPr="00655BB0">
        <w:t>show that tree-based ensembles and neural networks outperform ordinary least squares by a wide margin when predicting U.S. equity returns, roughly doubling out-of-sample</w:t>
      </w:r>
      <w:r w:rsidRPr="00655BB0">
        <w:rPr>
          <w:rFonts w:eastAsiaTheme="minorEastAsia"/>
        </w:rPr>
        <w:t xml:space="preserve"> </w:t>
      </w:r>
      <m:oMath>
        <m:sSup>
          <m:sSupPr>
            <m:ctrlPr>
              <w:rPr>
                <w:rFonts w:ascii="Cambria Math" w:eastAsiaTheme="minorEastAsia" w:hAnsi="Cambria Math"/>
              </w:rPr>
            </m:ctrlPr>
          </m:sSupPr>
          <m:e>
            <m:r>
              <w:rPr>
                <w:rFonts w:ascii="Cambria Math" w:eastAsiaTheme="minorEastAsia" w:hAnsi="Cambria Math"/>
              </w:rPr>
              <m:t>R</m:t>
            </m:r>
          </m:e>
          <m:sup>
            <m:r>
              <m:rPr>
                <m:sty m:val="p"/>
              </m:rPr>
              <w:rPr>
                <w:rFonts w:ascii="Cambria Math" w:eastAsiaTheme="minorEastAsia" w:hAnsi="Cambria Math"/>
              </w:rPr>
              <m:t>2</m:t>
            </m:r>
          </m:sup>
        </m:sSup>
      </m:oMath>
      <w:r w:rsidRPr="00655BB0">
        <w:rPr>
          <w:rFonts w:eastAsiaTheme="minorEastAsia"/>
        </w:rPr>
        <w:t xml:space="preserve"> </w:t>
      </w:r>
      <w:r w:rsidRPr="00655BB0">
        <w:t xml:space="preserve">by exploiting nonlinear relationships among firm characteristics. </w:t>
      </w:r>
      <w:r w:rsidR="00B17654" w:rsidRPr="00655BB0">
        <w:rPr>
          <w:rFonts w:eastAsiaTheme="minorEastAsia"/>
        </w:rPr>
        <w:fldChar w:fldCharType="begin"/>
      </w:r>
      <w:r w:rsidR="00C7426F">
        <w:rPr>
          <w:rFonts w:eastAsiaTheme="minorEastAsia"/>
        </w:rPr>
        <w:instrText xml:space="preserve"> ADDIN ZOTERO_ITEM CSL_CITATION {"citationID":"1PTjIkkv","properties":{"formattedCitation":"(Fischer &amp; Krauss, 2018)","plainCitation":"(Fischer &amp; Krauss, 2018)","noteIndex":0},"citationItems":[{"id":875,"uris":["http://zotero.org/users/5952202/items/894MKNGF"],"itemData":{"id":875,"type":"article-journal","abstract":"Long short-term memory (LSTM) networks are a state-of-the-art technique for sequence learning. They are less commonly applied to financial time series predictions, yet inherently suitable for this domain. We deploy LSTM networks for predicting out-of-sample directional movements for the constituent stocks of the S&amp;P 500 from 1992 until 2015. With daily returns of 0.46 percent and a Sharpe ratio of 5.8 prior to transaction costs, we find LSTM networks to outperform memory-free classification methods, i.e., a random forest (RAF), a deep neural net (DNN), and a logistic regression classifier (LOG). The outperformance relative to the general market is very clear from 1992 to 2009, but as of 2010, excess returns seem to have been arbitraged away with LSTM profitability fluctuating around zero after transaction costs. We further unveil sources of profitability, thereby shedding light into the black box of artificial neural networks. Specifically, we find one common pattern among the stocks selected for trading – they exhibit high volatility and a short-term reversal return profile. Leveraging these findings, we are able to formalize a rules-based short-term reversal strategy that yields 0.23 percent prior to transaction costs. Further regression analysis unveils low exposure of the LSTM returns to common sources of systematic risk – also compared to the three benchmark models.","container-title":"European Journal of Operational Research","DOI":"10.1016/j.ejor.2017.11.054","ISSN":"0377-2217","issue":"2","journalAbbreviation":"European Journal of Operational Research","page":"654-669","source":"ScienceDirect","title":"Deep learning with long short-term memory networks for financial market predictions","volume":"270","author":[{"family":"Fischer","given":"Thomas"},{"family":"Krauss","given":"Christopher"}],"issued":{"date-parts":[["2018",10,16]]}}}],"schema":"https://github.com/citation-style-language/schema/raw/master/csl-citation.json"} </w:instrText>
      </w:r>
      <w:r w:rsidR="00B17654" w:rsidRPr="00655BB0">
        <w:rPr>
          <w:rFonts w:eastAsiaTheme="minorEastAsia"/>
        </w:rPr>
        <w:fldChar w:fldCharType="separate"/>
      </w:r>
      <w:r w:rsidR="00C7426F" w:rsidRPr="00C7426F">
        <w:rPr>
          <w:rFonts w:eastAsiaTheme="minorEastAsia"/>
        </w:rPr>
        <w:t>(Fischer &amp; Krauss, 2018)</w:t>
      </w:r>
      <w:r w:rsidR="00B17654" w:rsidRPr="00655BB0">
        <w:rPr>
          <w:rFonts w:eastAsiaTheme="minorEastAsia"/>
        </w:rPr>
        <w:fldChar w:fldCharType="end"/>
      </w:r>
      <w:r w:rsidR="00B17654" w:rsidRPr="00655BB0">
        <w:rPr>
          <w:rFonts w:eastAsiaTheme="minorEastAsia"/>
        </w:rPr>
        <w:t xml:space="preserve"> </w:t>
      </w:r>
      <w:r w:rsidRPr="00655BB0">
        <w:t>similarly find that Long Short-Term Memory (LSTM) networks achieve stronger directional accuracy for short-horizon stock movements and lead to materially higher Sharpe ratios in trading applications. These results highlight ML’s ability to extract weak but systematic signals from high-dimensional, noisy datasets. Algorithms such as random forests and gradient-boosted trees perform particularly well in this context because they can uncover a small set of influential predictors from a large pool of characteristics, effectively performing automatic variable selection</w:t>
      </w:r>
      <w:r w:rsidR="00B17654" w:rsidRPr="00655BB0">
        <w:rPr>
          <w:rFonts w:eastAsiaTheme="minorEastAsia"/>
        </w:rPr>
        <w:t xml:space="preserve"> based on </w:t>
      </w:r>
      <w:r w:rsidR="00B17654" w:rsidRPr="00655BB0">
        <w:rPr>
          <w:rFonts w:eastAsiaTheme="minorEastAsia"/>
        </w:rPr>
        <w:fldChar w:fldCharType="begin"/>
      </w:r>
      <w:r w:rsidR="00006D78">
        <w:rPr>
          <w:rFonts w:eastAsiaTheme="minorEastAsia"/>
        </w:rPr>
        <w:instrText xml:space="preserve"> ADDIN ZOTERO_ITEM CSL_CITATION {"citationID":"DgzUplop","properties":{"formattedCitation":"(L. Chen et al., 2024; Kelly et al., 2019; Krauss et al., 2017)","plainCitation":"(L. Chen et al., 2024; Kelly et al., 2019; Krauss et al., 2017)","noteIndex":0},"citationItems":[{"id":881,"uris":["http://zotero.org/users/5952202/items/U49FEDPU"],"itemData":{"id":881,"type":"article-journal","abstract":"We use deep neural networks to estimate an asset pricing model for individual stock returns that takes advantage of the vast amount of conditioning information, keeps a fully flexible form, and accounts for time variation. The key innovations are to use the fundamental no-arbitrage condition as criterion function to construct the most informative test assets with an adversarial approach and to extract the states of the economy from many macroeconomic time series. Our asset pricing model outperforms out-of-sample all benchmark approaches in terms of Sharpe ratio, explained variation, and pricing errors and identifies the key factors that drive asset prices.\n\nThis paper was accepted by Agostino Capponi, finance.\n\nSupplemental Material: The online appendix and data are available at https://doi.org/10.1287/mnsc.2023.4695.","container-title":"Management Science","DOI":"10.1287/mnsc.2023.4695","ISSN":"0025-1909","issue":"2","note":"publisher: INFORMS","page":"714-750","source":"pubsonline.informs.org (Atypon)","title":"Deep Learning in Asset Pricing","volume":"70","author":[{"family":"Chen","given":"Luyang"},{"family":"Pelger","given":"Markus"},{"family":"Zhu","given":"Jason"}],"issued":{"date-parts":[["2024",2]]}}},{"id":879,"uris":["http://zotero.org/users/5952202/items/3T43GTD5"],"itemData":{"id":879,"type":"article-journal","abstract":"We propose a new modeling approach for the cross section of returns. Our method, Instrumented Principal Component Analysis (IPCA), allows for latent factors and time-varying loadings by introducing observable characteristics that instrument for the unobservable dynamic loadings. If the characteristics/expected return relationship is driven by compensation for exposure to latent risk factors, IPCA will identify the corresponding latent factors. If no such factors exist, IPCA infers that the characteristic effect is compensation without risk and allocates it to an “anomaly” intercept. Studying returns and characteristics at the stock-level, we find that five IPCA factors explain the cross section of average returns significantly more accurately than existing factor models and produce characteristic-associated anomaly intercepts that are small and statistically insignificant. Furthermore, among a large collection of characteristics explored in the literature, only ten are statistically significant at the 1% level in the IPCA specification and are responsible for nearly 100% of the model’s accuracy.","container-title":"Journal of Financial Economics","DOI":"10.1016/j.jfineco.2019.05.001","ISSN":"0304-405X","issue":"3","journalAbbreviation":"Journal of Financial Economics","page":"501-524","source":"ScienceDirect","title":"Characteristics are covariances: A unified model of risk and return","title-short":"Characteristics are covariances","volume":"134","author":[{"family":"Kelly","given":"Bryan T."},{"family":"Pruitt","given":"Seth"},{"family":"Su","given":"Yinan"}],"issued":{"date-parts":[["2019",12,1]]}}},{"id":877,"uris":["http://zotero.org/users/5952202/items/I34X8UN3"],"itemData":{"id":877,"type":"article-journal","abstract":"In recent years, machine learning research has gained momentum: new developments in the field of deep learning allow for multiple levels of abstraction and are starting to supersede well-known and powerful tree-based techniques mainly operating on the original feature space. All these methods can be applied to various fields, including finance. This paper implements and analyzes the effectiveness of deep neural networks (DNN), gradient-boosted-trees (GBT), random forests (RAF), and several ensembles of these methods in the context of statistical arbitrage. Each model is trained on lagged returns of all stocks in the S&amp;P 500, after elimination of survivor bias. From 1992 to 2015, daily one-day-ahead trading signals are generated based on the probability forecast of a stock to outperform the general market. The highest k probabilities are converted into long and the lowest k probabilities into short positions, thus censoring the less certain middle part of the ranking. Empirical findings are promising. A simple, equal-weighted ensemble (ENS1) consisting of one deep neural network, one gradient-boosted tree, and one random forest produces out-of-sample returns exceeding 0.45 percent per day for k=10, prior to transaction costs. Irrespective of the fact that profits are declining in recent years, our findings pose a severe challenge to the semi-strong form of market efficiency.","container-title":"European Journal of Operational Research","DOI":"10.1016/j.ejor.2016.10.031","ISSN":"0377-2217","issue":"2","journalAbbreviation":"European Journal of Operational Research","page":"689-702","source":"ScienceDirect","title":"Deep neural networks, gradient-boosted trees, random forests: Statistical arbitrage on the S&amp;P 500","title-short":"Deep neural networks, gradient-boosted trees, random forests","volume":"259","author":[{"family":"Krauss","given":"Christopher"},{"family":"Do","given":"Xuan Anh"},{"family":"Huck","given":"Nicolas"}],"issued":{"date-parts":[["2017",6,1]]}}}],"schema":"https://github.com/citation-style-language/schema/raw/master/csl-citation.json"} </w:instrText>
      </w:r>
      <w:r w:rsidR="00B17654" w:rsidRPr="00655BB0">
        <w:rPr>
          <w:rFonts w:eastAsiaTheme="minorEastAsia"/>
        </w:rPr>
        <w:fldChar w:fldCharType="separate"/>
      </w:r>
      <w:r w:rsidR="00006D78" w:rsidRPr="00006D78">
        <w:rPr>
          <w:rFonts w:eastAsiaTheme="minorEastAsia"/>
        </w:rPr>
        <w:t>(L. Chen et al., 2024; Kelly et al., 2019; Krauss et al., 2017)</w:t>
      </w:r>
      <w:r w:rsidR="00B17654" w:rsidRPr="00655BB0">
        <w:rPr>
          <w:rFonts w:eastAsiaTheme="minorEastAsia"/>
        </w:rPr>
        <w:fldChar w:fldCharType="end"/>
      </w:r>
      <w:r w:rsidRPr="00655BB0">
        <w:t>.</w:t>
      </w:r>
    </w:p>
    <w:p w14:paraId="1935E35F" w14:textId="79A35A09" w:rsidR="00655BB0" w:rsidRPr="00655BB0" w:rsidRDefault="00655BB0" w:rsidP="00655BB0">
      <w:pPr>
        <w:pStyle w:val="MDPI31text"/>
      </w:pPr>
      <w:r w:rsidRPr="00655BB0">
        <w:t xml:space="preserve">Building on these advances in predictive modeling, reinforcement learning (RL) offers a framework for optimizing dynamic trading decisions in a sequential and data-driven manner. Unlike supervised learning, which focuses on predicting returns and relies on external rules for converting forecasts into trades, RL directly learns policies that maximize long-horizon performance objectives. Early work by </w:t>
      </w:r>
      <w:r w:rsidR="00B871D1">
        <w:fldChar w:fldCharType="begin"/>
      </w:r>
      <w:r w:rsidR="00C7426F">
        <w:instrText xml:space="preserve"> ADDIN ZOTERO_ITEM CSL_CITATION {"citationID":"guyOF6tU","properties":{"formattedCitation":"(Moody et al., 1998)","plainCitation":"(Moody et al., 1998)","noteIndex":0},"citationItems":[{"id":539,"uris":["http://zotero.org/users/5952202/items/9CFIKUF2"],"itemData":{"id":539,"type":"article-journal","abstract":"We propose to train trading systems and portfolios by optimizing objective functions that directly measure trading and investment performance. Rather than basing a trading system on forecasts or training via a supervised learning algorithm using labelled trading data, we train our systems using recurrent reinforcement learning (RRL) algorithms. The performance functions that we consider for reinforcement learning are profit or wealth, economic utility, the Sharpe ratio and our proposed differential Sharpe ratio. The trading and portfolio management systems require prior decisions as input in order to properly take into account the effects of transactions costs, market impact, and taxes. This temporal dependence on system state requires the use of reinforcement versions of standard recurrent learning algorithms. We present empirical results in controlled experiments that demonstrate the efficacy of some of our methods for optimizing trading systems and portfolios. For a long/short trader, we find that maximizing the differential Sharpe ratio yields more consistent results than maximizing profits, and that both methods outperform a trading system based on forecasts that minimize MSE. We find that portfolio traders trained to maximize the differential Sharpe ratio achieve better risk-adjusted returns than those trained to maximize profit. Finally, we provide simulation results for an S&amp;P 500/TBill asset allocation system that demonstrate the presence of out-of-sample predictability in the monthly S&amp;P 500 stock index for the 25 year period 1970 through 1994. Copyright © 1998 John Wiley &amp; Sons, Ltd.","container-title":"Journal of Forecasting","DOI":"10.1002/(SICI)1099-131X(1998090)17:5/6&lt;441::AID-FOR707&gt;3.0.CO;2-#","ISSN":"0277-6693, 1099-131X","issue":"5-6","journalAbbreviation":"Journal of Forecasting","language":"en","license":"http://onlinelibrary.wiley.com/termsAndConditions#vor","page":"441-470","source":"Semantic Scholar","title":"Performance functions and reinforcement learning for trading systems and portfolios","volume":"17","author":[{"family":"Moody","given":"John"},{"family":"Wu","given":"Lizhong"},{"family":"Liao","given":"Yuansong"},{"family":"Saffell","given":"Matthew"}],"issued":{"date-parts":[["1998",9]]}}}],"schema":"https://github.com/citation-style-language/schema/raw/master/csl-citation.json"} </w:instrText>
      </w:r>
      <w:r w:rsidR="00B871D1">
        <w:fldChar w:fldCharType="separate"/>
      </w:r>
      <w:r w:rsidR="00C7426F" w:rsidRPr="00C7426F">
        <w:t>(Moody et al., 1998)</w:t>
      </w:r>
      <w:r w:rsidR="00B871D1">
        <w:fldChar w:fldCharType="end"/>
      </w:r>
      <w:r w:rsidR="00B871D1">
        <w:t xml:space="preserve"> </w:t>
      </w:r>
      <w:r w:rsidRPr="00655BB0">
        <w:t xml:space="preserve">showed that RL systems could optimize the Sharpe ratio directly, highlighting the potential for “direct reinforcement” methods to outperform prediction-plus-rule approaches. Subsequent contributions refined this idea; for example, </w:t>
      </w:r>
      <w:r w:rsidR="00B871D1">
        <w:fldChar w:fldCharType="begin"/>
      </w:r>
      <w:r w:rsidR="00C7426F">
        <w:instrText xml:space="preserve"> ADDIN ZOTERO_ITEM CSL_CITATION {"citationID":"p3OXWriR","properties":{"formattedCitation":"(Almahdi &amp; Yang, 2017)","plainCitation":"(Almahdi &amp; Yang, 2017)","noteIndex":0},"citationItems":[{"id":894,"uris":["http://zotero.org/users/5952202/items/VUZ6WAPK"],"itemData":{"id":894,"type":"article-journal","abstract":"Dynamic control theory has long been used in solving optimal asset allocation problems, and a number of trading decision systems based on reinforcement learning methods have been applied in asset allocation and portfolio rebalancing. In this paper, we extend the existing work in recurrent reinforcement learning (RRL) and build an optimal variable weight portfolio allocation under a coherent downside risk measure, the expected maximum drawdown, E(MDD). In particular, we propose a recurrent reinforcement learning method, with a coherent risk adjusted performance objective function, the Calmar ratio, to obtain both buy and sell signals and asset allocation weights. Using a portfolio consisting of the most frequently traded exchange-traded funds, we show that the expected maximum drawdown risk based objective function yields superior return performance compared to previously proposed RRL objective functions (i.e. the Sharpe ratio and the Sterling ratio), and that variable weight RRL long/short portfolios outperform equal weight RRL long/short portfolios under different transaction cost scenarios. We further propose an adaptive E(MDD) risk based RRL portfolio rebalancing decision system with a transaction cost and market condition stop-loss retraining mechanism, and we show that the proposed portfolio trading system responds to transaction cost effects better and outperforms hedge fund benchmarks consistently.","container-title":"Expert Systems with Applications","DOI":"10.1016/j.eswa.2017.06.023","ISSN":"0957-4174","journalAbbreviation":"Expert Systems with Applications","page":"267-279","source":"ScienceDirect","title":"An adaptive portfolio trading system: A risk-return portfolio optimization using recurrent reinforcement learning with expected maximum drawdown","title-short":"An adaptive portfolio trading system","volume":"87","author":[{"family":"Almahdi","given":"Saud"},{"family":"Yang","given":"Steve Y."}],"issued":{"date-parts":[["2017",11,30]]}}}],"schema":"https://github.com/citation-style-language/schema/raw/master/csl-citation.json"} </w:instrText>
      </w:r>
      <w:r w:rsidR="00B871D1">
        <w:fldChar w:fldCharType="separate"/>
      </w:r>
      <w:r w:rsidR="00C7426F" w:rsidRPr="00C7426F">
        <w:t>(Almahdi &amp; Yang, 2017)</w:t>
      </w:r>
      <w:r w:rsidR="00B871D1">
        <w:fldChar w:fldCharType="end"/>
      </w:r>
      <w:r w:rsidR="00B871D1">
        <w:t xml:space="preserve"> </w:t>
      </w:r>
      <w:r w:rsidRPr="00655BB0">
        <w:t>used recurrent RL algorithms to achieve more stable, risk-adjusted performance compared with return-only objectives.</w:t>
      </w:r>
    </w:p>
    <w:p w14:paraId="6686909F" w14:textId="7387090A" w:rsidR="00655BB0" w:rsidRPr="00655BB0" w:rsidRDefault="00655BB0" w:rsidP="00655BB0">
      <w:pPr>
        <w:pStyle w:val="MDPI31text"/>
      </w:pPr>
      <w:r w:rsidRPr="00655BB0">
        <w:t xml:space="preserve">With the advent of deep reinforcement learning (DRL), agents have gained the ability to process high-dimensional states involving multiple assets and technical indicators. </w:t>
      </w:r>
      <w:r w:rsidR="009B499C">
        <w:fldChar w:fldCharType="begin"/>
      </w:r>
      <w:r w:rsidR="00C7426F">
        <w:instrText xml:space="preserve"> ADDIN ZOTERO_ITEM CSL_CITATION {"citationID":"xOmtdCeb","properties":{"formattedCitation":"(Jiang et al., 2017)","plainCitation":"(Jiang et al., 2017)","noteIndex":0},"citationItems":[{"id":896,"uris":["http://zotero.org/users/5952202/items/I6ZRULNN"],"itemData":{"id":896,"type":"article","abstract":"Financial portfolio management is the process of constant redistribution of a fund into different financial products. This paper presents a financial-model-free Reinforcement Learning framework to provide a deep machine learning solution to the portfolio management problem. The framework consists of the Ensemble of Identical Independent Evaluators (EIIE) topology, a Portfolio-Vector Memory (PVM), an Online Stochastic Batch Learning (OSBL) scheme, and a fully exploiting and explicit reward function. This framework is realized in three instants in this work with a Convolutional Neural Network (CNN), a basic Recurrent Neural Network (RNN), and a Long Short-Term Memory (LSTM). They are, along with a number of recently reviewed or published portfolio-selection strategies, examined in three back-test experiments with a trading period of 30 minutes in a cryptocurrency market. Cryptocurrencies are electronic and decentralized alternatives to government-issued money, with Bitcoin as the best-known example of a cryptocurrency. All three instances of the framework monopolize the top three positions in all experiments, outdistancing other compared trading algorithms. Although with a high commission rate of 0.25% in the backtests, the framework is able to achieve at least 4-fold returns in 50 days.","DOI":"10.48550/arXiv.1706.10059","note":"arXiv:1706.10059 [q-fin]","number":"arXiv:1706.10059","publisher":"arXiv","source":"arXiv.org","title":"A Deep Reinforcement Learning Framework for the Financial Portfolio Management Problem","URL":"http://arxiv.org/abs/1706.10059","author":[{"family":"Jiang","given":"Zhengyao"},{"family":"Xu","given":"Dixing"},{"family":"Liang","given":"Jinjun"}],"accessed":{"date-parts":[["2025",11,17]]},"issued":{"date-parts":[["2017",7,16]]}}}],"schema":"https://github.com/citation-style-language/schema/raw/master/csl-citation.json"} </w:instrText>
      </w:r>
      <w:r w:rsidR="009B499C">
        <w:fldChar w:fldCharType="separate"/>
      </w:r>
      <w:r w:rsidR="00C7426F" w:rsidRPr="00C7426F">
        <w:t>(Jiang et al., 2017)</w:t>
      </w:r>
      <w:r w:rsidR="009B499C">
        <w:fldChar w:fldCharType="end"/>
      </w:r>
      <w:r w:rsidR="009B499C">
        <w:t xml:space="preserve"> </w:t>
      </w:r>
      <w:r w:rsidRPr="00655BB0">
        <w:t xml:space="preserve">proposed a convolutional–recurrent DRL architecture for cryptocurrency portfolios, reporting substantial gains over heuristic benchmarks. </w:t>
      </w:r>
      <w:r w:rsidR="009B499C">
        <w:fldChar w:fldCharType="begin"/>
      </w:r>
      <w:r w:rsidR="00C7426F">
        <w:instrText xml:space="preserve"> ADDIN ZOTERO_ITEM CSL_CITATION {"citationID":"kp7AFfDQ","properties":{"formattedCitation":"(Liu et al., 2022)","plainCitation":"(Liu et al., 2022)","noteIndex":0},"citationItems":[{"id":900,"uris":["http://zotero.org/users/5952202/items/Z8KXJQS6"],"itemData":{"id":900,"type":"article","abstract":"Stock trading strategy plays a crucial role in investment companies. However, it is challenging to obtain optimal strategy in the complex and dynamic stock market. We explore the potential of deep reinforcement learning to optimize stock trading strategy and thus maximize investment return. 30 stocks are selected as our trading stocks and their daily prices are used as the training and trading market environment. We train a deep reinforcement learning agent and obtain an adaptive trading strategy. The agent's performance is evaluated and compared with Dow Jones Industrial Average and the traditional min-variance portfolio allocation strategy. The proposed deep reinforcement learning approach is shown to outperform the two baselines in terms of both the Sharpe ratio and cumulative returns.","DOI":"10.48550/arXiv.1811.07522","note":"arXiv:1811.07522 [cs]","number":"arXiv:1811.07522","publisher":"arXiv","source":"arXiv.org","title":"Practical Deep Reinforcement Learning Approach for Stock Trading","URL":"http://arxiv.org/abs/1811.07522","author":[{"family":"Liu","given":"Xiao-Yang"},{"family":"Xiong","given":"Zhuoran"},{"family":"Zhong","given":"Shan"},{"family":"Yang","given":"Hongyang"},{"family":"Walid","given":"Anwar"}],"accessed":{"date-parts":[["2025",11,17]]},"issued":{"date-parts":[["2022",7,30]]}}}],"schema":"https://github.com/citation-style-language/schema/raw/master/csl-citation.json"} </w:instrText>
      </w:r>
      <w:r w:rsidR="009B499C">
        <w:fldChar w:fldCharType="separate"/>
      </w:r>
      <w:r w:rsidR="00C7426F" w:rsidRPr="00C7426F">
        <w:t>(Liu et al., 2022)</w:t>
      </w:r>
      <w:r w:rsidR="009B499C">
        <w:fldChar w:fldCharType="end"/>
      </w:r>
      <w:r w:rsidR="009B499C">
        <w:t xml:space="preserve"> </w:t>
      </w:r>
      <w:r w:rsidRPr="00655BB0">
        <w:t xml:space="preserve">applied an actor–critic DRL model using DDPG to equity trading and observed higher cumulative returns and Sharpe ratios relative to rule-based strategies. The introduction of open-source frameworks such as </w:t>
      </w:r>
      <w:proofErr w:type="spellStart"/>
      <w:r w:rsidRPr="00655BB0">
        <w:t>FinRL</w:t>
      </w:r>
      <w:proofErr w:type="spellEnd"/>
      <w:r w:rsidR="009B499C">
        <w:t xml:space="preserve"> by </w:t>
      </w:r>
      <w:r w:rsidR="009B499C">
        <w:fldChar w:fldCharType="begin"/>
      </w:r>
      <w:r w:rsidR="00C7426F">
        <w:instrText xml:space="preserve"> ADDIN ZOTERO_ITEM CSL_CITATION {"citationID":"oQrhCZSi","properties":{"formattedCitation":"(Liu et al., 2020)","plainCitation":"(Liu et al., 2020)","noteIndex":0},"citationItems":[{"id":528,"uris":["http://zotero.org/users/5952202/items/2L4UL6CK"],"itemData":{"id":528,"type":"article-journal","abstract":"As deep reinforcement learning (DRL) has been recognized as an effective approach in quantitative finance, getting hands-on experiences is attractive to beginners. However, to train a practical DRL trading agent that decides where to trade, at what price, and what quantity involves error-prone and arduous development and debugging. In this paper, we introduce a DRL library FinRL that facilitates beginners to expose themselves to quantitative finance and to develop their own stock trading strategies. Along with easily-reproducible tutorials, FinRL library allows users to streamline their own developments and to compare with existing schemes easily. Within FinRL, virtual environments are configured with stock market datasets, trading agents are trained with neural networks, and extensive backtesting is analyzed via trading performance. Moreover, it incorporates important trading constraints such as transaction cost, market liquidity and the investor's degree of risk-aversion. FinRL is featured with completeness, hands-on tutorial and reproducibility that favors beginners: (i) at multiple levels of time granularity, FinRL simulates trading environments across various stock markets, including NASDAQ-100, DJIA, SP (ii) organized in a layered architecture with modular structure, FinRL provides fine-tuned state-of-the-art DRL algorithms (DQN, DDPG, PPO, SAC, A2C, TD3, etc.), commonly-used reward functions and standard evaluation baselines to alleviate the debugging workloads and promote the reproducibility, and (iii) being highly extendable, FinRL reserves a complete set of user-import interfaces. Furthermore, we incorporated three application demonstrations, namely single stock trading, multiple stock trading, and portfolio allocation. The FinRL library will be available on Github at link this https URL.","container-title":"SSRN Electronic Journal","DOI":"10.2139/ssrn.3737859","ISSN":"1556-5068","journalAbbreviation":"SSRN Journal","language":"en","source":"Semantic Scholar","title":"FinRL: A Deep Reinforcement Learning Library for Automated Stock Trading in Quantitative Finance","title-short":"FinRL","URL":"https://www.ssrn.com/abstract=3737859","author":[{"family":"Liu","given":"Xiao-Yang"},{"family":"Yang","given":"Hongyang"},{"family":"Chen","given":"Qian"},{"family":"Zhang","given":"Runjia"},{"family":"Yang","given":"Liuqing"},{"family":"Xiao","given":"Bowen"},{"family":"Wang","given":"Christina"}],"accessed":{"date-parts":[["2024",4,28]]},"issued":{"date-parts":[["2020"]]}}}],"schema":"https://github.com/citation-style-language/schema/raw/master/csl-citation.json"} </w:instrText>
      </w:r>
      <w:r w:rsidR="009B499C">
        <w:fldChar w:fldCharType="separate"/>
      </w:r>
      <w:r w:rsidR="00C7426F" w:rsidRPr="00C7426F">
        <w:t>(Liu et al., 2020)</w:t>
      </w:r>
      <w:r w:rsidR="009B499C">
        <w:fldChar w:fldCharType="end"/>
      </w:r>
      <w:r w:rsidRPr="00655BB0">
        <w:t xml:space="preserve"> further standardized RL environments and enabled broader evaluation of DRL algorithms—including DQN, DDPG, and PPO—on realistic financial tasks. Among these, Proximal Policy Optimization (PPO) </w:t>
      </w:r>
      <w:r w:rsidR="009B499C">
        <w:t xml:space="preserve">introduced by </w:t>
      </w:r>
      <w:r w:rsidR="009B499C">
        <w:fldChar w:fldCharType="begin"/>
      </w:r>
      <w:r w:rsidR="00C7426F">
        <w:instrText xml:space="preserve"> ADDIN ZOTERO_ITEM CSL_CITATION {"citationID":"rrLEo75z","properties":{"formattedCitation":"(Schulman et al., 2017)","plainCitation":"(Schulman et al., 2017)","noteIndex":0},"citationItems":[{"id":907,"uris":["http://zotero.org/users/5952202/items/6YWRJFUG"],"itemData":{"id":907,"type":"article","abstract":"We propose a new family of policy gradient methods for reinforcement learning, which alternate between sampling data through interaction with the environment, and optimizing a \"surrogate\" objective function using stochastic gradient ascent. Whereas standard policy gradient methods perform one gradient update per data sample, we propose a novel objective function that enables multiple epochs of minibatch updates. The new methods, which we call proximal policy optimization (PPO), have some of the benefits of trust region policy optimization (TRPO), but they are much simpler to implement, more general, and have better sample complexity (empirically). Our experiments test PPO on a collection of benchmark tasks, including simulated robotic locomotion and Atari game playing, and we show that PPO outperforms other online policy gradient methods, and overall strikes a favorable balance between sample complexity, simplicity, and wall-time.","DOI":"10.48550/arXiv.1707.06347","note":"arXiv:1707.06347 [cs]","number":"arXiv:1707.06347","publisher":"arXiv","source":"arXiv.org","title":"Proximal Policy Optimization Algorithms","URL":"http://arxiv.org/abs/1707.06347","author":[{"family":"Schulman","given":"John"},{"family":"Wolski","given":"Filip"},{"family":"Dhariwal","given":"Prafulla"},{"family":"Radford","given":"Alec"},{"family":"Klimov","given":"Oleg"}],"accessed":{"date-parts":[["2025",11,17]]},"issued":{"date-parts":[["2017",8,28]]}}}],"schema":"https://github.com/citation-style-language/schema/raw/master/csl-citation.json"} </w:instrText>
      </w:r>
      <w:r w:rsidR="009B499C">
        <w:fldChar w:fldCharType="separate"/>
      </w:r>
      <w:r w:rsidR="00C7426F" w:rsidRPr="00C7426F">
        <w:t>(Schulman et al., 2017)</w:t>
      </w:r>
      <w:r w:rsidR="009B499C">
        <w:fldChar w:fldCharType="end"/>
      </w:r>
      <w:r w:rsidR="009B499C">
        <w:t xml:space="preserve"> </w:t>
      </w:r>
      <w:r w:rsidRPr="00655BB0">
        <w:t xml:space="preserve">has emerged as a leading approach due to its training stability and robustness in noisy, nonstationary markets. More recent studies </w:t>
      </w:r>
      <w:r w:rsidR="007E1F68">
        <w:t xml:space="preserve">from </w:t>
      </w:r>
      <w:r w:rsidR="007E1F68">
        <w:fldChar w:fldCharType="begin"/>
      </w:r>
      <w:r w:rsidR="00C7426F">
        <w:instrText xml:space="preserve"> ADDIN ZOTERO_ITEM CSL_CITATION {"citationID":"Lvts95lf","properties":{"formattedCitation":"(Choudhary et al., 2025; Gao et al., 2023)","plainCitation":"(Choudhary et al., 2025; Gao et al., 2023)","noteIndex":0},"citationItems":[{"id":912,"uris":["http://zotero.org/users/5952202/items/7RF7TZAA"],"itemData":{"id":912,"type":"article-journal","abstract":"Portfolio optimization is a widely studied topic in quantitative finance. Recent advances in portfolio optimization have shown promising capabilities of deep reinforcement learning algorithms to dynamically allocate funds across various potential assets to meet the objectives of prospective investors. The reward function plays a crucial role in providing feedback to the agent and shaping its behavior to attain the desired goals. However, choosing an optimal reward function poses a significant challenge for risk-averse investors aiming to maximize returns while minimizing risk or pursuing multiple investment objectives. In this study, we attempt to develop a risk-adjusted deep reinforcement learning (RA-DRL) approach leveraging three DRL agents trained using distinct reward functions, namely, log returns, differential Sharpe ratio, and maximum drawdown to develop a unified policy that incorporates the essence of these individual agents. The actions generated by these agents are then fused by employing a convolutional neural network to provide a single risk-adjusted action. Instead of relying solely on a singular reward function, our approach integrates three different functions aiming at diverse objectives. The proposed approach is tested on daily data of four real-world stock market instances: Sensex, Dow, TWSE, and IBEX. The experimental results demonstrate the superiority of our proposed approach based on several risk and return performance metrics when compared with base DRL agents and benchmark methods.","container-title":"International Journal of Computational Intelligence Systems","DOI":"10.1007/s44196-025-00875-8","ISSN":"1875-6883","issue":"1","journalAbbreviation":"Int J Comput Intell Syst","language":"en","page":"126","source":"Springer Link","title":"Risk-Adjusted Deep Reinforcement Learning for Portfolio Optimization: A Multi-reward Approach","title-short":"Risk-Adjusted Deep Reinforcement Learning for Portfolio Optimization","volume":"18","author":[{"family":"Choudhary","given":"Himanshu"},{"family":"Orra","given":"Arishi"},{"family":"Sahoo","given":"Kartik"},{"family":"Thakur","given":"Manoj"}],"issued":{"date-parts":[["2025",5,26]]}}},{"id":911,"uris":["http://zotero.org/users/5952202/items/L99GVMTJ"],"itemData":{"id":911,"type":"paper-conference","abstract":"Typical RL-for-finance solutions directly optimize trading policies over the noisy market data, such as stock prices and trading volumes, without explicitly considering the future trends and correlations of different investment assets as we humans do. In this paper, we present StockFormer, a hybrid trading machine that integrates the forward modeling capabilities of predictive coding with the advantages of RL agents in policy flexibility. The predictive coding part consists of three Transformer branches with modified structures, which respectively extract effective latent states of long-/short-term future dynamics and asset relations. The RL agent adaptively fuses these states and then executes an actor-critic algorithm in the unified state space. The entire model is jointly trained by propagating the critic’s gradients back to the predictive coding module. StockFormer significantly outperforms existing approaches across three publicly available financial datasets in terms of portfolio returns and Sharpe ratios.","container-title":"Proceedings of the Thirty-Second International Joint Conference on Artificial Intelligence","DOI":"10.24963/ijcai.2023/530","event-place":"Macau, SAR China","event-title":"Thirty-Second International Joint Conference on Artificial Intelligence {IJCAI-23}","ISBN":"978-1-956792-03-4","language":"en","page":"4766-4774","publisher":"International Joint Conferences on Artificial Intelligence Organization","publisher-place":"Macau, SAR China","source":"DOI.org (Crossref)","title":"StockFormer: Learning Hybrid Trading Machines with Predictive Coding","title-short":"StockFormer","URL":"https://www.ijcai.org/proceedings/2023/530","author":[{"family":"Gao","given":"Siyu"},{"family":"Wang","given":"Yunbo"},{"family":"Yang","given":"Xiaokang"}],"accessed":{"date-parts":[["2025",11,18]]},"issued":{"date-parts":[["2023",8]]}}}],"schema":"https://github.com/citation-style-language/schema/raw/master/csl-citation.json"} </w:instrText>
      </w:r>
      <w:r w:rsidR="007E1F68">
        <w:fldChar w:fldCharType="separate"/>
      </w:r>
      <w:r w:rsidR="00C7426F" w:rsidRPr="00C7426F">
        <w:t>(Choudhary et al., 2025; Gao et al., 2023)</w:t>
      </w:r>
      <w:r w:rsidR="007E1F68">
        <w:fldChar w:fldCharType="end"/>
      </w:r>
      <w:r w:rsidR="007E1F68">
        <w:t xml:space="preserve"> </w:t>
      </w:r>
      <w:r w:rsidRPr="00655BB0">
        <w:t>combine transformer architectures, multi-agent ensembles, and regime-switching RL systems to improve performance and tail-risk control across varying market conditions</w:t>
      </w:r>
    </w:p>
    <w:p w14:paraId="15659F6C" w14:textId="67C494C0" w:rsidR="005E292B" w:rsidRDefault="00655BB0" w:rsidP="00655BB0">
      <w:pPr>
        <w:pStyle w:val="MDPI31text"/>
        <w:rPr>
          <w:rFonts w:eastAsiaTheme="minorEastAsia"/>
          <w:lang w:eastAsia="zh-CN"/>
        </w:rPr>
      </w:pPr>
      <w:r w:rsidRPr="00655BB0">
        <w:t xml:space="preserve">Despite these advances, most DRL frameworks remain end-to-end systems that map raw historical features directly to portfolio weights. Such approaches obscure the separation between prediction and action, making the resulting policies difficult to interpret and challenging to constrain in ways consistent with economic intuition or risk governance. Moreover, end-to-end DRL often does not incorporate explicit tail-risk penalties or </w:t>
      </w:r>
      <w:r w:rsidRPr="00655BB0">
        <w:lastRenderedPageBreak/>
        <w:t>structural information about return predictability—despite evidence that ML-based forecasts contain valuable cross-sectional and time-series signals. These limitations motivate hybrid architectures, such as the hierarchical design proposed in this study, that combine predictive modeling with DRL-based decision rules while embedding risk-sensitive objectives throughout the learning process.</w:t>
      </w:r>
    </w:p>
    <w:p w14:paraId="77EF8A93" w14:textId="5267810E" w:rsidR="00655BB0" w:rsidRPr="00500DA3" w:rsidRDefault="00655BB0" w:rsidP="00655BB0">
      <w:pPr>
        <w:pStyle w:val="MDPI22heading2"/>
        <w:spacing w:before="240"/>
        <w:rPr>
          <w:noProof w:val="0"/>
        </w:rPr>
      </w:pPr>
      <w:r w:rsidRPr="00500DA3">
        <w:rPr>
          <w:noProof w:val="0"/>
        </w:rPr>
        <w:t>2.</w:t>
      </w:r>
      <w:r>
        <w:rPr>
          <w:noProof w:val="0"/>
        </w:rPr>
        <w:t>3</w:t>
      </w:r>
      <w:r w:rsidRPr="00500DA3">
        <w:rPr>
          <w:noProof w:val="0"/>
        </w:rPr>
        <w:t xml:space="preserve">. </w:t>
      </w:r>
      <w:r w:rsidRPr="00655BB0">
        <w:rPr>
          <w:noProof w:val="0"/>
        </w:rPr>
        <w:t>Explainable AI and Interpretable Decision-Making</w:t>
      </w:r>
    </w:p>
    <w:p w14:paraId="4151E2AA" w14:textId="6D6CB5F5" w:rsidR="00655BB0" w:rsidRPr="00655BB0" w:rsidRDefault="00655BB0" w:rsidP="00655BB0">
      <w:pPr>
        <w:pStyle w:val="MDPI31text"/>
      </w:pPr>
      <w:r w:rsidRPr="00655BB0">
        <w:t>As ML and DRL models become increasingly complex, the need for interpretability has grown correspondingly, especially in financial contexts where decisions carry material economic and regulatory implications. Black-box models offer limited visibility into why specific trades or portfolio adjustments are made, raising concerns for risk oversight, model validation, and institutional adoption. Explainable AI (XAI) techniques address this challenge by providing structured methods to decompose model outputs into economically meaningful components.</w:t>
      </w:r>
    </w:p>
    <w:p w14:paraId="0560A2EB" w14:textId="1F6BAAB5" w:rsidR="00655BB0" w:rsidRPr="00655BB0" w:rsidRDefault="00655BB0" w:rsidP="00655BB0">
      <w:pPr>
        <w:pStyle w:val="MDPI31text"/>
      </w:pPr>
      <w:r w:rsidRPr="00655BB0">
        <w:t xml:space="preserve">SHAP (Shapley Additive Explanations) has emerged as one of the most widely adopted XAI tools in finance. Based on cooperative game theory, SHAP </w:t>
      </w:r>
      <w:r w:rsidR="0047201E">
        <w:t xml:space="preserve">proposed by </w:t>
      </w:r>
      <w:r w:rsidR="00C7426F">
        <w:fldChar w:fldCharType="begin"/>
      </w:r>
      <w:r w:rsidR="00924FD9">
        <w:instrText xml:space="preserve"> ADDIN ZOTERO_ITEM CSL_CITATION {"citationID":"085k6mTV","properties":{"formattedCitation":"(S. Lundberg &amp; Lee, 2017)","plainCitation":"(S. Lundberg &amp; Lee, 2017)","noteIndex":0},"citationItems":[{"id":887,"uris":["http://zotero.org/users/5952202/items/WLTQ5Z4E"],"itemData":{"id":887,"type":"article","abstract":"Understanding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11,17]]},"issued":{"date-parts":[["2017",11,25]]}}}],"schema":"https://github.com/citation-style-language/schema/raw/master/csl-citation.json"} </w:instrText>
      </w:r>
      <w:r w:rsidR="00C7426F">
        <w:fldChar w:fldCharType="separate"/>
      </w:r>
      <w:r w:rsidR="00924FD9" w:rsidRPr="00924FD9">
        <w:t>(S. Lundberg &amp; Lee, 2017)</w:t>
      </w:r>
      <w:r w:rsidR="00C7426F">
        <w:fldChar w:fldCharType="end"/>
      </w:r>
      <w:r w:rsidR="00C7426F">
        <w:t xml:space="preserve"> </w:t>
      </w:r>
      <w:r w:rsidRPr="00655BB0">
        <w:t>provides consistent, locally accurate attributions that quantify each feature’s marginal contribution to a given prediction. This capability aligns naturally with factor-based reasoning in asset pricing. Applying SHAP to ML return-prediction models allows researchers and practitioners to identify whether forecasted returns are driven by momentum, valuation, quality, macro factors, or other economic variables. Such interpretability is essential for integrating ML-generated signals into risk-managed decision frameworks.</w:t>
      </w:r>
    </w:p>
    <w:p w14:paraId="085178EB" w14:textId="3F68ABF7" w:rsidR="00655BB0" w:rsidRPr="00655BB0" w:rsidRDefault="00655BB0" w:rsidP="00655BB0">
      <w:pPr>
        <w:pStyle w:val="MDPI31text"/>
      </w:pPr>
      <w:r w:rsidRPr="00655BB0">
        <w:t>Recent research demonstrates how XAI can be integrated directly into trading and portfolio management systems.</w:t>
      </w:r>
      <w:r w:rsidR="00C7426F">
        <w:t xml:space="preserve"> </w:t>
      </w:r>
      <w:r w:rsidR="00C7426F">
        <w:fldChar w:fldCharType="begin"/>
      </w:r>
      <w:r w:rsidR="00C7426F">
        <w:instrText xml:space="preserve"> ADDIN ZOTERO_ITEM CSL_CITATION {"citationID":"fDpRyIsl","properties":{"formattedCitation":"(de-la-Rica-Escudero et al., 2025)","plainCitation":"(de-la-Rica-Escudero et al., 2025)","noteIndex":0},"citationItems":[{"id":918,"uris":["http://zotero.org/users/5952202/items/5UYN5X7R"],"itemData":{"id":918,"type":"article-journal","abstract":"Financial portfolio management investment policies computed quantitatively by modern portfolio theory techniques like the Markowitz model rely on a set of assumptions that are not supported by data in high volatility markets such as the technological sector or cryptocurrencies. Hence, quantitative researchers are looking for alternative models to tackle this problem. Concretely, portfolio management (PM) is a problem that has been successfully addressed recently by Deep Reinforcement Learning (DRL) approaches. In particular, DRL algorithms train an agent by estimating the distribution of the expected reward of every action performed by an agent given any financial state in a simulator, also called gymnasium. However, these methods rely on Deep Neural Networks model to represent such a distribution, that although they are universal approximator models, capable of representing this distribution over time, they cannot explain its behaviour, given by a set of parameters that are not interpretable. Critically, financial investors policies require predictions to be interpretable, to assess whether they follow a reasonable behaviour, so DRL agents are not suited to follow a particular policy or explain their actions. In this work, driven by the motivation of making DRL explainable, we developed a novel Explainable DRL (XDRL) approach for PM, integrating the Proximal Policy Optimization (PPO) DRL algorithm with the model agnostic explainable machine learning techniques of feature importance, SHAP and LIME to enhance transparency in prediction time. By executing our methodology, we can interpret in prediction time the actions of the agent to assess whether they follow the requisites of an investment policy or to assess the risk of following the agent’s suggestions. We empirically illustrate it by successfully identifying key features influencing investment decisions, which demonstrate the ability to explain the agent actions in prediction time. We propose the first explainable post hoc PM financial policy of a DRL agent.","container-title":"PLOS ONE","DOI":"10.1371/journal.pone.0315528","ISSN":"1932-6203","issue":"1","journalAbbreviation":"PLOS ONE","language":"en","note":"publisher: Public Library of Science","page":"e0315528","source":"PLoS Journals","title":"Explainable post hoc portfolio management financial policy of a Deep Reinforcement Learning agent","volume":"20","author":[{"family":"Escudero","given":"Alejandra","non-dropping-particle":"de-la-Rica-"},{"family":"Garrido-Merchán","given":"Eduardo C."},{"family":"Coronado-Vaca","given":"María"}],"issued":{"date-parts":[["2025",1,16]]}}}],"schema":"https://github.com/citation-style-language/schema/raw/master/csl-citation.json"} </w:instrText>
      </w:r>
      <w:r w:rsidR="00C7426F">
        <w:fldChar w:fldCharType="separate"/>
      </w:r>
      <w:r w:rsidR="00C7426F" w:rsidRPr="00C7426F">
        <w:t>(de-la-Rica-Escudero et al., 2025)</w:t>
      </w:r>
      <w:r w:rsidR="00C7426F">
        <w:fldChar w:fldCharType="end"/>
      </w:r>
      <w:r w:rsidRPr="00655BB0">
        <w:t xml:space="preserve"> develop an explainable DRL framework in which SHAP and LIME provide real-time attributions for the agent’s actions, allowing practitioners to verify that portfolio adjustments remain economically sensible under varying market conditions</w:t>
      </w:r>
      <w:r w:rsidR="00C7426F">
        <w:t xml:space="preserve">. </w:t>
      </w:r>
      <w:r w:rsidR="00C7426F">
        <w:fldChar w:fldCharType="begin"/>
      </w:r>
      <w:r w:rsidR="00C7426F">
        <w:instrText xml:space="preserve"> ADDIN ZOTERO_ITEM CSL_CITATION {"citationID":"9xnQB1qZ","properties":{"formattedCitation":"(Sun et al., 2024)","plainCitation":"(Sun et al., 2024)","noteIndex":0},"citationItems":[{"id":920,"uris":["http://zotero.org/users/5952202/items/3NBN55ZM"],"itemData":{"id":920,"type":"article-journal","abstract":"Portfolio optimization is an active management strategy that aims to maximize returns and control risk within reasonable limits. The Proximal Policy Optimization (PPO), a robust on-policy actor-critic deep reinforcement learning (DRL) model, is gaining popularity in portfolio optimization because it can help reduce emotional biases and take systematic investment actions. However, some research has found that the PPO model cannot achieve such remarkable performance in portfolio optimization as in games or robot control. In this paper, a novel GraphSAGE and DRL coupled model (GRL) is proposed to improve the architecture of the PPO agent by introducing a GraphSAGE-based feature extractor to capture the complex non-Euclidean relationships among market indexes, industry indexes and stocks. In addition, the explainable model SHAP is used to select a few but important features for GRL learning, and a method for generating a static financial graph is defined. This improves the robustness and training efficiency of the GRL model. We provide a holistic performance evaluation for GRL on three datasets using five metrics, i.e., Return On Investment (ROI), Sharpe Ratio, Sortino Ratio, Maximum Drawdown, and Calmar Ratio. The results show that the GRL model outperforms the Equal Weight strategy and the S&amp;P 500 index. In addition, the results of the comparative analysis show that the Share-Extractor GRL and the Separate-Extractor GRL significantly outperform the PPO baseline without a feature extractor. This implies that integrating a GraphSAGE-based feature extractor into the PPO agent can improve its performance and robustness in portfolio optimization tasks.","container-title":"Expert Systems with Applications","DOI":"10.1016/j.eswa.2023.122027","ISSN":"0957-4174","journalAbbreviation":"Expert Systems with Applications","page":"122027","source":"ScienceDirect","title":"GraphSAGE with deep reinforcement learning for financial portfolio optimization","volume":"238","author":[{"family":"Sun","given":"Qiguo"},{"family":"Wei","given":"Xueying"},{"family":"Yang","given":"Xibei"}],"issued":{"date-parts":[["2024",3,15]]}}}],"schema":"https://github.com/citation-style-language/schema/raw/master/csl-citation.json"} </w:instrText>
      </w:r>
      <w:r w:rsidR="00C7426F">
        <w:fldChar w:fldCharType="separate"/>
      </w:r>
      <w:r w:rsidR="00C7426F" w:rsidRPr="00C7426F">
        <w:t>(Sun et al., 2024)</w:t>
      </w:r>
      <w:r w:rsidR="00C7426F">
        <w:fldChar w:fldCharType="end"/>
      </w:r>
      <w:r w:rsidRPr="00655BB0">
        <w:t xml:space="preserve"> incorporate SHAP-based feature selection within a </w:t>
      </w:r>
      <w:proofErr w:type="spellStart"/>
      <w:r w:rsidRPr="00655BB0">
        <w:t>GraphSAGE</w:t>
      </w:r>
      <w:proofErr w:type="spellEnd"/>
      <w:r w:rsidRPr="00655BB0">
        <w:t>–PPO trading model, improving both training efficiency and out-of-sample performance by filtering out low-value inputs. Beyond model predictions, XAI has also informed portfolio-level analysis</w:t>
      </w:r>
      <w:r w:rsidR="00C7426F">
        <w:t xml:space="preserve"> which utilizes</w:t>
      </w:r>
      <w:r w:rsidRPr="00655BB0">
        <w:t xml:space="preserve"> Shapley-value </w:t>
      </w:r>
      <w:r w:rsidR="00C7426F">
        <w:t xml:space="preserve">for </w:t>
      </w:r>
      <w:r w:rsidRPr="00655BB0">
        <w:t xml:space="preserve">risk decompositions </w:t>
      </w:r>
      <w:r w:rsidR="00C7426F">
        <w:t xml:space="preserve">to </w:t>
      </w:r>
      <w:r w:rsidRPr="00655BB0">
        <w:t>quantify each asset’s contribution to overall portfolio variance and expected return, offering transparent assessments of diversification and marginal risk contribution</w:t>
      </w:r>
      <w:r w:rsidR="00C7426F">
        <w:t xml:space="preserve"> </w:t>
      </w:r>
      <w:r w:rsidR="00C7426F">
        <w:fldChar w:fldCharType="begin"/>
      </w:r>
      <w:r w:rsidR="00C7426F">
        <w:instrText xml:space="preserve"> ADDIN ZOTERO_ITEM CSL_CITATION {"citationID":"XDCw0Ea4","properties":{"formattedCitation":"(Shalit, 2021)","plainCitation":"(Shalit, 2021)","noteIndex":0},"citationItems":[{"id":924,"uris":["http://zotero.org/users/5952202/items/DN9MWQX8"],"itemData":{"id":924,"type":"article-journal","abstract":"Investors want the ability to evaluate the true and complete risk of the financial assets held in a portfolio. Yet, the current analytic methods provide only partial risk measures. I suggest that, by viewing a portfolio of securities as a cooperative game played by the assets that minimize portfolio risk, investors can calculate the exact value, each security contributes to the common payoff of the game, which is known as the Shapley value. It is determined by computing the contribution of each asset to the portfolio risk by looking at all the possible coalitions in which the asset would participate. I develop this concept in order to decompose the risk of mean-variance and mean-Gini efficient portfolios. This decomposition gives us a better rank of assets by their comprehensive contribution to the risk of optimal portfolios. Such a procedure allows investors to make unbiased decisions when they analyze the inherent risk of their holdings. The Shapley value is calculated for index classes and the empirical results based on asset allocation data are contrary to some of the findings of conventional wisdom and beta analysis.","container-title":"Annals of Finance","DOI":"10.1007/s10436-020-00380-2","ISSN":"1614-2454","issue":"1","journalAbbreviation":"Ann Finance","language":"en","page":"1-25","source":"Springer Link","title":"The Shapley value decomposition of optimal portfolios","volume":"17","author":[{"family":"Shalit","given":"Haim"}],"issued":{"date-parts":[["2021",3,1]]}}}],"schema":"https://github.com/citation-style-language/schema/raw/master/csl-citation.json"} </w:instrText>
      </w:r>
      <w:r w:rsidR="00C7426F">
        <w:fldChar w:fldCharType="separate"/>
      </w:r>
      <w:r w:rsidR="00C7426F" w:rsidRPr="00C7426F">
        <w:t>(Shalit, 2021)</w:t>
      </w:r>
      <w:r w:rsidR="00C7426F">
        <w:fldChar w:fldCharType="end"/>
      </w:r>
      <w:r w:rsidRPr="00655BB0">
        <w:t xml:space="preserve">. Industry practitioners have embraced these tools as well. For example, </w:t>
      </w:r>
      <w:r w:rsidR="00CF1FFA">
        <w:fldChar w:fldCharType="begin"/>
      </w:r>
      <w:r w:rsidR="00CF1FFA">
        <w:instrText xml:space="preserve"> ADDIN ZOTERO_ITEM CSL_CITATION {"citationID":"7HprQVvT","properties":{"formattedCitation":"(Man Group, 2023)","plainCitation":"(Man Group, 2023)","noteIndex":0},"citationItems":[{"id":928,"uris":["http://zotero.org/users/5952202/items/LNKL9T4P"],"itemData":{"id":928,"type":"webpage","abstract":"Little progress has been made to date to leverage machine learning models for factor portfolio attribution. We explain where and how systematic investors can find granular, local explanations of performance.","language":"en-us","title":"Shining Light into the Machine Learning Black Box","URL":"https://www.man.com/insights/shining-light-machine-learning","author":[{"family":"Man Group","given":""}],"accessed":{"date-parts":[["2025",11,18]]},"issued":{"date-parts":[["2023",8,23]]}}}],"schema":"https://github.com/citation-style-language/schema/raw/master/csl-citation.json"} </w:instrText>
      </w:r>
      <w:r w:rsidR="00CF1FFA">
        <w:fldChar w:fldCharType="separate"/>
      </w:r>
      <w:r w:rsidR="00CF1FFA" w:rsidRPr="00CF1FFA">
        <w:t>(Man Group, 2023)</w:t>
      </w:r>
      <w:r w:rsidR="00CF1FFA">
        <w:fldChar w:fldCharType="end"/>
      </w:r>
      <w:r w:rsidR="00CF1FFA">
        <w:t xml:space="preserve"> </w:t>
      </w:r>
      <w:r w:rsidRPr="00655BB0">
        <w:t>used SHAP to unpack a proprietary ML trading strategy, revealing that its decisions were anchored in intuitive factor exposures despite the model’s complex architecture.</w:t>
      </w:r>
    </w:p>
    <w:p w14:paraId="2A17633A" w14:textId="27BBE3D8" w:rsidR="0079518F" w:rsidRDefault="00655BB0" w:rsidP="0079518F">
      <w:pPr>
        <w:pStyle w:val="MDPI31text"/>
      </w:pPr>
      <w:r w:rsidRPr="00655BB0">
        <w:t>Our framework builds on these insights by embedding interpretability at the core of the learning architecture. Return forecasts generated by gradient-boosted trees are accompanied by SHAP-based factor attributions, which are passed directly into the DRL agent. This design ensures that the policy’s decisions are grounded in transparent, economically interpretable signals rather than opaque representations extracted from raw market data. By integrating explainability into both the predictive and decision-making stages, the proposed hierarchical framework enhances accountability, improves risk management, and supports the practical deployment of ML-driven portfolio strategies in institutional settings.</w:t>
      </w:r>
      <w:r w:rsidR="0079518F">
        <w:t xml:space="preserve"> </w:t>
      </w:r>
    </w:p>
    <w:p w14:paraId="31CE5CD7" w14:textId="77777777" w:rsidR="0079518F" w:rsidRPr="00500DA3" w:rsidRDefault="0079518F" w:rsidP="0079518F">
      <w:pPr>
        <w:pStyle w:val="MDPI22heading2"/>
        <w:spacing w:before="240"/>
        <w:rPr>
          <w:noProof w:val="0"/>
        </w:rPr>
      </w:pPr>
      <w:r w:rsidRPr="00500DA3">
        <w:rPr>
          <w:noProof w:val="0"/>
        </w:rPr>
        <w:t>2.</w:t>
      </w:r>
      <w:r>
        <w:rPr>
          <w:noProof w:val="0"/>
        </w:rPr>
        <w:t>3</w:t>
      </w:r>
      <w:r w:rsidRPr="00500DA3">
        <w:rPr>
          <w:noProof w:val="0"/>
        </w:rPr>
        <w:t xml:space="preserve">. </w:t>
      </w:r>
      <w:r w:rsidRPr="00655BB0">
        <w:rPr>
          <w:noProof w:val="0"/>
        </w:rPr>
        <w:t>Explainable AI and Interpretable Decision-Making</w:t>
      </w:r>
    </w:p>
    <w:p w14:paraId="4DB55F46" w14:textId="26217C86" w:rsidR="000604F0" w:rsidRDefault="000604F0" w:rsidP="000604F0">
      <w:pPr>
        <w:pStyle w:val="MDPI31text"/>
      </w:pPr>
      <w:r>
        <w:t xml:space="preserve">The strands of research reviewed above—classical portfolio optimization and risk management, machine learning and deep reinforcement learning for trading, and explainable AI—have each advanced portfolio management in important ways but do not yet </w:t>
      </w:r>
      <w:r>
        <w:lastRenderedPageBreak/>
        <w:t>form a cohesive framework for dynamic, risk-aware, and interpretable allocation. Classical mean–variance and multifactor models, including their robust extensions, provide clear theoretical benchmarks and practical tools for incorporating downside risk and estimation uncertainty (e.g., CVaR-based optimization, Black–</w:t>
      </w:r>
      <w:proofErr w:type="spellStart"/>
      <w:r>
        <w:t>Litterman</w:t>
      </w:r>
      <w:proofErr w:type="spellEnd"/>
      <w:r>
        <w:t>, risk parity). However, they typically rely on static or slowly updated parameters and predetermined rebalancing rules, offering limited flexibility to adjust risk aversion, exposure, or trading frequency in response to rapidly changing market conditions.</w:t>
      </w:r>
    </w:p>
    <w:p w14:paraId="343D23CB" w14:textId="57A79A8F" w:rsidR="000604F0" w:rsidRDefault="000604F0" w:rsidP="000604F0">
      <w:pPr>
        <w:pStyle w:val="MDPI31text"/>
      </w:pPr>
      <w:r>
        <w:t xml:space="preserve">Machine learning methods, particularly nonlinear models such as gradient-boosted trees, random forests, and deep neural networks, have demonstrated substantial gains in return prediction by capturing complex, nonlinear, and regime-dependent patterns that traditional linear factor models cannot fully represent </w:t>
      </w:r>
      <w:r>
        <w:fldChar w:fldCharType="begin"/>
      </w:r>
      <w:r w:rsidR="00006D78">
        <w:instrText xml:space="preserve"> ADDIN ZOTERO_ITEM CSL_CITATION {"citationID":"jIirPcwL","properties":{"formattedCitation":"(L. Chen et al., 2024; Fischer &amp; Krauss, 2018; Gu et al., 2020; Kelly et al., 2019; Krauss et al., 2017)","plainCitation":"(L. Chen et al., 2024; Fischer &amp; Krauss, 2018; Gu et al., 2020; Kelly et al., 2019; Krauss et al., 2017)","noteIndex":0},"citationItems":[{"id":881,"uris":["http://zotero.org/users/5952202/items/U49FEDPU"],"itemData":{"id":881,"type":"article-journal","abstract":"We use deep neural networks to estimate an asset pricing model for individual stock returns that takes advantage of the vast amount of conditioning information, keeps a fully flexible form, and accounts for time variation. The key innovations are to use the fundamental no-arbitrage condition as criterion function to construct the most informative test assets with an adversarial approach and to extract the states of the economy from many macroeconomic time series. Our asset pricing model outperforms out-of-sample all benchmark approaches in terms of Sharpe ratio, explained variation, and pricing errors and identifies the key factors that drive asset prices.\n\nThis paper was accepted by Agostino Capponi, finance.\n\nSupplemental Material: The online appendix and data are available at https://doi.org/10.1287/mnsc.2023.4695.","container-title":"Management Science","DOI":"10.1287/mnsc.2023.4695","ISSN":"0025-1909","issue":"2","note":"publisher: INFORMS","page":"714-750","source":"pubsonline.informs.org (Atypon)","title":"Deep Learning in Asset Pricing","volume":"70","author":[{"family":"Chen","given":"Luyang"},{"family":"Pelger","given":"Markus"},{"family":"Zhu","given":"Jason"}],"issued":{"date-parts":[["2024",2]]}}},{"id":875,"uris":["http://zotero.org/users/5952202/items/894MKNGF"],"itemData":{"id":875,"type":"article-journal","abstract":"Long short-term memory (LSTM) networks are a state-of-the-art technique for sequence learning. They are less commonly applied to financial time series predictions, yet inherently suitable for this domain. We deploy LSTM networks for predicting out-of-sample directional movements for the constituent stocks of the S&amp;P 500 from 1992 until 2015. With daily returns of 0.46 percent and a Sharpe ratio of 5.8 prior to transaction costs, we find LSTM networks to outperform memory-free classification methods, i.e., a random forest (RAF), a deep neural net (DNN), and a logistic regression classifier (LOG). The outperformance relative to the general market is very clear from 1992 to 2009, but as of 2010, excess returns seem to have been arbitraged away with LSTM profitability fluctuating around zero after transaction costs. We further unveil sources of profitability, thereby shedding light into the black box of artificial neural networks. Specifically, we find one common pattern among the stocks selected for trading – they exhibit high volatility and a short-term reversal return profile. Leveraging these findings, we are able to formalize a rules-based short-term reversal strategy that yields 0.23 percent prior to transaction costs. Further regression analysis unveils low exposure of the LSTM returns to common sources of systematic risk – also compared to the three benchmark models.","container-title":"European Journal of Operational Research","DOI":"10.1016/j.ejor.2017.11.054","ISSN":"0377-2217","issue":"2","journalAbbreviation":"European Journal of Operational Research","page":"654-669","source":"ScienceDirect","title":"Deep learning with long short-term memory networks for financial market predictions","volume":"270","author":[{"family":"Fischer","given":"Thomas"},{"family":"Krauss","given":"Christopher"}],"issued":{"date-parts":[["2018",10,16]]}}},{"id":872,"uris":["http://zotero.org/users/5952202/items/52ZUCBNH"],"itemData":{"id":872,"type":"article-journal","abstract":"We perform a comparative analysis of machine learning methods for the canonical problem of empirical asset pricing: measuring asset risk premiums. We demonstrate large economic gains to investors using machine learning forecasts, in some cases doubling the performance of leading regression-based strategies from the literature. We identify the best-performing methods (trees and neural networks) and trace their predictive gains to allowing nonlinear predictor interactions missed by other methods. All methods agree on the same set of dominant predictive signals, a set that includes variations on momentum, liquidity, and volatility.Authors have furnished an Internet Appendix, which is available on the Oxford University Press Web site next to the link to the final published paper online.","container-title":"The Review of Financial Studies","DOI":"10.1093/rfs/hhaa009","ISSN":"0893-9454","issue":"5","journalAbbreviation":"Rev Financ Stud","page":"2223-2273","source":"Silverchair","title":"Empirical Asset Pricing via Machine Learning","volume":"33","author":[{"family":"Gu","given":"Shihao"},{"family":"Kelly","given":"Bryan"},{"family":"Xiu","given":"Dacheng"}],"issued":{"date-parts":[["2020",5,1]]}}},{"id":879,"uris":["http://zotero.org/users/5952202/items/3T43GTD5"],"itemData":{"id":879,"type":"article-journal","abstract":"We propose a new modeling approach for the cross section of returns. Our method, Instrumented Principal Component Analysis (IPCA), allows for latent factors and time-varying loadings by introducing observable characteristics that instrument for the unobservable dynamic loadings. If the characteristics/expected return relationship is driven by compensation for exposure to latent risk factors, IPCA will identify the corresponding latent factors. If no such factors exist, IPCA infers that the characteristic effect is compensation without risk and allocates it to an “anomaly” intercept. Studying returns and characteristics at the stock-level, we find that five IPCA factors explain the cross section of average returns significantly more accurately than existing factor models and produce characteristic-associated anomaly intercepts that are small and statistically insignificant. Furthermore, among a large collection of characteristics explored in the literature, only ten are statistically significant at the 1% level in the IPCA specification and are responsible for nearly 100% of the model’s accuracy.","container-title":"Journal of Financial Economics","DOI":"10.1016/j.jfineco.2019.05.001","ISSN":"0304-405X","issue":"3","journalAbbreviation":"Journal of Financial Economics","page":"501-524","source":"ScienceDirect","title":"Characteristics are covariances: A unified model of risk and return","title-short":"Characteristics are covariances","volume":"134","author":[{"family":"Kelly","given":"Bryan T."},{"family":"Pruitt","given":"Seth"},{"family":"Su","given":"Yinan"}],"issued":{"date-parts":[["2019",12,1]]}}},{"id":877,"uris":["http://zotero.org/users/5952202/items/I34X8UN3"],"itemData":{"id":877,"type":"article-journal","abstract":"In recent years, machine learning research has gained momentum: new developments in the field of deep learning allow for multiple levels of abstraction and are starting to supersede well-known and powerful tree-based techniques mainly operating on the original feature space. All these methods can be applied to various fields, including finance. This paper implements and analyzes the effectiveness of deep neural networks (DNN), gradient-boosted-trees (GBT), random forests (RAF), and several ensembles of these methods in the context of statistical arbitrage. Each model is trained on lagged returns of all stocks in the S&amp;P 500, after elimination of survivor bias. From 1992 to 2015, daily one-day-ahead trading signals are generated based on the probability forecast of a stock to outperform the general market. The highest k probabilities are converted into long and the lowest k probabilities into short positions, thus censoring the less certain middle part of the ranking. Empirical findings are promising. A simple, equal-weighted ensemble (ENS1) consisting of one deep neural network, one gradient-boosted tree, and one random forest produces out-of-sample returns exceeding 0.45 percent per day for k=10, prior to transaction costs. Irrespective of the fact that profits are declining in recent years, our findings pose a severe challenge to the semi-strong form of market efficiency.","container-title":"European Journal of Operational Research","DOI":"10.1016/j.ejor.2016.10.031","ISSN":"0377-2217","issue":"2","journalAbbreviation":"European Journal of Operational Research","page":"689-702","source":"ScienceDirect","title":"Deep neural networks, gradient-boosted trees, random forests: Statistical arbitrage on the S&amp;P 500","title-short":"Deep neural networks, gradient-boosted trees, random forests","volume":"259","author":[{"family":"Krauss","given":"Christopher"},{"family":"Do","given":"Xuan Anh"},{"family":"Huck","given":"Nicolas"}],"issued":{"date-parts":[["2017",6,1]]}}}],"schema":"https://github.com/citation-style-language/schema/raw/master/csl-citation.json"} </w:instrText>
      </w:r>
      <w:r>
        <w:fldChar w:fldCharType="separate"/>
      </w:r>
      <w:r w:rsidR="00006D78" w:rsidRPr="00006D78">
        <w:t>(L. Chen et al., 2024; Fischer &amp; Krauss, 2018; Gu et al., 2020; Kelly et al., 2019; Krauss et al., 2017)</w:t>
      </w:r>
      <w:r>
        <w:fldChar w:fldCharType="end"/>
      </w:r>
      <w:r>
        <w:t>. Nonetheless, most of this literature focuses either on forecasting accuracy or on relatively simple trading rules built around model scores. The question of how to integrate noisy predictive signals into a disciplined, optimization-based portfolio framework that explicitly accounts for tail risk, turnover, and concentration constraints remains only partially addressed.</w:t>
      </w:r>
    </w:p>
    <w:p w14:paraId="271C78C2" w14:textId="1CBFD140" w:rsidR="000604F0" w:rsidRDefault="000604F0" w:rsidP="000604F0">
      <w:pPr>
        <w:pStyle w:val="MDPI31text"/>
      </w:pPr>
      <w:r>
        <w:t xml:space="preserve">Deep reinforcement learning, in turn, provides a natural machinery for learning sequential allocation policies directly from data and for optimizing long-horizon performance criteria </w:t>
      </w:r>
      <w:r>
        <w:fldChar w:fldCharType="begin"/>
      </w:r>
      <w:r>
        <w:instrText xml:space="preserve"> ADDIN ZOTERO_ITEM CSL_CITATION {"citationID":"uTtas3F9","properties":{"formattedCitation":"(Almahdi &amp; Yang, 2017; Choudhary et al., 2025; Gao et al., 2023; Jiang et al., 2017; Liu et al., 2020; Moody et al., 1998; Schulman et al., 2017)","plainCitation":"(Almahdi &amp; Yang, 2017; Choudhary et al., 2025; Gao et al., 2023; Jiang et al., 2017; Liu et al., 2020; Moody et al., 1998; Schulman et al., 2017)","noteIndex":0},"citationItems":[{"id":894,"uris":["http://zotero.org/users/5952202/items/VUZ6WAPK"],"itemData":{"id":894,"type":"article-journal","abstract":"Dynamic control theory has long been used in solving optimal asset allocation problems, and a number of trading decision systems based on reinforcement learning methods have been applied in asset allocation and portfolio rebalancing. In this paper, we extend the existing work in recurrent reinforcement learning (RRL) and build an optimal variable weight portfolio allocation under a coherent downside risk measure, the expected maximum drawdown, E(MDD). In particular, we propose a recurrent reinforcement learning method, with a coherent risk adjusted performance objective function, the Calmar ratio, to obtain both buy and sell signals and asset allocation weights. Using a portfolio consisting of the most frequently traded exchange-traded funds, we show that the expected maximum drawdown risk based objective function yields superior return performance compared to previously proposed RRL objective functions (i.e. the Sharpe ratio and the Sterling ratio), and that variable weight RRL long/short portfolios outperform equal weight RRL long/short portfolios under different transaction cost scenarios. We further propose an adaptive E(MDD) risk based RRL portfolio rebalancing decision system with a transaction cost and market condition stop-loss retraining mechanism, and we show that the proposed portfolio trading system responds to transaction cost effects better and outperforms hedge fund benchmarks consistently.","container-title":"Expert Systems with Applications","DOI":"10.1016/j.eswa.2017.06.023","ISSN":"0957-4174","journalAbbreviation":"Expert Systems with Applications","page":"267-279","source":"ScienceDirect","title":"An adaptive portfolio trading system: A risk-return portfolio optimization using recurrent reinforcement learning with expected maximum drawdown","title-short":"An adaptive portfolio trading system","volume":"87","author":[{"family":"Almahdi","given":"Saud"},{"family":"Yang","given":"Steve Y."}],"issued":{"date-parts":[["2017",11,30]]}}},{"id":912,"uris":["http://zotero.org/users/5952202/items/7RF7TZAA"],"itemData":{"id":912,"type":"article-journal","abstract":"Portfolio optimization is a widely studied topic in quantitative finance. Recent advances in portfolio optimization have shown promising capabilities of deep reinforcement learning algorithms to dynamically allocate funds across various potential assets to meet the objectives of prospective investors. The reward function plays a crucial role in providing feedback to the agent and shaping its behavior to attain the desired goals. However, choosing an optimal reward function poses a significant challenge for risk-averse investors aiming to maximize returns while minimizing risk or pursuing multiple investment objectives. In this study, we attempt to develop a risk-adjusted deep reinforcement learning (RA-DRL) approach leveraging three DRL agents trained using distinct reward functions, namely, log returns, differential Sharpe ratio, and maximum drawdown to develop a unified policy that incorporates the essence of these individual agents. The actions generated by these agents are then fused by employing a convolutional neural network to provide a single risk-adjusted action. Instead of relying solely on a singular reward function, our approach integrates three different functions aiming at diverse objectives. The proposed approach is tested on daily data of four real-world stock market instances: Sensex, Dow, TWSE, and IBEX. The experimental results demonstrate the superiority of our proposed approach based on several risk and return performance metrics when compared with base DRL agents and benchmark methods.","container-title":"International Journal of Computational Intelligence Systems","DOI":"10.1007/s44196-025-00875-8","ISSN":"1875-6883","issue":"1","journalAbbreviation":"Int J Comput Intell Syst","language":"en","page":"126","source":"Springer Link","title":"Risk-Adjusted Deep Reinforcement Learning for Portfolio Optimization: A Multi-reward Approach","title-short":"Risk-Adjusted Deep Reinforcement Learning for Portfolio Optimization","volume":"18","author":[{"family":"Choudhary","given":"Himanshu"},{"family":"Orra","given":"Arishi"},{"family":"Sahoo","given":"Kartik"},{"family":"Thakur","given":"Manoj"}],"issued":{"date-parts":[["2025",5,26]]}}},{"id":911,"uris":["http://zotero.org/users/5952202/items/L99GVMTJ"],"itemData":{"id":911,"type":"paper-conference","abstract":"Typical RL-for-finance solutions directly optimize trading policies over the noisy market data, such as stock prices and trading volumes, without explicitly considering the future trends and correlations of different investment assets as we humans do. In this paper, we present StockFormer, a hybrid trading machine that integrates the forward modeling capabilities of predictive coding with the advantages of RL agents in policy flexibility. The predictive coding part consists of three Transformer branches with modified structures, which respectively extract effective latent states of long-/short-term future dynamics and asset relations. The RL agent adaptively fuses these states and then executes an actor-critic algorithm in the unified state space. The entire model is jointly trained by propagating the critic’s gradients back to the predictive coding module. StockFormer significantly outperforms existing approaches across three publicly available financial datasets in terms of portfolio returns and Sharpe ratios.","container-title":"Proceedings of the Thirty-Second International Joint Conference on Artificial Intelligence","DOI":"10.24963/ijcai.2023/530","event-place":"Macau, SAR China","event-title":"Thirty-Second International Joint Conference on Artificial Intelligence {IJCAI-23}","ISBN":"978-1-956792-03-4","language":"en","page":"4766-4774","publisher":"International Joint Conferences on Artificial Intelligence Organization","publisher-place":"Macau, SAR China","source":"DOI.org (Crossref)","title":"StockFormer: Learning Hybrid Trading Machines with Predictive Coding","title-short":"StockFormer","URL":"https://www.ijcai.org/proceedings/2023/530","author":[{"family":"Gao","given":"Siyu"},{"family":"Wang","given":"Yunbo"},{"family":"Yang","given":"Xiaokang"}],"accessed":{"date-parts":[["2025",11,18]]},"issued":{"date-parts":[["2023",8]]}}},{"id":896,"uris":["http://zotero.org/users/5952202/items/I6ZRULNN"],"itemData":{"id":896,"type":"article","abstract":"Financial portfolio management is the process of constant redistribution of a fund into different financial products. This paper presents a financial-model-free Reinforcement Learning framework to provide a deep machine learning solution to the portfolio management problem. The framework consists of the Ensemble of Identical Independent Evaluators (EIIE) topology, a Portfolio-Vector Memory (PVM), an Online Stochastic Batch Learning (OSBL) scheme, and a fully exploiting and explicit reward function. This framework is realized in three instants in this work with a Convolutional Neural Network (CNN), a basic Recurrent Neural Network (RNN), and a Long Short-Term Memory (LSTM). They are, along with a number of recently reviewed or published portfolio-selection strategies, examined in three back-test experiments with a trading period of 30 minutes in a cryptocurrency market. Cryptocurrencies are electronic and decentralized alternatives to government-issued money, with Bitcoin as the best-known example of a cryptocurrency. All three instances of the framework monopolize the top three positions in all experiments, outdistancing other compared trading algorithms. Although with a high commission rate of 0.25% in the backtests, the framework is able to achieve at least 4-fold returns in 50 days.","DOI":"10.48550/arXiv.1706.10059","note":"arXiv:1706.10059 [q-fin]","number":"arXiv:1706.10059","publisher":"arXiv","source":"arXiv.org","title":"A Deep Reinforcement Learning Framework for the Financial Portfolio Management Problem","URL":"http://arxiv.org/abs/1706.10059","author":[{"family":"Jiang","given":"Zhengyao"},{"family":"Xu","given":"Dixing"},{"family":"Liang","given":"Jinjun"}],"accessed":{"date-parts":[["2025",11,17]]},"issued":{"date-parts":[["2017",7,16]]}}},{"id":528,"uris":["http://zotero.org/users/5952202/items/2L4UL6CK"],"itemData":{"id":528,"type":"article-journal","abstract":"As deep reinforcement learning (DRL) has been recognized as an effective approach in quantitative finance, getting hands-on experiences is attractive to beginners. However, to train a practical DRL trading agent that decides where to trade, at what price, and what quantity involves error-prone and arduous development and debugging. In this paper, we introduce a DRL library FinRL that facilitates beginners to expose themselves to quantitative finance and to develop their own stock trading strategies. Along with easily-reproducible tutorials, FinRL library allows users to streamline their own developments and to compare with existing schemes easily. Within FinRL, virtual environments are configured with stock market datasets, trading agents are trained with neural networks, and extensive backtesting is analyzed via trading performance. Moreover, it incorporates important trading constraints such as transaction cost, market liquidity and the investor's degree of risk-aversion. FinRL is featured with completeness, hands-on tutorial and reproducibility that favors beginners: (i) at multiple levels of time granularity, FinRL simulates trading environments across various stock markets, including NASDAQ-100, DJIA, SP (ii) organized in a layered architecture with modular structure, FinRL provides fine-tuned state-of-the-art DRL algorithms (DQN, DDPG, PPO, SAC, A2C, TD3, etc.), commonly-used reward functions and standard evaluation baselines to alleviate the debugging workloads and promote the reproducibility, and (iii) being highly extendable, FinRL reserves a complete set of user-import interfaces. Furthermore, we incorporated three application demonstrations, namely single stock trading, multiple stock trading, and portfolio allocation. The FinRL library will be available on Github at link this https URL.","container-title":"SSRN Electronic Journal","DOI":"10.2139/ssrn.3737859","ISSN":"1556-5068","journalAbbreviation":"SSRN Journal","language":"en","source":"Semantic Scholar","title":"FinRL: A Deep Reinforcement Learning Library for Automated Stock Trading in Quantitative Finance","title-short":"FinRL","URL":"https://www.ssrn.com/abstract=3737859","author":[{"family":"Liu","given":"Xiao-Yang"},{"family":"Yang","given":"Hongyang"},{"family":"Chen","given":"Qian"},{"family":"Zhang","given":"Runjia"},{"family":"Yang","given":"Liuqing"},{"family":"Xiao","given":"Bowen"},{"family":"Wang","given":"Christina"}],"accessed":{"date-parts":[["2024",4,28]]},"issued":{"date-parts":[["2020"]]}}},{"id":539,"uris":["http://zotero.org/users/5952202/items/9CFIKUF2"],"itemData":{"id":539,"type":"article-journal","abstract":"We propose to train trading systems and portfolios by optimizing objective functions that directly measure trading and investment performance. Rather than basing a trading system on forecasts or training via a supervised learning algorithm using labelled trading data, we train our systems using recurrent reinforcement learning (RRL) algorithms. The performance functions that we consider for reinforcement learning are profit or wealth, economic utility, the Sharpe ratio and our proposed differential Sharpe ratio. The trading and portfolio management systems require prior decisions as input in order to properly take into account the effects of transactions costs, market impact, and taxes. This temporal dependence on system state requires the use of reinforcement versions of standard recurrent learning algorithms. We present empirical results in controlled experiments that demonstrate the efficacy of some of our methods for optimizing trading systems and portfolios. For a long/short trader, we find that maximizing the differential Sharpe ratio yields more consistent results than maximizing profits, and that both methods outperform a trading system based on forecasts that minimize MSE. We find that portfolio traders trained to maximize the differential Sharpe ratio achieve better risk-adjusted returns than those trained to maximize profit. Finally, we provide simulation results for an S&amp;P 500/TBill asset allocation system that demonstrate the presence of out-of-sample predictability in the monthly S&amp;P 500 stock index for the 25 year period 1970 through 1994. Copyright © 1998 John Wiley &amp; Sons, Ltd.","container-title":"Journal of Forecasting","DOI":"10.1002/(SICI)1099-131X(1998090)17:5/6&lt;441::AID-FOR707&gt;3.0.CO;2-#","ISSN":"0277-6693, 1099-131X","issue":"5-6","journalAbbreviation":"Journal of Forecasting","language":"en","license":"http://onlinelibrary.wiley.com/termsAndConditions#vor","page":"441-470","source":"Semantic Scholar","title":"Performance functions and reinforcement learning for trading systems and portfolios","volume":"17","author":[{"family":"Moody","given":"John"},{"family":"Wu","given":"Lizhong"},{"family":"Liao","given":"Yuansong"},{"family":"Saffell","given":"Matthew"}],"issued":{"date-parts":[["1998",9]]}}},{"id":907,"uris":["http://zotero.org/users/5952202/items/6YWRJFUG"],"itemData":{"id":907,"type":"article","abstract":"We propose a new family of policy gradient methods for reinforcement learning, which alternate between sampling data through interaction with the environment, and optimizing a \"surrogate\" objective function using stochastic gradient ascent. Whereas standard policy gradient methods perform one gradient update per data sample, we propose a novel objective function that enables multiple epochs of minibatch updates. The new methods, which we call proximal policy optimization (PPO), have some of the benefits of trust region policy optimization (TRPO), but they are much simpler to implement, more general, and have better sample complexity (empirically). Our experiments test PPO on a collection of benchmark tasks, including simulated robotic locomotion and Atari game playing, and we show that PPO outperforms other online policy gradient methods, and overall strikes a favorable balance between sample complexity, simplicity, and wall-time.","DOI":"10.48550/arXiv.1707.06347","note":"arXiv:1707.06347 [cs]","number":"arXiv:1707.06347","publisher":"arXiv","source":"arXiv.org","title":"Proximal Policy Optimization Algorithms","URL":"http://arxiv.org/abs/1707.06347","author":[{"family":"Schulman","given":"John"},{"family":"Wolski","given":"Filip"},{"family":"Dhariwal","given":"Prafulla"},{"family":"Radford","given":"Alec"},{"family":"Klimov","given":"Oleg"}],"accessed":{"date-parts":[["2025",11,17]]},"issued":{"date-parts":[["2017",8,28]]}}}],"schema":"https://github.com/citation-style-language/schema/raw/master/csl-citation.json"} </w:instrText>
      </w:r>
      <w:r>
        <w:fldChar w:fldCharType="separate"/>
      </w:r>
      <w:r w:rsidRPr="000604F0">
        <w:t>(Almahdi &amp; Yang, 2017; Choudhary et al., 2025; Gao et al., 2023; Jiang et al., 2017; Liu et al., 2020; Moody et al., 1998; Schulman et al., 2017)</w:t>
      </w:r>
      <w:r>
        <w:fldChar w:fldCharType="end"/>
      </w:r>
      <w:r>
        <w:t xml:space="preserve">. Yet most DRL applications in finance adopt an end-to-end design, mapping raw prices and technical indicators directly into portfolio weights. This entanglement of prediction and decision-making makes policies difficult to interpret, complicates the incorporation of structural information from asset-pricing models, and offers limited guarantees regarding downside-risk control or </w:t>
      </w:r>
      <w:proofErr w:type="spellStart"/>
      <w:r>
        <w:t>implementability</w:t>
      </w:r>
      <w:proofErr w:type="spellEnd"/>
      <w:r>
        <w:t xml:space="preserve"> under realistic trading frictions. Although some studies introduce penalties for volatility, drawdown, or turnover, systematic use of coherent risk measures such as CVaR within DRL frameworks remains relatively limited.</w:t>
      </w:r>
    </w:p>
    <w:p w14:paraId="6EE4676E" w14:textId="77571E4F" w:rsidR="000604F0" w:rsidRDefault="000604F0" w:rsidP="000604F0">
      <w:pPr>
        <w:pStyle w:val="MDPI31text"/>
      </w:pPr>
      <w:r>
        <w:t xml:space="preserve">Explainable AI techniques, and SHAP in particular, have begun to address the transparency of complex ML and DRL models by decomposing predictions and actions into contributions from economically meaningful features </w:t>
      </w:r>
      <w:r>
        <w:fldChar w:fldCharType="begin"/>
      </w:r>
      <w:r w:rsidR="00924FD9">
        <w:instrText xml:space="preserve"> ADDIN ZOTERO_ITEM CSL_CITATION {"citationID":"p91hhLFO","properties":{"formattedCitation":"(de-la-Rica-Escudero et al., 2025; S. Lundberg &amp; Lee, 2017; Man Group, 2023; Shalit, 2021; Sun et al., 2024)","plainCitation":"(de-la-Rica-Escudero et al., 2025; S. Lundberg &amp; Lee, 2017; Man Group, 2023; Shalit, 2021; Sun et al., 2024)","noteIndex":0},"citationItems":[{"id":918,"uris":["http://zotero.org/users/5952202/items/5UYN5X7R"],"itemData":{"id":918,"type":"article-journal","abstract":"Financial portfolio management investment policies computed quantitatively by modern portfolio theory techniques like the Markowitz model rely on a set of assumptions that are not supported by data in high volatility markets such as the technological sector or cryptocurrencies. Hence, quantitative researchers are looking for alternative models to tackle this problem. Concretely, portfolio management (PM) is a problem that has been successfully addressed recently by Deep Reinforcement Learning (DRL) approaches. In particular, DRL algorithms train an agent by estimating the distribution of the expected reward of every action performed by an agent given any financial state in a simulator, also called gymnasium. However, these methods rely on Deep Neural Networks model to represent such a distribution, that although they are universal approximator models, capable of representing this distribution over time, they cannot explain its behaviour, given by a set of parameters that are not interpretable. Critically, financial investors policies require predictions to be interpretable, to assess whether they follow a reasonable behaviour, so DRL agents are not suited to follow a particular policy or explain their actions. In this work, driven by the motivation of making DRL explainable, we developed a novel Explainable DRL (XDRL) approach for PM, integrating the Proximal Policy Optimization (PPO) DRL algorithm with the model agnostic explainable machine learning techniques of feature importance, SHAP and LIME to enhance transparency in prediction time. By executing our methodology, we can interpret in prediction time the actions of the agent to assess whether they follow the requisites of an investment policy or to assess the risk of following the agent’s suggestions. We empirically illustrate it by successfully identifying key features influencing investment decisions, which demonstrate the ability to explain the agent actions in prediction time. We propose the first explainable post hoc PM financial policy of a DRL agent.","container-title":"PLOS ONE","DOI":"10.1371/journal.pone.0315528","ISSN":"1932-6203","issue":"1","journalAbbreviation":"PLOS ONE","language":"en","note":"publisher: Public Library of Science","page":"e0315528","source":"PLoS Journals","title":"Explainable post hoc portfolio management financial policy of a Deep Reinforcement Learning agent","volume":"20","author":[{"family":"Escudero","given":"Alejandra","non-dropping-particle":"de-la-Rica-"},{"family":"Garrido-Merchán","given":"Eduardo C."},{"family":"Coronado-Vaca","given":"María"}],"issued":{"date-parts":[["2025",1,16]]}}},{"id":887,"uris":["http://zotero.org/users/5952202/items/WLTQ5Z4E"],"itemData":{"id":887,"type":"article","abstract":"Understanding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11,17]]},"issued":{"date-parts":[["2017",11,25]]}}},{"id":928,"uris":["http://zotero.org/users/5952202/items/LNKL9T4P"],"itemData":{"id":928,"type":"webpage","abstract":"Little progress has been made to date to leverage machine learning models for factor portfolio attribution. We explain where and how systematic investors can find granular, local explanations of performance.","language":"en-us","title":"Shining Light into the Machine Learning Black Box","URL":"https://www.man.com/insights/shining-light-machine-learning","author":[{"family":"Man Group","given":""}],"accessed":{"date-parts":[["2025",11,18]]},"issued":{"date-parts":[["2023",8,23]]}}},{"id":924,"uris":["http://zotero.org/users/5952202/items/DN9MWQX8"],"itemData":{"id":924,"type":"article-journal","abstract":"Investors want the ability to evaluate the true and complete risk of the financial assets held in a portfolio. Yet, the current analytic methods provide only partial risk measures. I suggest that, by viewing a portfolio of securities as a cooperative game played by the assets that minimize portfolio risk, investors can calculate the exact value, each security contributes to the common payoff of the game, which is known as the Shapley value. It is determined by computing the contribution of each asset to the portfolio risk by looking at all the possible coalitions in which the asset would participate. I develop this concept in order to decompose the risk of mean-variance and mean-Gini efficient portfolios. This decomposition gives us a better rank of assets by their comprehensive contribution to the risk of optimal portfolios. Such a procedure allows investors to make unbiased decisions when they analyze the inherent risk of their holdings. The Shapley value is calculated for index classes and the empirical results based on asset allocation data are contrary to some of the findings of conventional wisdom and beta analysis.","container-title":"Annals of Finance","DOI":"10.1007/s10436-020-00380-2","ISSN":"1614-2454","issue":"1","journalAbbreviation":"Ann Finance","language":"en","page":"1-25","source":"Springer Link","title":"The Shapley value decomposition of optimal portfolios","volume":"17","author":[{"family":"Shalit","given":"Haim"}],"issued":{"date-parts":[["2021",3,1]]}}},{"id":920,"uris":["http://zotero.org/users/5952202/items/3NBN55ZM"],"itemData":{"id":920,"type":"article-journal","abstract":"Portfolio optimization is an active management strategy that aims to maximize returns and control risk within reasonable limits. The Proximal Policy Optimization (PPO), a robust on-policy actor-critic deep reinforcement learning (DRL) model, is gaining popularity in portfolio optimization because it can help reduce emotional biases and take systematic investment actions. However, some research has found that the PPO model cannot achieve such remarkable performance in portfolio optimization as in games or robot control. In this paper, a novel GraphSAGE and DRL coupled model (GRL) is proposed to improve the architecture of the PPO agent by introducing a GraphSAGE-based feature extractor to capture the complex non-Euclidean relationships among market indexes, industry indexes and stocks. In addition, the explainable model SHAP is used to select a few but important features for GRL learning, and a method for generating a static financial graph is defined. This improves the robustness and training efficiency of the GRL model. We provide a holistic performance evaluation for GRL on three datasets using five metrics, i.e., Return On Investment (ROI), Sharpe Ratio, Sortino Ratio, Maximum Drawdown, and Calmar Ratio. The results show that the GRL model outperforms the Equal Weight strategy and the S&amp;P 500 index. In addition, the results of the comparative analysis show that the Share-Extractor GRL and the Separate-Extractor GRL significantly outperform the PPO baseline without a feature extractor. This implies that integrating a GraphSAGE-based feature extractor into the PPO agent can improve its performance and robustness in portfolio optimization tasks.","container-title":"Expert Systems with Applications","DOI":"10.1016/j.eswa.2023.122027","ISSN":"0957-4174","journalAbbreviation":"Expert Systems with Applications","page":"122027","source":"ScienceDirect","title":"GraphSAGE with deep reinforcement learning for financial portfolio optimization","volume":"238","author":[{"family":"Sun","given":"Qiguo"},{"family":"Wei","given":"Xueying"},{"family":"Yang","given":"Xibei"}],"issued":{"date-parts":[["2024",3,15]]}}}],"schema":"https://github.com/citation-style-language/schema/raw/master/csl-citation.json"} </w:instrText>
      </w:r>
      <w:r>
        <w:fldChar w:fldCharType="separate"/>
      </w:r>
      <w:r w:rsidR="00924FD9" w:rsidRPr="00924FD9">
        <w:t>(de-la-Rica-Escudero et al., 2025; S. Lundberg &amp; Lee, 2017; Man Group, 2023; Shalit, 2021; Sun et al., 2024)</w:t>
      </w:r>
      <w:r>
        <w:fldChar w:fldCharType="end"/>
      </w:r>
      <w:r>
        <w:t>. However, these tools are predominantly employed as post hoc diagnostics: explanations are generated after the model has produced a forecast or taken an action. The idea of using explainable ML outputs—such as SHAP-based factor attributions—as structured inputs that inform the state representation of a policy-learning agent is still at an early stage.</w:t>
      </w:r>
    </w:p>
    <w:p w14:paraId="70F6B5BC" w14:textId="287E80E6" w:rsidR="00655BB0" w:rsidRPr="00655BB0" w:rsidRDefault="000604F0" w:rsidP="000604F0">
      <w:pPr>
        <w:pStyle w:val="MDPI31text"/>
        <w:rPr>
          <w:rFonts w:eastAsiaTheme="minorEastAsia"/>
        </w:rPr>
      </w:pPr>
      <w:r>
        <w:t>Taken together, the existing literature lacks an integrated approach that jointly leverages (</w:t>
      </w:r>
      <w:proofErr w:type="spellStart"/>
      <w:r>
        <w:t>i</w:t>
      </w:r>
      <w:proofErr w:type="spellEnd"/>
      <w:r>
        <w:t>) nonlinear predictive modeling of returns, (ii) explicit downside-risk–sensitive optimization, and (iii) interpretable, economically grounded signals within a unified, dynamic portfolio framework. This gap motivates further work on architectures that combine machine learning, risk-aware reinforcement learning, and explainable AI in a coherent way, while maintaining consistency with established principles of portfolio theory and practical risk management</w:t>
      </w:r>
      <w:r w:rsidR="0079518F">
        <w:t>.</w:t>
      </w:r>
    </w:p>
    <w:p w14:paraId="638964C9" w14:textId="1D683155" w:rsidR="00D51BAB" w:rsidRDefault="00D51BAB" w:rsidP="00D51BAB">
      <w:pPr>
        <w:pStyle w:val="MDPI21heading1"/>
      </w:pPr>
      <w:bookmarkStart w:id="2" w:name="_Hlk208061794"/>
      <w:r w:rsidRPr="00500DA3">
        <w:t>3. Problem Setup and Proposed Methodology</w:t>
      </w:r>
    </w:p>
    <w:p w14:paraId="2EED81BC" w14:textId="63C549E4" w:rsidR="00AB6810" w:rsidRPr="00500DA3" w:rsidRDefault="004F137E" w:rsidP="00AB6810">
      <w:pPr>
        <w:pStyle w:val="MDPI31text"/>
      </w:pPr>
      <w:r w:rsidRPr="004F137E">
        <w:t xml:space="preserve">Return forecasts play a central role in investment decision-making and portfolio construction. Building on this insight, this section introduces a hierarchical signal-to-policy learning framework designed for dynamic and risk-aware portfolio allocation. The framework begins with a supervised learning stage that estimates next-period asset returns and computes model-based explanatory indicators. These predictions and explanations form structured signals that are passed to a downstream reinforcement learning policy responsible for translating them into allocation decisions. The following subsections formalize </w:t>
      </w:r>
      <w:r w:rsidRPr="004F137E">
        <w:lastRenderedPageBreak/>
        <w:t xml:space="preserve">the problem setting, describe each modeling component, and present the </w:t>
      </w:r>
      <w:r>
        <w:t>theoretical</w:t>
      </w:r>
      <w:r w:rsidRPr="004F137E">
        <w:t xml:space="preserve"> foundations </w:t>
      </w:r>
      <w:r>
        <w:t>for</w:t>
      </w:r>
      <w:r w:rsidRPr="004F137E">
        <w:t xml:space="preserve"> these elements into a coherent signal-to-policy </w:t>
      </w:r>
      <w:proofErr w:type="gramStart"/>
      <w:r w:rsidRPr="004F137E">
        <w:t>mapping.</w:t>
      </w:r>
      <w:r w:rsidR="00AF31D4">
        <w:rPr>
          <w:rFonts w:ascii="Georgia" w:eastAsia="Georgia" w:hAnsi="Georgia" w:cs="Georgia"/>
        </w:rPr>
        <w:t>.</w:t>
      </w:r>
      <w:proofErr w:type="gramEnd"/>
    </w:p>
    <w:bookmarkEnd w:id="2"/>
    <w:p w14:paraId="15E2E1F9" w14:textId="3BDA21DD" w:rsidR="00D51BAB" w:rsidRDefault="00D51BAB" w:rsidP="00D51BAB">
      <w:pPr>
        <w:pStyle w:val="MDPI22heading2"/>
        <w:spacing w:before="240"/>
        <w:rPr>
          <w:noProof w:val="0"/>
        </w:rPr>
      </w:pPr>
      <w:r w:rsidRPr="00500DA3">
        <w:rPr>
          <w:noProof w:val="0"/>
        </w:rPr>
        <w:t xml:space="preserve">3.1. </w:t>
      </w:r>
      <w:r w:rsidR="004F137E" w:rsidRPr="004F137E">
        <w:rPr>
          <w:noProof w:val="0"/>
        </w:rPr>
        <w:t>Multifactor Return Decomposition</w:t>
      </w:r>
      <w:r w:rsidR="004F137E">
        <w:rPr>
          <w:noProof w:val="0"/>
        </w:rPr>
        <w:t xml:space="preserve"> and Mean-Risk Portfolio Optimization</w:t>
      </w:r>
    </w:p>
    <w:p w14:paraId="783BAF42" w14:textId="50B762A9" w:rsidR="005F0EC9" w:rsidRDefault="005F0EC9" w:rsidP="005F0EC9">
      <w:pPr>
        <w:pStyle w:val="MDPI31text"/>
        <w:rPr>
          <w:lang w:val="en-GB"/>
        </w:rPr>
      </w:pPr>
      <w:r w:rsidRPr="005F0EC9">
        <w:rPr>
          <w:lang w:val="en-GB"/>
        </w:rPr>
        <w:t xml:space="preserve">Let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i,t+1</m:t>
            </m:r>
          </m:sub>
        </m:sSub>
      </m:oMath>
      <w:r w:rsidRPr="005F0EC9">
        <w:rPr>
          <w:lang w:val="en-GB"/>
        </w:rPr>
        <w:t xml:space="preserve">denote the simple return on asset </w:t>
      </w:r>
      <m:oMath>
        <m:r>
          <w:rPr>
            <w:rFonts w:ascii="Cambria Math" w:hAnsi="Cambria Math"/>
            <w:lang w:val="en-GB"/>
          </w:rPr>
          <m:t>i</m:t>
        </m:r>
      </m:oMath>
      <w:r w:rsidRPr="005F0EC9">
        <w:rPr>
          <w:lang w:val="en-GB"/>
        </w:rPr>
        <w:t xml:space="preserve">from time </w:t>
      </w:r>
      <m:oMath>
        <m:r>
          <w:rPr>
            <w:rFonts w:ascii="Cambria Math" w:hAnsi="Cambria Math"/>
            <w:lang w:val="en-GB"/>
          </w:rPr>
          <m:t>t</m:t>
        </m:r>
      </m:oMath>
      <w:r w:rsidRPr="005F0EC9">
        <w:rPr>
          <w:lang w:val="en-GB"/>
        </w:rPr>
        <w:t xml:space="preserve">to </w:t>
      </w:r>
      <m:oMath>
        <m:r>
          <w:rPr>
            <w:rFonts w:ascii="Cambria Math" w:hAnsi="Cambria Math"/>
            <w:lang w:val="en-GB"/>
          </w:rPr>
          <m:t>t+1</m:t>
        </m:r>
      </m:oMath>
      <w:r w:rsidRPr="005F0EC9">
        <w:rPr>
          <w:lang w:val="en-GB"/>
        </w:rPr>
        <w:t xml:space="preserve">, and let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f,t+1</m:t>
            </m:r>
          </m:sub>
        </m:sSub>
      </m:oMath>
      <w:r w:rsidRPr="005F0EC9">
        <w:rPr>
          <w:lang w:val="en-GB"/>
        </w:rPr>
        <w:t xml:space="preserve">be the contemporaneous risk-free rate. In a general </w:t>
      </w:r>
      <m:oMath>
        <m:r>
          <w:rPr>
            <w:rFonts w:ascii="Cambria Math" w:hAnsi="Cambria Math"/>
            <w:lang w:val="en-GB"/>
          </w:rPr>
          <m:t>K</m:t>
        </m:r>
      </m:oMath>
      <w:r w:rsidRPr="005F0EC9">
        <w:rPr>
          <w:lang w:val="en-GB"/>
        </w:rPr>
        <w:t>-factor setting, the excess return of an asset can be written as</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5F0EC9" w:rsidRPr="00500DA3" w14:paraId="35F8828F" w14:textId="77777777" w:rsidTr="00EA3BBD">
        <w:tc>
          <w:tcPr>
            <w:tcW w:w="7428" w:type="dxa"/>
            <w:hideMark/>
          </w:tcPr>
          <w:p w14:paraId="29902E63" w14:textId="14552CCF" w:rsidR="005F0EC9" w:rsidRPr="005F0EC9" w:rsidRDefault="00000000" w:rsidP="00EA3BBD">
            <w:pPr>
              <w:pStyle w:val="MDPI39equation"/>
              <w:rPr>
                <w:rFonts w:ascii="Cambria Math" w:hAnsi="Cambria Math"/>
              </w:rPr>
            </w:pPr>
            <m:oMathPara>
              <m:oMathParaPr>
                <m:jc m:val="center"/>
              </m:oMathParaP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i,t+1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f,t+1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i</m:t>
                    </m:r>
                  </m:sub>
                </m:sSub>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β</m:t>
                    </m:r>
                  </m:e>
                  <m:sub>
                    <m:r>
                      <w:rPr>
                        <w:rFonts w:ascii="Cambria Math" w:hAnsi="Cambria Math"/>
                        <w:lang w:val="en-GB"/>
                      </w:rPr>
                      <m:t>i</m:t>
                    </m:r>
                  </m:sub>
                  <m:sup>
                    <m:r>
                      <m:rPr>
                        <m:sty m:val="p"/>
                      </m:rPr>
                      <w:rPr>
                        <w:rFonts w:ascii="Cambria Math" w:hAnsi="Cambria Math"/>
                        <w:lang w:val="en-GB"/>
                      </w:rPr>
                      <m:t>⊤</m:t>
                    </m:r>
                  </m:sup>
                </m:sSubSup>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ε</m:t>
                    </m:r>
                  </m:e>
                  <m:sub>
                    <m:r>
                      <w:rPr>
                        <w:rFonts w:ascii="Cambria Math" w:hAnsi="Cambria Math"/>
                        <w:lang w:val="en-GB"/>
                      </w:rPr>
                      <m:t>i,t+1</m:t>
                    </m:r>
                  </m:sub>
                </m:sSub>
                <m:r>
                  <w:rPr>
                    <w:rFonts w:ascii="Cambria Math" w:hAnsi="Cambria Math"/>
                  </w:rPr>
                  <m:t>,</m:t>
                </m:r>
              </m:oMath>
            </m:oMathPara>
          </w:p>
          <w:p w14:paraId="1B50509A" w14:textId="77777777" w:rsidR="005F0EC9" w:rsidRPr="00500DA3" w:rsidRDefault="005F0EC9" w:rsidP="00EA3BBD">
            <w:pPr>
              <w:pStyle w:val="MDPI39equation"/>
              <w:rPr>
                <w:rFonts w:ascii="Cambria Math" w:hAnsi="Cambria Math"/>
              </w:rPr>
            </w:pPr>
          </w:p>
        </w:tc>
        <w:tc>
          <w:tcPr>
            <w:tcW w:w="431" w:type="dxa"/>
            <w:vAlign w:val="center"/>
            <w:hideMark/>
          </w:tcPr>
          <w:p w14:paraId="7330E61B" w14:textId="47479137" w:rsidR="005F0EC9" w:rsidRPr="00500DA3" w:rsidRDefault="005F0EC9" w:rsidP="00EA3BBD">
            <w:pPr>
              <w:pStyle w:val="MDPI39equation"/>
              <w:rPr>
                <w:rFonts w:ascii="Cambria Math" w:hAnsi="Cambria Math"/>
              </w:rPr>
            </w:pPr>
            <w:r w:rsidRPr="00500DA3">
              <w:rPr>
                <w:rFonts w:ascii="Cambria Math" w:hAnsi="Cambria Math"/>
              </w:rPr>
              <w:t>(</w:t>
            </w:r>
            <w:r>
              <w:rPr>
                <w:rFonts w:ascii="Cambria Math" w:hAnsi="Cambria Math"/>
              </w:rPr>
              <w:t>1</w:t>
            </w:r>
            <w:r w:rsidRPr="00500DA3">
              <w:rPr>
                <w:rFonts w:ascii="Cambria Math" w:hAnsi="Cambria Math"/>
              </w:rPr>
              <w:t>)</w:t>
            </w:r>
          </w:p>
        </w:tc>
      </w:tr>
    </w:tbl>
    <w:p w14:paraId="5DFEAC0B" w14:textId="46DEE911" w:rsidR="005F0EC9" w:rsidRDefault="005F0EC9" w:rsidP="005F0EC9">
      <w:pPr>
        <w:pStyle w:val="MDPI31text"/>
        <w:rPr>
          <w:lang w:val="en-GB"/>
        </w:rPr>
      </w:pPr>
      <w:r w:rsidRPr="005F0EC9">
        <w:rPr>
          <w:lang w:val="en-GB"/>
        </w:rPr>
        <w:t xml:space="preserve">where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t+1</m:t>
            </m:r>
          </m:sub>
        </m:sSub>
        <m:r>
          <w:rPr>
            <w:rFonts w:ascii="Cambria Math" w:hAnsi="Cambria Math"/>
            <w:lang w:val="en-GB"/>
          </w:rPr>
          <m:t>∈</m:t>
        </m:r>
        <m:sSup>
          <m:sSupPr>
            <m:ctrlPr>
              <w:rPr>
                <w:rFonts w:ascii="Cambria Math" w:hAnsi="Cambria Math"/>
                <w:lang w:val="en-GB"/>
              </w:rPr>
            </m:ctrlPr>
          </m:sSupPr>
          <m:e>
            <m:r>
              <m:rPr>
                <m:scr m:val="double-struck"/>
                <m:sty m:val="p"/>
              </m:rPr>
              <w:rPr>
                <w:rFonts w:ascii="Cambria Math" w:hAnsi="Cambria Math"/>
                <w:lang w:val="en-GB"/>
              </w:rPr>
              <m:t>R</m:t>
            </m:r>
          </m:e>
          <m:sup>
            <m:r>
              <w:rPr>
                <w:rFonts w:ascii="Cambria Math" w:hAnsi="Cambria Math"/>
                <w:lang w:val="en-GB"/>
              </w:rPr>
              <m:t>K</m:t>
            </m:r>
          </m:sup>
        </m:sSup>
      </m:oMath>
      <w:r w:rsidRPr="005F0EC9">
        <w:rPr>
          <w:lang w:val="en-GB"/>
        </w:rPr>
        <w:t xml:space="preserve">represents realizations of systematic factors, </w:t>
      </w: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i</m:t>
            </m:r>
          </m:sub>
        </m:sSub>
      </m:oMath>
      <w:r w:rsidRPr="005F0EC9">
        <w:rPr>
          <w:lang w:val="en-GB"/>
        </w:rPr>
        <w:t xml:space="preserve">denotes factor loadings, and </w:t>
      </w:r>
      <m:oMath>
        <m:sSub>
          <m:sSubPr>
            <m:ctrlPr>
              <w:rPr>
                <w:rFonts w:ascii="Cambria Math" w:hAnsi="Cambria Math"/>
                <w:lang w:val="en-GB"/>
              </w:rPr>
            </m:ctrlPr>
          </m:sSubPr>
          <m:e>
            <m:r>
              <w:rPr>
                <w:rFonts w:ascii="Cambria Math" w:hAnsi="Cambria Math"/>
                <w:lang w:val="en-GB"/>
              </w:rPr>
              <m:t>ε</m:t>
            </m:r>
          </m:e>
          <m:sub>
            <m:r>
              <w:rPr>
                <w:rFonts w:ascii="Cambria Math" w:hAnsi="Cambria Math"/>
                <w:lang w:val="en-GB"/>
              </w:rPr>
              <m:t>i,t+1</m:t>
            </m:r>
          </m:sub>
        </m:sSub>
      </m:oMath>
      <w:r w:rsidRPr="005F0EC9">
        <w:rPr>
          <w:lang w:val="en-GB"/>
        </w:rPr>
        <w:t xml:space="preserve">is an idiosyncratic </w:t>
      </w:r>
      <w:r>
        <w:rPr>
          <w:lang w:val="en-GB"/>
        </w:rPr>
        <w:t>risk</w:t>
      </w:r>
      <w:r w:rsidRPr="005F0EC9">
        <w:rPr>
          <w:lang w:val="en-GB"/>
        </w:rPr>
        <w:t xml:space="preserve"> with zero conditional mean. Under standard no-arbitrage conditions, correctly specified factor models imply that the pricing errors satisfy </w:t>
      </w:r>
      <m:oMath>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i</m:t>
            </m:r>
          </m:sub>
        </m:sSub>
        <m:r>
          <w:rPr>
            <w:rFonts w:ascii="Cambria Math" w:hAnsi="Cambria Math"/>
            <w:lang w:val="en-GB"/>
          </w:rPr>
          <m:t>≈0</m:t>
        </m:r>
      </m:oMath>
      <w:r w:rsidRPr="005F0EC9">
        <w:rPr>
          <w:lang w:val="en-GB"/>
        </w:rPr>
        <w:t>, and expected excess returns reduce to</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5F0EC9" w:rsidRPr="00500DA3" w14:paraId="23AA2A44" w14:textId="77777777" w:rsidTr="00EA3BBD">
        <w:tc>
          <w:tcPr>
            <w:tcW w:w="7428" w:type="dxa"/>
            <w:hideMark/>
          </w:tcPr>
          <w:p w14:paraId="61467531" w14:textId="2FF4A9EA" w:rsidR="005F0EC9" w:rsidRPr="00500DA3" w:rsidRDefault="005F0EC9" w:rsidP="00EA3BBD">
            <w:pPr>
              <w:pStyle w:val="MDPI39equation"/>
              <w:rPr>
                <w:rFonts w:ascii="Cambria Math" w:hAnsi="Cambria Math"/>
              </w:rPr>
            </w:pPr>
            <m:oMathPara>
              <m:oMath>
                <m:r>
                  <m:rPr>
                    <m:scr m:val="double-struck"/>
                    <m:sty m:val="p"/>
                  </m:rPr>
                  <w:rPr>
                    <w:rFonts w:ascii="Cambria Math" w:hAnsi="Cambria Math"/>
                    <w:lang w:val="en-GB"/>
                  </w:rPr>
                  <m:t>E</m:t>
                </m:r>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i,t+1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f,t+1</m:t>
                    </m:r>
                  </m:sub>
                </m:sSub>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β</m:t>
                    </m:r>
                  </m:e>
                  <m:sub>
                    <m:r>
                      <w:rPr>
                        <w:rFonts w:ascii="Cambria Math" w:hAnsi="Cambria Math"/>
                        <w:lang w:val="en-GB"/>
                      </w:rPr>
                      <m:t>i</m:t>
                    </m:r>
                  </m:sub>
                  <m:sup>
                    <m:r>
                      <m:rPr>
                        <m:sty m:val="p"/>
                      </m:rPr>
                      <w:rPr>
                        <w:rFonts w:ascii="Cambria Math" w:hAnsi="Cambria Math"/>
                        <w:lang w:val="en-GB"/>
                      </w:rPr>
                      <m:t>⊤</m:t>
                    </m:r>
                  </m:sup>
                </m:sSubSup>
                <m:r>
                  <w:rPr>
                    <w:rFonts w:ascii="Cambria Math" w:hAnsi="Cambria Math"/>
                    <w:lang w:val="en-GB"/>
                  </w:rPr>
                  <m:t>λ,</m:t>
                </m:r>
              </m:oMath>
            </m:oMathPara>
          </w:p>
        </w:tc>
        <w:tc>
          <w:tcPr>
            <w:tcW w:w="431" w:type="dxa"/>
            <w:vAlign w:val="center"/>
            <w:hideMark/>
          </w:tcPr>
          <w:p w14:paraId="670AC811" w14:textId="36353F31" w:rsidR="005F0EC9" w:rsidRPr="00500DA3" w:rsidRDefault="005F0EC9" w:rsidP="00EA3BBD">
            <w:pPr>
              <w:pStyle w:val="MDPI39equation"/>
              <w:rPr>
                <w:rFonts w:ascii="Cambria Math" w:hAnsi="Cambria Math"/>
              </w:rPr>
            </w:pPr>
            <w:r w:rsidRPr="00500DA3">
              <w:rPr>
                <w:rFonts w:ascii="Cambria Math" w:hAnsi="Cambria Math"/>
              </w:rPr>
              <w:t>(</w:t>
            </w:r>
            <w:r w:rsidR="00BB13BD">
              <w:rPr>
                <w:rFonts w:ascii="Cambria Math" w:hAnsi="Cambria Math"/>
              </w:rPr>
              <w:t>2</w:t>
            </w:r>
            <w:r w:rsidRPr="00500DA3">
              <w:rPr>
                <w:rFonts w:ascii="Cambria Math" w:hAnsi="Cambria Math"/>
              </w:rPr>
              <w:t>)</w:t>
            </w:r>
          </w:p>
        </w:tc>
      </w:tr>
    </w:tbl>
    <w:p w14:paraId="3E6119B7" w14:textId="7E104911" w:rsidR="005F0EC9" w:rsidRPr="005F0EC9" w:rsidRDefault="005F0EC9" w:rsidP="005F0EC9">
      <w:pPr>
        <w:pStyle w:val="MDPI31text"/>
        <w:rPr>
          <w:lang w:val="en-GB"/>
        </w:rPr>
      </w:pPr>
      <w:r w:rsidRPr="005F0EC9">
        <w:rPr>
          <w:lang w:val="en-GB"/>
        </w:rPr>
        <w:t xml:space="preserve">with </w:t>
      </w:r>
      <m:oMath>
        <m:r>
          <w:rPr>
            <w:rFonts w:ascii="Cambria Math" w:hAnsi="Cambria Math"/>
            <w:lang w:val="en-GB"/>
          </w:rPr>
          <m:t>λ</m:t>
        </m:r>
      </m:oMath>
      <w:r>
        <w:rPr>
          <w:lang w:val="en-GB"/>
        </w:rPr>
        <w:t xml:space="preserve"> </w:t>
      </w:r>
      <w:r w:rsidRPr="005F0EC9">
        <w:rPr>
          <w:lang w:val="en-GB"/>
        </w:rPr>
        <w:t>representing factor risk premia</w:t>
      </w:r>
      <w:r>
        <w:rPr>
          <w:lang w:val="en-GB"/>
        </w:rPr>
        <w:t xml:space="preserve"> as proposed in</w:t>
      </w:r>
      <w:r w:rsidRPr="005F0EC9">
        <w:rPr>
          <w:lang w:val="en-GB"/>
        </w:rPr>
        <w:t xml:space="preserve"> </w:t>
      </w:r>
      <w:r>
        <w:rPr>
          <w:lang w:val="en-GB"/>
        </w:rPr>
        <w:fldChar w:fldCharType="begin"/>
      </w:r>
      <w:r>
        <w:rPr>
          <w:lang w:val="en-GB"/>
        </w:rPr>
        <w:instrText xml:space="preserve"> ADDIN ZOTERO_ITEM CSL_CITATION {"citationID":"pNpjpmlm","properties":{"formattedCitation":"(Ross, 1976b)","plainCitation":"(Ross, 1976b)","noteIndex":0},"citationItems":[{"id":931,"uris":["http://zotero.org/users/5952202/items/TWXGPJFA"],"itemData":{"id":931,"type":"article-journal","container-title":"Journal of Economic Theory","DOI":"10.1016/0022-0531(76)90046-6","ISSN":"0022-0531","issue":"3","journalAbbreviation":"Journal of Economic Theory","page":"341-360","source":"ScienceDirect","title":"The arbitrage theory of capital asset pricing","volume":"13","author":[{"family":"Ross","given":"Stephen A"}],"issued":{"date-parts":[["1976",12,1]]}}}],"schema":"https://github.com/citation-style-language/schema/raw/master/csl-citation.json"} </w:instrText>
      </w:r>
      <w:r>
        <w:rPr>
          <w:lang w:val="en-GB"/>
        </w:rPr>
        <w:fldChar w:fldCharType="separate"/>
      </w:r>
      <w:r w:rsidRPr="005F0EC9">
        <w:t>(Ross, 1976b)</w:t>
      </w:r>
      <w:r>
        <w:rPr>
          <w:lang w:val="en-GB"/>
        </w:rPr>
        <w:fldChar w:fldCharType="end"/>
      </w:r>
      <w:r w:rsidRPr="005F0EC9">
        <w:rPr>
          <w:lang w:val="en-GB"/>
        </w:rPr>
        <w:t>.</w:t>
      </w:r>
    </w:p>
    <w:p w14:paraId="1A44EE35" w14:textId="77777777" w:rsidR="00387CBB" w:rsidRDefault="005F0EC9" w:rsidP="00387CBB">
      <w:pPr>
        <w:pStyle w:val="MDPI31text"/>
        <w:rPr>
          <w:lang w:val="en-GB"/>
        </w:rPr>
      </w:pPr>
      <w:r w:rsidRPr="005F0EC9">
        <w:rPr>
          <w:lang w:val="en-GB"/>
        </w:rPr>
        <w:t xml:space="preserve">A canonical empirical specification is the Fama–French three-factor model </w:t>
      </w:r>
      <w:r>
        <w:rPr>
          <w:lang w:val="en-GB"/>
        </w:rPr>
        <w:fldChar w:fldCharType="begin"/>
      </w:r>
      <w:r>
        <w:rPr>
          <w:lang w:val="en-GB"/>
        </w:rPr>
        <w:instrText xml:space="preserve"> ADDIN ZOTERO_ITEM CSL_CITATION {"citationID":"kD7vaS4p","properties":{"formattedCitation":"(Fama &amp; French, 1993)","plainCitation":"(Fama &amp; French, 1993)","noteIndex":0},"citationItems":[{"id":846,"uris":["http://zotero.org/users/5952202/items/DAKWLVEE"],"itemData":{"id":846,"type":"article-journal","abstract":"This paper identifies five common risk factors in the returns on stocks and bonds. There are three stock-market factors: an overall market factor and factors related to firm size and book-to-market equity. There are two bond-market factors, related to maturity and default risks. Stock returns have shared variation due to the stock-market factors, and they are linked to bond returns through shared variation in the bond-market factors. Except for low-grade corporates, the bond-market factors capture the common variation in bond returns. Most important, the five factors seem to explain average returns on stocks and bonds.","container-title":"Journal of Financial Economics","DOI":"10.1016/0304-405X(93)90023-5","ISSN":"0304-405X","issue":"1","journalAbbreviation":"Journal of Financial Economics","page":"3-56","source":"ScienceDirect","title":"Common risk factors in the returns on stocks and bonds","volume":"33","author":[{"family":"Fama","given":"Eugene F."},{"family":"French","given":"Kenneth R."}],"issued":{"date-parts":[["1993",2,1]]}}}],"schema":"https://github.com/citation-style-language/schema/raw/master/csl-citation.json"} </w:instrText>
      </w:r>
      <w:r>
        <w:rPr>
          <w:lang w:val="en-GB"/>
        </w:rPr>
        <w:fldChar w:fldCharType="separate"/>
      </w:r>
      <w:r w:rsidRPr="005F0EC9">
        <w:t>(Fama &amp; French, 1993)</w:t>
      </w:r>
      <w:r>
        <w:rPr>
          <w:lang w:val="en-GB"/>
        </w:rPr>
        <w:fldChar w:fldCharType="end"/>
      </w:r>
      <w:r w:rsidRPr="005F0EC9">
        <w:rPr>
          <w:lang w:val="en-GB"/>
        </w:rPr>
        <w:t xml:space="preserve">, which </w:t>
      </w:r>
      <w:r>
        <w:rPr>
          <w:lang w:val="en-GB"/>
        </w:rPr>
        <w:t>adds factors like</w:t>
      </w:r>
      <w:r w:rsidRPr="005F0EC9">
        <w:rPr>
          <w:lang w:val="en-GB"/>
        </w:rPr>
        <w:t xml:space="preserve"> the size (</w:t>
      </w:r>
      <m:oMath>
        <m:r>
          <m:rPr>
            <m:nor/>
          </m:rPr>
          <w:rPr>
            <w:lang w:val="en-GB"/>
          </w:rPr>
          <m:t>SMB</m:t>
        </m:r>
      </m:oMath>
      <w:r w:rsidRPr="005F0EC9">
        <w:rPr>
          <w:lang w:val="en-GB"/>
        </w:rPr>
        <w:t>) and value (</w:t>
      </w:r>
      <m:oMath>
        <m:r>
          <m:rPr>
            <m:nor/>
          </m:rPr>
          <w:rPr>
            <w:lang w:val="en-GB"/>
          </w:rPr>
          <m:t>HML</m:t>
        </m:r>
      </m:oMath>
      <w:r w:rsidRPr="005F0EC9">
        <w:rPr>
          <w:lang w:val="en-GB"/>
        </w:rPr>
        <w:t xml:space="preserve">) </w:t>
      </w:r>
      <w:r>
        <w:rPr>
          <w:lang w:val="en-GB"/>
        </w:rPr>
        <w:t>on top of market excess returns</w:t>
      </w:r>
      <w:r w:rsidRPr="005F0EC9">
        <w:rPr>
          <w:lang w:val="en-GB"/>
        </w:rPr>
        <w:t xml:space="preserve">. Subsequent work </w:t>
      </w:r>
      <w:r>
        <w:rPr>
          <w:lang w:val="en-GB"/>
        </w:rPr>
        <w:fldChar w:fldCharType="begin"/>
      </w:r>
      <w:r w:rsidR="00BB13BD">
        <w:rPr>
          <w:lang w:val="en-GB"/>
        </w:rPr>
        <w:instrText xml:space="preserve"> ADDIN ZOTERO_ITEM CSL_CITATION {"citationID":"8Isx2czq","properties":{"formattedCitation":"(Fama &amp; French, 2015)","plainCitation":"(Fama &amp; French, 2015)","noteIndex":0},"citationItems":[{"id":933,"uris":["http://zotero.org/users/5952202/items/3E4G5E7F"],"itemData":{"id":933,"type":"article-journal","abstract":"A five-factor model directed at capturing the size, value, profitability, and investment patterns in average stock returns performs better than the three-factor model of Fama and French (FF, 1993). The five-factor model</w:instrText>
      </w:r>
      <w:r w:rsidR="00BB13BD">
        <w:rPr>
          <w:rFonts w:ascii="Times New Roman" w:hAnsi="Times New Roman"/>
          <w:lang w:val="en-GB"/>
        </w:rPr>
        <w:instrText>׳</w:instrText>
      </w:r>
      <w:r w:rsidR="00BB13BD">
        <w:rPr>
          <w:lang w:val="en-GB"/>
        </w:rPr>
        <w:instrText>s main problem is its failure to capture the low average returns on small stocks whose returns behave like those of firms that invest a lot despite low profitability. The model</w:instrText>
      </w:r>
      <w:r w:rsidR="00BB13BD">
        <w:rPr>
          <w:rFonts w:ascii="Times New Roman" w:hAnsi="Times New Roman"/>
          <w:lang w:val="en-GB"/>
        </w:rPr>
        <w:instrText>׳</w:instrText>
      </w:r>
      <w:r w:rsidR="00BB13BD">
        <w:rPr>
          <w:lang w:val="en-GB"/>
        </w:rPr>
        <w:instrText xml:space="preserve">s performance is not sensitive to the way its factors are defined. With the addition of profitability and investment factors, the value factor of the FF three-factor model becomes redundant for describing average returns in the sample we examine.","container-title":"Journal of Financial Economics","DOI":"10.1016/j.jfineco.2014.10.010","ISSN":"0304-405X","issue":"1","journalAbbreviation":"Journal of Financial Economics","page":"1-22","source":"ScienceDirect","title":"A five-factor asset pricing model","volume":"116","author":[{"family":"Fama","given":"Eugene F."},{"family":"French","given":"Kenneth R."}],"issued":{"date-parts":[["2015",4,1]]}}}],"schema":"https://github.com/citation-style-language/schema/raw/master/csl-citation.json"} </w:instrText>
      </w:r>
      <w:r>
        <w:rPr>
          <w:lang w:val="en-GB"/>
        </w:rPr>
        <w:fldChar w:fldCharType="separate"/>
      </w:r>
      <w:r w:rsidR="00BB13BD" w:rsidRPr="00BB13BD">
        <w:t>(Fama &amp; French, 2015)</w:t>
      </w:r>
      <w:r>
        <w:rPr>
          <w:lang w:val="en-GB"/>
        </w:rPr>
        <w:fldChar w:fldCharType="end"/>
      </w:r>
      <w:r w:rsidR="00BB13BD">
        <w:rPr>
          <w:lang w:val="en-GB"/>
        </w:rPr>
        <w:t xml:space="preserve"> </w:t>
      </w:r>
      <w:r w:rsidRPr="005F0EC9">
        <w:rPr>
          <w:lang w:val="en-GB"/>
        </w:rPr>
        <w:t>extends this to the well-known five-factor model</w:t>
      </w:r>
      <w:r w:rsidR="00BB13BD">
        <w:rPr>
          <w:lang w:val="en-GB"/>
        </w:rPr>
        <w:t xml:space="preserve">, further </w:t>
      </w:r>
      <w:r w:rsidRPr="005F0EC9">
        <w:rPr>
          <w:lang w:val="en-GB"/>
        </w:rPr>
        <w:t>adding profitability (</w:t>
      </w:r>
      <m:oMath>
        <m:r>
          <m:rPr>
            <m:nor/>
          </m:rPr>
          <w:rPr>
            <w:lang w:val="en-GB"/>
          </w:rPr>
          <m:t>RMW</m:t>
        </m:r>
      </m:oMath>
      <w:r w:rsidRPr="005F0EC9">
        <w:rPr>
          <w:lang w:val="en-GB"/>
        </w:rPr>
        <w:t xml:space="preserve">) and </w:t>
      </w:r>
      <w:r w:rsidR="00BB13BD">
        <w:rPr>
          <w:lang w:val="en-GB"/>
        </w:rPr>
        <w:t>conservative minus aggressive</w:t>
      </w:r>
      <w:r w:rsidRPr="005F0EC9">
        <w:rPr>
          <w:lang w:val="en-GB"/>
        </w:rPr>
        <w:t xml:space="preserve"> (</w:t>
      </w:r>
      <m:oMath>
        <m:r>
          <m:rPr>
            <m:nor/>
          </m:rPr>
          <w:rPr>
            <w:lang w:val="en-GB"/>
          </w:rPr>
          <m:t>CMA</m:t>
        </m:r>
      </m:oMath>
      <w:r w:rsidRPr="005F0EC9">
        <w:rPr>
          <w:lang w:val="en-GB"/>
        </w:rPr>
        <w:t xml:space="preserve">) factors. </w:t>
      </w:r>
    </w:p>
    <w:p w14:paraId="2ED40E15" w14:textId="7CDBE09D" w:rsidR="005F0EC9" w:rsidRDefault="00BB13BD" w:rsidP="00387CBB">
      <w:pPr>
        <w:pStyle w:val="MDPI31text"/>
        <w:jc w:val="left"/>
        <w:rPr>
          <w:lang w:val="en-GB"/>
        </w:rPr>
      </w:pPr>
      <w:r>
        <w:rPr>
          <w:lang w:val="en-GB"/>
        </w:rPr>
        <w:t xml:space="preserve">Therefore 5 factors included in this setting are </w:t>
      </w:r>
      <m:oMath>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MKT</m:t>
                </m:r>
              </m:e>
              <m:sub>
                <m:r>
                  <w:rPr>
                    <w:rFonts w:ascii="Cambria Math" w:hAnsi="Cambria Math"/>
                  </w:rPr>
                  <m:t>t</m:t>
                </m:r>
                <m:r>
                  <m:rPr>
                    <m:sty m:val="p"/>
                  </m:rPr>
                  <w:rPr>
                    <w:rFonts w:ascii="Cambria Math" w:hAnsi="Cambria Math"/>
                  </w:rPr>
                  <m:t>+1</m:t>
                </m:r>
              </m:sub>
            </m:sSub>
            <m:r>
              <w:rPr>
                <w:rFonts w:ascii="Cambria Math" w:hAnsi="Cambria Math"/>
              </w:rPr>
              <m:t xml:space="preserve">, </m:t>
            </m:r>
            <m:sSub>
              <m:sSubPr>
                <m:ctrlPr>
                  <w:rPr>
                    <w:rFonts w:ascii="Cambria Math" w:hAnsi="Cambria Math"/>
                  </w:rPr>
                </m:ctrlPr>
              </m:sSubPr>
              <m:e>
                <m:r>
                  <m:rPr>
                    <m:nor/>
                  </m:rPr>
                  <m:t>SMB</m:t>
                </m:r>
              </m:e>
              <m:sub>
                <m:r>
                  <w:rPr>
                    <w:rFonts w:ascii="Cambria Math" w:hAnsi="Cambria Math"/>
                  </w:rPr>
                  <m:t>t</m:t>
                </m:r>
                <m:r>
                  <m:rPr>
                    <m:sty m:val="p"/>
                  </m:rPr>
                  <w:rPr>
                    <w:rFonts w:ascii="Cambria Math" w:hAnsi="Cambria Math"/>
                  </w:rPr>
                  <m:t>+1</m:t>
                </m:r>
              </m:sub>
            </m:sSub>
            <m:r>
              <w:rPr>
                <w:rFonts w:ascii="Cambria Math" w:hAnsi="Cambria Math"/>
              </w:rPr>
              <m:t>,</m:t>
            </m:r>
            <m:sSub>
              <m:sSubPr>
                <m:ctrlPr>
                  <w:rPr>
                    <w:rFonts w:ascii="Cambria Math" w:hAnsi="Cambria Math"/>
                  </w:rPr>
                </m:ctrlPr>
              </m:sSubPr>
              <m:e>
                <m:r>
                  <m:rPr>
                    <m:nor/>
                  </m:rPr>
                  <m:t>HML</m:t>
                </m:r>
              </m:e>
              <m:sub>
                <m:r>
                  <w:rPr>
                    <w:rFonts w:ascii="Cambria Math" w:hAnsi="Cambria Math"/>
                  </w:rPr>
                  <m:t>t</m:t>
                </m:r>
                <m:r>
                  <m:rPr>
                    <m:sty m:val="p"/>
                  </m:rPr>
                  <w:rPr>
                    <w:rFonts w:ascii="Cambria Math" w:hAnsi="Cambria Math"/>
                  </w:rPr>
                  <m:t>+1</m:t>
                </m:r>
              </m:sub>
            </m:sSub>
            <m:r>
              <w:rPr>
                <w:rFonts w:ascii="Cambria Math" w:hAnsi="Cambria Math"/>
              </w:rPr>
              <m:t>,</m:t>
            </m:r>
            <m:sSub>
              <m:sSubPr>
                <m:ctrlPr>
                  <w:rPr>
                    <w:rFonts w:ascii="Cambria Math" w:hAnsi="Cambria Math"/>
                  </w:rPr>
                </m:ctrlPr>
              </m:sSubPr>
              <m:e>
                <m:r>
                  <m:rPr>
                    <m:nor/>
                  </m:rPr>
                  <m:t>RMW</m:t>
                </m:r>
              </m:e>
              <m:sub>
                <m:r>
                  <w:rPr>
                    <w:rFonts w:ascii="Cambria Math" w:hAnsi="Cambria Math"/>
                  </w:rPr>
                  <m:t>t</m:t>
                </m:r>
                <m:r>
                  <m:rPr>
                    <m:sty m:val="p"/>
                  </m:rPr>
                  <w:rPr>
                    <w:rFonts w:ascii="Cambria Math" w:hAnsi="Cambria Math"/>
                  </w:rPr>
                  <m:t>+1</m:t>
                </m:r>
              </m:sub>
            </m:sSub>
            <m:r>
              <w:rPr>
                <w:rFonts w:ascii="Cambria Math" w:hAnsi="Cambria Math"/>
              </w:rPr>
              <m:t>,</m:t>
            </m:r>
            <m:sSub>
              <m:sSubPr>
                <m:ctrlPr>
                  <w:rPr>
                    <w:rFonts w:ascii="Cambria Math" w:hAnsi="Cambria Math"/>
                  </w:rPr>
                </m:ctrlPr>
              </m:sSubPr>
              <m:e>
                <m:r>
                  <m:rPr>
                    <m:nor/>
                  </m:rPr>
                  <m:t>CMA</m:t>
                </m:r>
              </m:e>
              <m:sub>
                <m:r>
                  <w:rPr>
                    <w:rFonts w:ascii="Cambria Math" w:hAnsi="Cambria Math"/>
                  </w:rPr>
                  <m:t>t</m:t>
                </m:r>
                <m:r>
                  <m:rPr>
                    <m:sty m:val="p"/>
                  </m:rPr>
                  <w:rPr>
                    <w:rFonts w:ascii="Cambria Math" w:hAnsi="Cambria Math"/>
                  </w:rPr>
                  <m:t>+1</m:t>
                </m:r>
              </m:sub>
            </m:sSub>
          </m:e>
        </m:d>
        <m:r>
          <w:rPr>
            <w:rFonts w:ascii="Cambria Math" w:hAnsi="Cambria Math"/>
          </w:rPr>
          <m:t>.</m:t>
        </m:r>
      </m:oMath>
      <w:r w:rsidR="00387CBB">
        <w:t xml:space="preserve"> </w:t>
      </w:r>
      <w:r w:rsidR="005F0EC9" w:rsidRPr="005F0EC9">
        <w:rPr>
          <w:lang w:val="en-GB"/>
        </w:rPr>
        <w:t xml:space="preserve">For a portfolio with weight vector </w:t>
      </w:r>
      <m:oMath>
        <m:r>
          <w:rPr>
            <w:rFonts w:ascii="Cambria Math" w:hAnsi="Cambria Math"/>
            <w:lang w:val="en-GB"/>
          </w:rPr>
          <m:t>w∈</m:t>
        </m:r>
        <m:sSup>
          <m:sSupPr>
            <m:ctrlPr>
              <w:rPr>
                <w:rFonts w:ascii="Cambria Math" w:hAnsi="Cambria Math"/>
                <w:lang w:val="en-GB"/>
              </w:rPr>
            </m:ctrlPr>
          </m:sSupPr>
          <m:e>
            <m:r>
              <m:rPr>
                <m:scr m:val="double-struck"/>
                <m:sty m:val="p"/>
              </m:rPr>
              <w:rPr>
                <w:rFonts w:ascii="Cambria Math" w:hAnsi="Cambria Math"/>
                <w:lang w:val="en-GB"/>
              </w:rPr>
              <m:t>R</m:t>
            </m:r>
          </m:e>
          <m:sup>
            <m:r>
              <w:rPr>
                <w:rFonts w:ascii="Cambria Math" w:hAnsi="Cambria Math"/>
                <w:lang w:val="en-GB"/>
              </w:rPr>
              <m:t>N</m:t>
            </m:r>
          </m:sup>
        </m:sSup>
      </m:oMath>
      <w:r w:rsidR="005F0EC9" w:rsidRPr="005F0EC9">
        <w:rPr>
          <w:lang w:val="en-GB"/>
        </w:rPr>
        <w:t>, the excess portfolio return satisfies</w:t>
      </w:r>
      <w:r w:rsidR="00387CBB">
        <w:rPr>
          <w:lang w:val="en-GB"/>
        </w:rPr>
        <w:t xml:space="preserve"> can be written as</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BB13BD" w:rsidRPr="00500DA3" w14:paraId="0B98BBD0" w14:textId="77777777" w:rsidTr="00EA3BBD">
        <w:tc>
          <w:tcPr>
            <w:tcW w:w="7428" w:type="dxa"/>
            <w:hideMark/>
          </w:tcPr>
          <w:p w14:paraId="1BC460C0" w14:textId="561D4696" w:rsidR="00BB13BD" w:rsidRPr="00500DA3" w:rsidRDefault="00000000" w:rsidP="00EA3BBD">
            <w:pPr>
              <w:pStyle w:val="MDPI39equation"/>
              <w:rPr>
                <w:rFonts w:ascii="Cambria Math" w:hAnsi="Cambria Math"/>
              </w:rPr>
            </w:pPr>
            <m:oMathPara>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p,t+1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f,t+1</m:t>
                    </m:r>
                  </m:sub>
                </m:sSub>
                <m:r>
                  <w:rPr>
                    <w:rFonts w:ascii="Cambria Math" w:hAnsi="Cambria Math"/>
                    <w:lang w:val="en-GB"/>
                  </w:rPr>
                  <m:t>=</m:t>
                </m:r>
                <m:sSup>
                  <m:sSupPr>
                    <m:ctrlPr>
                      <w:rPr>
                        <w:rFonts w:ascii="Cambria Math" w:hAnsi="Cambria Math"/>
                        <w:lang w:val="en-GB"/>
                      </w:rPr>
                    </m:ctrlPr>
                  </m:sSupPr>
                  <m:e>
                    <m:r>
                      <w:rPr>
                        <w:rFonts w:ascii="Cambria Math" w:hAnsi="Cambria Math"/>
                        <w:lang w:val="en-GB"/>
                      </w:rPr>
                      <m:t>w</m:t>
                    </m:r>
                  </m:e>
                  <m:sup>
                    <m:r>
                      <m:rPr>
                        <m:sty m:val="p"/>
                      </m:rPr>
                      <w:rPr>
                        <w:rFonts w:ascii="Cambria Math" w:hAnsi="Cambria Math"/>
                        <w:lang w:val="en-GB"/>
                      </w:rPr>
                      <m:t>⊤</m:t>
                    </m:r>
                  </m:sup>
                </m:sSup>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f,t+1</m:t>
                    </m:r>
                  </m:sub>
                </m:sSub>
                <m:r>
                  <m:rPr>
                    <m:sty m:val="b"/>
                  </m:rPr>
                  <w:rPr>
                    <w:rFonts w:ascii="Cambria Math" w:hAnsi="Cambria Math"/>
                    <w:lang w:val="en-GB"/>
                  </w:rPr>
                  <m:t>1</m:t>
                </m:r>
                <m:r>
                  <w:rPr>
                    <w:rFonts w:ascii="Cambria Math" w:hAnsi="Cambria Math"/>
                    <w:lang w:val="en-GB"/>
                  </w:rPr>
                  <m:t>)=</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p</m:t>
                    </m:r>
                  </m:sub>
                </m:sSub>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β</m:t>
                    </m:r>
                  </m:e>
                  <m:sub>
                    <m:r>
                      <w:rPr>
                        <w:rFonts w:ascii="Cambria Math" w:hAnsi="Cambria Math"/>
                        <w:lang w:val="en-GB"/>
                      </w:rPr>
                      <m:t>p</m:t>
                    </m:r>
                  </m:sub>
                  <m:sup>
                    <m:r>
                      <m:rPr>
                        <m:sty m:val="p"/>
                      </m:rPr>
                      <w:rPr>
                        <w:rFonts w:ascii="Cambria Math" w:hAnsi="Cambria Math"/>
                        <w:lang w:val="en-GB"/>
                      </w:rPr>
                      <m:t>⊤</m:t>
                    </m:r>
                  </m:sup>
                </m:sSubSup>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ε</m:t>
                    </m:r>
                  </m:e>
                  <m:sub>
                    <m:r>
                      <w:rPr>
                        <w:rFonts w:ascii="Cambria Math" w:hAnsi="Cambria Math"/>
                        <w:lang w:val="en-GB"/>
                      </w:rPr>
                      <m:t>p,t+1</m:t>
                    </m:r>
                  </m:sub>
                </m:sSub>
                <m:r>
                  <w:rPr>
                    <w:rFonts w:ascii="Cambria Math" w:hAnsi="Cambria Math"/>
                    <w:lang w:val="en-GB"/>
                  </w:rPr>
                  <m:t>,</m:t>
                </m:r>
              </m:oMath>
            </m:oMathPara>
          </w:p>
        </w:tc>
        <w:tc>
          <w:tcPr>
            <w:tcW w:w="431" w:type="dxa"/>
            <w:vAlign w:val="center"/>
            <w:hideMark/>
          </w:tcPr>
          <w:p w14:paraId="57C06969" w14:textId="4613B1B4" w:rsidR="00BB13BD" w:rsidRPr="00500DA3" w:rsidRDefault="00BB13BD" w:rsidP="00EA3BBD">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7B52962B" w14:textId="58210E39" w:rsidR="004F137E" w:rsidRPr="005F0EC9" w:rsidRDefault="005F0EC9" w:rsidP="00387CBB">
      <w:pPr>
        <w:pStyle w:val="MDPI31text"/>
        <w:rPr>
          <w:lang w:val="en-GB"/>
        </w:rPr>
      </w:pPr>
      <w:r w:rsidRPr="005F0EC9">
        <w:rPr>
          <w:lang w:val="en-GB"/>
        </w:rPr>
        <w:t xml:space="preserve">where the portfolio’s factor exposure is </w:t>
      </w:r>
      <m:oMath>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p</m:t>
            </m:r>
          </m:sub>
        </m:sSub>
        <m:r>
          <w:rPr>
            <w:rFonts w:ascii="Cambria Math" w:hAnsi="Cambria Math"/>
            <w:lang w:val="en-GB"/>
          </w:rPr>
          <m:t>=</m:t>
        </m:r>
        <m:nary>
          <m:naryPr>
            <m:chr m:val="∑"/>
            <m:limLoc m:val="subSup"/>
            <m:grow m:val="1"/>
            <m:supHide m:val="1"/>
            <m:ctrlPr>
              <w:rPr>
                <w:rFonts w:ascii="Cambria Math" w:hAnsi="Cambria Math"/>
                <w:lang w:val="en-GB"/>
              </w:rPr>
            </m:ctrlPr>
          </m:naryPr>
          <m:sub>
            <m:r>
              <w:rPr>
                <w:rFonts w:ascii="Cambria Math" w:hAnsi="Cambria Math"/>
                <w:lang w:val="en-GB"/>
              </w:rPr>
              <m:t>i</m:t>
            </m:r>
          </m:sub>
          <m:sup/>
          <m:e>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m:t>
                </m:r>
              </m:sub>
            </m:sSub>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i</m:t>
                </m:r>
              </m:sub>
            </m:sSub>
          </m:e>
        </m:nary>
      </m:oMath>
      <w:r w:rsidRPr="005F0EC9">
        <w:rPr>
          <w:lang w:val="en-GB"/>
        </w:rPr>
        <w:t xml:space="preserve">. This expression highlights the role of systematic factors in shaping both expected performance and risk. </w:t>
      </w:r>
      <w:r w:rsidR="00387CBB" w:rsidRPr="00387CBB">
        <w:rPr>
          <w:lang w:val="en-GB"/>
        </w:rPr>
        <w:t xml:space="preserve">Classical portfolio theory </w:t>
      </w:r>
      <w:r w:rsidR="00387CBB">
        <w:rPr>
          <w:lang w:val="en-GB"/>
        </w:rPr>
        <w:fldChar w:fldCharType="begin"/>
      </w:r>
      <w:r w:rsidR="00387CBB">
        <w:rPr>
          <w:lang w:val="en-GB"/>
        </w:rPr>
        <w:instrText xml:space="preserve"> ADDIN ZOTERO_ITEM CSL_CITATION {"citationID":"Ze0sQls2","properties":{"formattedCitation":"(Markowitz, 1952)","plainCitation":"(Markowitz, 1952)","noteIndex":0},"citationItems":[{"id":261,"uris":["http://zotero.org/users/5952202/items/2652V7KD"],"itemData":{"id":261,"type":"article-journal","archive":"JSTOR","container-title":"The Journal of Finance","DOI":"10.2307/2975974","ISSN":"0022-1082","issue":"1","note":"publisher: [American Finance Association, Wiley]","page":"77-91","source":"JSTOR","title":"Portfolio Selection","volume":"7","author":[{"family":"Markowitz","given":"Harry"}],"issued":{"date-parts":[["1952"]]}}}],"schema":"https://github.com/citation-style-language/schema/raw/master/csl-citation.json"} </w:instrText>
      </w:r>
      <w:r w:rsidR="00387CBB">
        <w:rPr>
          <w:lang w:val="en-GB"/>
        </w:rPr>
        <w:fldChar w:fldCharType="separate"/>
      </w:r>
      <w:r w:rsidR="00387CBB" w:rsidRPr="00387CBB">
        <w:t>(Markowitz, 1952)</w:t>
      </w:r>
      <w:r w:rsidR="00387CBB">
        <w:rPr>
          <w:lang w:val="en-GB"/>
        </w:rPr>
        <w:fldChar w:fldCharType="end"/>
      </w:r>
      <w:r w:rsidR="00387CBB" w:rsidRPr="00387CBB">
        <w:rPr>
          <w:lang w:val="en-GB"/>
        </w:rPr>
        <w:t xml:space="preserve"> relies on the mean–</w:t>
      </w:r>
      <w:r w:rsidR="00387CBB">
        <w:rPr>
          <w:lang w:val="en-GB"/>
        </w:rPr>
        <w:t>variance</w:t>
      </w:r>
      <w:r w:rsidR="00387CBB" w:rsidRPr="00387CBB">
        <w:rPr>
          <w:lang w:val="en-GB"/>
        </w:rPr>
        <w:t xml:space="preserve"> structure of asset returns, a structure that is naturally shaped by underlying factor exposures as captured in multifactor asset-pricing models. In our framework, this factor decomposition provides the economic foundation for the predictive modelling stage. Fama–French factors and related macro-financial variables enter the Stage-1 feature set as empirically validated sources of systematic return variation, ensuring that the supervised learning model is informed by exposures that have well-documented explanatory power in asset pricing. By incorporating factor-based signals into the prediction stage, the model relies on empirically validated drivers of return variation, ensuring that its forecasts reflect economically meaningful sources of systematic risk.</w:t>
      </w:r>
    </w:p>
    <w:p w14:paraId="628921DF" w14:textId="7B868698" w:rsidR="00D466D5" w:rsidRDefault="00D466D5" w:rsidP="00D466D5">
      <w:pPr>
        <w:pStyle w:val="MDPI22heading2"/>
        <w:spacing w:before="240"/>
        <w:rPr>
          <w:noProof w:val="0"/>
        </w:rPr>
      </w:pPr>
      <w:r w:rsidRPr="00500DA3">
        <w:rPr>
          <w:noProof w:val="0"/>
        </w:rPr>
        <w:t>3.</w:t>
      </w:r>
      <w:r>
        <w:rPr>
          <w:noProof w:val="0"/>
        </w:rPr>
        <w:t>2</w:t>
      </w:r>
      <w:r w:rsidRPr="00500DA3">
        <w:rPr>
          <w:noProof w:val="0"/>
        </w:rPr>
        <w:t xml:space="preserve">. </w:t>
      </w:r>
      <w:r w:rsidR="008735A3">
        <w:rPr>
          <w:noProof w:val="0"/>
        </w:rPr>
        <w:t xml:space="preserve">Stage 1: </w:t>
      </w:r>
      <w:r w:rsidR="009368EF" w:rsidRPr="009368EF">
        <w:rPr>
          <w:noProof w:val="0"/>
        </w:rPr>
        <w:t>Supervised Return Forecasting with Gradient-Boosted Trees</w:t>
      </w:r>
    </w:p>
    <w:p w14:paraId="0CEECA06" w14:textId="2DA3ABBE" w:rsidR="00BF15F1" w:rsidRDefault="00BF15F1" w:rsidP="00D466D5">
      <w:pPr>
        <w:pStyle w:val="MDPI22heading2"/>
        <w:spacing w:before="240"/>
        <w:rPr>
          <w:noProof w:val="0"/>
        </w:rPr>
      </w:pPr>
      <w:r w:rsidRPr="00500DA3">
        <w:rPr>
          <w:noProof w:val="0"/>
        </w:rPr>
        <w:t>3.</w:t>
      </w:r>
      <w:r>
        <w:rPr>
          <w:noProof w:val="0"/>
        </w:rPr>
        <w:t>2</w:t>
      </w:r>
      <w:r w:rsidRPr="00500DA3">
        <w:rPr>
          <w:noProof w:val="0"/>
        </w:rPr>
        <w:t>.</w:t>
      </w:r>
      <w:r>
        <w:rPr>
          <w:noProof w:val="0"/>
        </w:rPr>
        <w:t xml:space="preserve">1. </w:t>
      </w:r>
      <w:r w:rsidRPr="00BF15F1">
        <w:rPr>
          <w:noProof w:val="0"/>
        </w:rPr>
        <w:t xml:space="preserve">Foundations of the </w:t>
      </w:r>
      <w:proofErr w:type="spellStart"/>
      <w:r w:rsidRPr="00BF15F1">
        <w:rPr>
          <w:noProof w:val="0"/>
        </w:rPr>
        <w:t>XGBoost</w:t>
      </w:r>
      <w:proofErr w:type="spellEnd"/>
      <w:r w:rsidRPr="00BF15F1">
        <w:rPr>
          <w:noProof w:val="0"/>
        </w:rPr>
        <w:t xml:space="preserve"> Prediction Model</w:t>
      </w:r>
    </w:p>
    <w:p w14:paraId="15EBE897" w14:textId="08C1DFA4" w:rsidR="009368EF" w:rsidRDefault="009368EF" w:rsidP="00905074">
      <w:pPr>
        <w:pStyle w:val="MDPI31text"/>
      </w:pPr>
      <w:r>
        <w:t xml:space="preserve">We are proposing a supervised learning at </w:t>
      </w:r>
      <w:r w:rsidRPr="009368EF">
        <w:t>Stage 1 focuses on forecasting next-period returns using gradient-boosted regression trees</w:t>
      </w:r>
      <w:r>
        <w:t xml:space="preserve"> </w:t>
      </w:r>
      <w:r>
        <w:fldChar w:fldCharType="begin"/>
      </w:r>
      <w:r>
        <w:instrText xml:space="preserve"> ADDIN ZOTERO_ITEM CSL_CITATION {"citationID":"cjfaP9RQ","properties":{"formattedCitation":"(Friedman, 2001)","plainCitation":"(Friedman, 2001)","noteIndex":0},"citationItems":[{"id":939,"uris":["http://zotero.org/users/5952202/items/GMBP7KGD"],"itemData":{"id":939,"type":"article-journal","abstract":"Function estimation/approximation is viewed from the perspective of numerical optimization in function space, rather than parameter space. A connection is made between stagewise additive expansions and steepest-descent minimization. A general gradient descent “boosting” paradigm is developed for additive expansions based on any fitting criterion.Specific algorithms are presented for least-squares, least absolute deviation, and Huber-M loss functions for regression, and multiclass logistic likelihood for classification. Special enhancements are derived for the particular case where the individual additive components are regression trees, and tools for interpreting such “TreeBoost” models are presented. Gradient boosting of regression trees produces competitive, highly robust, interpretable procedures for both regression and classification, especially appropriate for mining less than clean data. Connections between this approach and the boosting methods of Freund and Shapire and Friedman, Hastie and Tibshirani are discussed.","container-title":"The Annals of Statistics","DOI":"10.1214/aos/1013203451","ISSN":"0090-5364, 2168-8966","issue":"5","note":"publisher: Institute of Mathematical Statistics","page":"1189-1232","source":"Project Euclid","title":"Greedy function approximation: A gradient boosting machine.","title-short":"Greedy function approximation","volume":"29","author":[{"family":"Friedman","given":"Jerome H."}],"issued":{"date-parts":[["2001",10]]}}}],"schema":"https://github.com/citation-style-language/schema/raw/master/csl-citation.json"} </w:instrText>
      </w:r>
      <w:r>
        <w:fldChar w:fldCharType="separate"/>
      </w:r>
      <w:r w:rsidRPr="009368EF">
        <w:t>(Friedman, 2001)</w:t>
      </w:r>
      <w:r>
        <w:fldChar w:fldCharType="end"/>
      </w:r>
      <w:r w:rsidR="00905074">
        <w:t xml:space="preserve"> and </w:t>
      </w:r>
      <w:r w:rsidR="00006D78">
        <w:fldChar w:fldCharType="begin"/>
      </w:r>
      <w:r w:rsidR="00006D78">
        <w:instrText xml:space="preserve"> ADDIN ZOTERO_ITEM CSL_CITATION {"citationID":"7PurFsvd","properties":{"formattedCitation":"(T. Chen &amp; Guestrin, 2016)","plainCitation":"(T. Chen &amp; Guestrin, 2016)","noteIndex":0},"citationItems":[{"id":941,"uris":["http://zotero.org/users/5952202/items/DGTKWAWD"],"itemData":{"id":941,"type":"paper-conference","abstract":"Tree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systems.","collection-title":"KDD '16","container-title":"Proceedings of the 22nd ACM SIGKDD International Conference on Knowledge Discovery and Data Mining","DOI":"10.1145/2939672.2939785","event-place":"New York, NY, USA","ISBN":"978-1-4503-4232-2","page":"785–794","publisher":"Association for Computing Machinery","publisher-place":"New York, NY, USA","source":"ACM Digital Library","title":"XGBoost: A Scalable Tree Boosting System","title-short":"XGBoost","URL":"https://dl.acm.org/doi/10.1145/2939672.2939785","author":[{"family":"Chen","given":"Tianqi"},{"family":"Guestrin","given":"Carlos"}],"accessed":{"date-parts":[["2025",11,22]]},"issued":{"date-parts":[["2016",8,13]]}}}],"schema":"https://github.com/citation-style-language/schema/raw/master/csl-citation.json"} </w:instrText>
      </w:r>
      <w:r w:rsidR="00006D78">
        <w:fldChar w:fldCharType="separate"/>
      </w:r>
      <w:r w:rsidR="00006D78" w:rsidRPr="00006D78">
        <w:t>(T. Chen &amp; Guestrin, 2016)</w:t>
      </w:r>
      <w:r w:rsidR="00006D78">
        <w:fldChar w:fldCharType="end"/>
      </w:r>
      <w:r w:rsidRPr="009368EF">
        <w:t xml:space="preserve">. Each </w:t>
      </w:r>
      <w:r>
        <w:t>investment asset</w:t>
      </w:r>
      <w:r w:rsidRPr="009368EF">
        <w:t xml:space="preserve"> is assigned </w:t>
      </w:r>
      <w:r w:rsidR="00905074">
        <w:t xml:space="preserve">to </w:t>
      </w:r>
      <w:r w:rsidRPr="009368EF">
        <w:t xml:space="preserve">its own predictive model, but all models share a unified feature set consisting of </w:t>
      </w:r>
      <w:r>
        <w:t xml:space="preserve">investment instrument </w:t>
      </w:r>
      <w:r w:rsidRPr="009368EF">
        <w:t xml:space="preserve">specific technical indicators, Fama–French–style factor returns, and macroeconomic variables. </w:t>
      </w:r>
      <w:r w:rsidR="00905074">
        <w:t xml:space="preserve">Gradient boosting (Friedman, 2001) builds an additive ensemble of weak learners by iteratively fitting each new tree to the negative gradient of a specified loss function. Let </w:t>
      </w:r>
      <m:oMath>
        <m:sSup>
          <m:sSupPr>
            <m:ctrlPr>
              <w:rPr>
                <w:rFonts w:ascii="Cambria Math" w:hAnsi="Cambria Math"/>
                <w:i/>
              </w:rPr>
            </m:ctrlPr>
          </m:sSupPr>
          <m:e>
            <m:r>
              <w:rPr>
                <w:rFonts w:ascii="Cambria Math" w:hAnsi="Cambria Math"/>
              </w:rPr>
              <m:t>f</m:t>
            </m:r>
          </m:e>
          <m:sup>
            <m:r>
              <w:rPr>
                <w:rFonts w:ascii="Cambria Math" w:hAnsi="Cambria Math"/>
              </w:rPr>
              <m:t>(m)</m:t>
            </m:r>
          </m:sup>
        </m:sSup>
        <m:r>
          <w:rPr>
            <w:rFonts w:ascii="Cambria Math" w:hAnsi="Cambria Math"/>
          </w:rPr>
          <m:t>(x)</m:t>
        </m:r>
      </m:oMath>
      <w:r w:rsidR="00905074">
        <w:t xml:space="preserve"> denote the ensemble prediction after </w:t>
      </w:r>
      <m:oMath>
        <m:r>
          <w:rPr>
            <w:rFonts w:ascii="Cambria Math" w:hAnsi="Cambria Math"/>
          </w:rPr>
          <m:t>m</m:t>
        </m:r>
      </m:oMath>
      <w:r w:rsidR="00905074">
        <w:t xml:space="preserve"> boosting iterations. The model takes the form</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905074" w:rsidRPr="00500DA3" w14:paraId="0A9B2DDE" w14:textId="77777777" w:rsidTr="00905074">
        <w:tc>
          <w:tcPr>
            <w:tcW w:w="6873" w:type="dxa"/>
            <w:hideMark/>
          </w:tcPr>
          <w:p w14:paraId="0EA4CF1B" w14:textId="431C4417" w:rsidR="00905074" w:rsidRPr="00500DA3" w:rsidRDefault="00000000" w:rsidP="00EA3BBD">
            <w:pPr>
              <w:pStyle w:val="MDPI39equation"/>
              <w:rPr>
                <w:rFonts w:ascii="Cambria Math" w:hAnsi="Cambria Math"/>
              </w:rPr>
            </w:pPr>
            <m:oMathPara>
              <m:oMath>
                <m:sSup>
                  <m:sSupPr>
                    <m:ctrlPr>
                      <w:rPr>
                        <w:rFonts w:ascii="Cambria Math" w:hAnsi="Cambria Math"/>
                        <w:lang w:val="en-GB"/>
                      </w:rPr>
                    </m:ctrlPr>
                  </m:sSupPr>
                  <m:e>
                    <m:r>
                      <w:rPr>
                        <w:rFonts w:ascii="Cambria Math" w:hAnsi="Cambria Math"/>
                        <w:lang w:val="en-GB"/>
                      </w:rPr>
                      <m:t>f</m:t>
                    </m:r>
                  </m:e>
                  <m:sup>
                    <m:r>
                      <w:rPr>
                        <w:rFonts w:ascii="Cambria Math" w:hAnsi="Cambria Math"/>
                        <w:lang w:val="en-GB"/>
                      </w:rPr>
                      <m:t>(M)</m:t>
                    </m:r>
                  </m:sup>
                </m:sSup>
                <m:r>
                  <w:rPr>
                    <w:rFonts w:ascii="Cambria Math" w:hAnsi="Cambria Math"/>
                    <w:lang w:val="en-GB"/>
                  </w:rPr>
                  <m:t>(x)=</m:t>
                </m:r>
                <m:nary>
                  <m:naryPr>
                    <m:chr m:val="∑"/>
                    <m:limLoc m:val="undOvr"/>
                    <m:grow m:val="1"/>
                    <m:ctrlPr>
                      <w:rPr>
                        <w:rFonts w:ascii="Cambria Math" w:hAnsi="Cambria Math"/>
                        <w:lang w:val="en-GB"/>
                      </w:rPr>
                    </m:ctrlPr>
                  </m:naryPr>
                  <m:sub>
                    <m:r>
                      <w:rPr>
                        <w:rFonts w:ascii="Cambria Math" w:hAnsi="Cambria Math"/>
                        <w:lang w:val="en-GB"/>
                      </w:rPr>
                      <m:t>m=1</m:t>
                    </m:r>
                  </m:sub>
                  <m:sup>
                    <m:r>
                      <w:rPr>
                        <w:rFonts w:ascii="Cambria Math" w:hAnsi="Cambria Math"/>
                        <w:lang w:val="en-GB"/>
                      </w:rPr>
                      <m:t>M</m:t>
                    </m:r>
                  </m:sup>
                  <m:e>
                    <m:r>
                      <w:rPr>
                        <w:rFonts w:ascii="Cambria Math" w:hAnsi="Cambria Math"/>
                        <w:lang w:val="en-GB"/>
                      </w:rPr>
                      <m:t>ν</m:t>
                    </m:r>
                    <m:r>
                      <m:rPr>
                        <m:nor/>
                      </m:rPr>
                      <w:rPr>
                        <w:lang w:val="en-GB"/>
                      </w:rPr>
                      <m:t> </m:t>
                    </m:r>
                    <m:sSup>
                      <m:sSupPr>
                        <m:ctrlPr>
                          <w:rPr>
                            <w:rFonts w:ascii="Cambria Math" w:hAnsi="Cambria Math"/>
                            <w:lang w:val="en-GB"/>
                          </w:rPr>
                        </m:ctrlPr>
                      </m:sSupPr>
                      <m:e>
                        <m:r>
                          <w:rPr>
                            <w:rFonts w:ascii="Cambria Math" w:hAnsi="Cambria Math"/>
                            <w:lang w:val="en-GB"/>
                          </w:rPr>
                          <m:t>h</m:t>
                        </m:r>
                      </m:e>
                      <m:sup>
                        <m:r>
                          <w:rPr>
                            <w:rFonts w:ascii="Cambria Math" w:hAnsi="Cambria Math"/>
                            <w:lang w:val="en-GB"/>
                          </w:rPr>
                          <m:t>(m)</m:t>
                        </m:r>
                      </m:sup>
                    </m:sSup>
                    <m:r>
                      <w:rPr>
                        <w:rFonts w:ascii="Cambria Math" w:hAnsi="Cambria Math"/>
                        <w:lang w:val="en-GB"/>
                      </w:rPr>
                      <m:t>(x)</m:t>
                    </m:r>
                  </m:e>
                </m:nary>
                <m:r>
                  <w:rPr>
                    <w:rFonts w:ascii="Cambria Math" w:hAnsi="Cambria Math"/>
                    <w:lang w:val="en-GB"/>
                  </w:rPr>
                  <m:t>,</m:t>
                </m:r>
              </m:oMath>
            </m:oMathPara>
          </w:p>
        </w:tc>
        <w:tc>
          <w:tcPr>
            <w:tcW w:w="986" w:type="dxa"/>
            <w:vAlign w:val="center"/>
            <w:hideMark/>
          </w:tcPr>
          <w:p w14:paraId="63A9F7FA" w14:textId="77777777" w:rsidR="00905074" w:rsidRPr="00500DA3" w:rsidRDefault="00905074" w:rsidP="00EA3BBD">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03646970" w14:textId="512B529B" w:rsidR="00905074" w:rsidRDefault="00905074" w:rsidP="00905074">
      <w:pPr>
        <w:pStyle w:val="MDPI31text"/>
        <w:rPr>
          <w:lang w:val="en-GB"/>
        </w:rPr>
      </w:pPr>
      <w:r w:rsidRPr="00905074">
        <w:rPr>
          <w:lang w:val="en-GB"/>
        </w:rPr>
        <w:t xml:space="preserve">where </w:t>
      </w:r>
      <m:oMath>
        <m:sSup>
          <m:sSupPr>
            <m:ctrlPr>
              <w:rPr>
                <w:rFonts w:ascii="Cambria Math" w:hAnsi="Cambria Math"/>
                <w:lang w:val="en-GB"/>
              </w:rPr>
            </m:ctrlPr>
          </m:sSupPr>
          <m:e>
            <m:r>
              <w:rPr>
                <w:rFonts w:ascii="Cambria Math" w:hAnsi="Cambria Math"/>
                <w:lang w:val="en-GB"/>
              </w:rPr>
              <m:t>h</m:t>
            </m:r>
          </m:e>
          <m:sup>
            <m:r>
              <w:rPr>
                <w:rFonts w:ascii="Cambria Math" w:hAnsi="Cambria Math"/>
                <w:lang w:val="en-GB"/>
              </w:rPr>
              <m:t>(m)</m:t>
            </m:r>
          </m:sup>
        </m:sSup>
        <m:r>
          <w:rPr>
            <w:rFonts w:ascii="Cambria Math" w:hAnsi="Cambria Math"/>
            <w:lang w:val="en-GB"/>
          </w:rPr>
          <m:t>(⋅)</m:t>
        </m:r>
      </m:oMath>
      <w:r w:rsidRPr="00905074">
        <w:rPr>
          <w:lang w:val="en-GB"/>
        </w:rPr>
        <w:t xml:space="preserve">is a regression tree and </w:t>
      </w:r>
      <m:oMath>
        <m:r>
          <w:rPr>
            <w:rFonts w:ascii="Cambria Math" w:hAnsi="Cambria Math"/>
            <w:lang w:val="en-GB"/>
          </w:rPr>
          <m:t>ν∈(0,1]</m:t>
        </m:r>
      </m:oMath>
      <w:r w:rsidRPr="00905074">
        <w:rPr>
          <w:lang w:val="en-GB"/>
        </w:rPr>
        <w:t xml:space="preserve">is a shrinkage parameter controlling learning rate. At iteration </w:t>
      </w:r>
      <m:oMath>
        <m:r>
          <w:rPr>
            <w:rFonts w:ascii="Cambria Math" w:hAnsi="Cambria Math"/>
            <w:lang w:val="en-GB"/>
          </w:rPr>
          <m:t>m</m:t>
        </m:r>
      </m:oMath>
      <w:r w:rsidRPr="00905074">
        <w:rPr>
          <w:lang w:val="en-GB"/>
        </w:rPr>
        <w:t>, the new tree approximates the functional gradient of the loss with respect to the current ensemble:</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905074" w:rsidRPr="00500DA3" w14:paraId="3B540DC8" w14:textId="77777777" w:rsidTr="00EA3BBD">
        <w:tc>
          <w:tcPr>
            <w:tcW w:w="6873" w:type="dxa"/>
            <w:hideMark/>
          </w:tcPr>
          <w:p w14:paraId="68B78F2A" w14:textId="6980408C" w:rsidR="00905074" w:rsidRPr="00500DA3" w:rsidRDefault="00000000" w:rsidP="00EA3BBD">
            <w:pPr>
              <w:pStyle w:val="MDPI39equation"/>
              <w:rPr>
                <w:rFonts w:ascii="Cambria Math" w:hAnsi="Cambria Math"/>
              </w:rPr>
            </w:pPr>
            <m:oMathPara>
              <m:oMath>
                <m:sSup>
                  <m:sSupPr>
                    <m:ctrlPr>
                      <w:rPr>
                        <w:rFonts w:ascii="Cambria Math" w:hAnsi="Cambria Math"/>
                        <w:lang w:val="en-GB"/>
                      </w:rPr>
                    </m:ctrlPr>
                  </m:sSupPr>
                  <m:e>
                    <m:r>
                      <w:rPr>
                        <w:rFonts w:ascii="Cambria Math" w:hAnsi="Cambria Math"/>
                        <w:lang w:val="en-GB"/>
                      </w:rPr>
                      <m:t>h</m:t>
                    </m:r>
                  </m:e>
                  <m:sup>
                    <m:r>
                      <w:rPr>
                        <w:rFonts w:ascii="Cambria Math" w:hAnsi="Cambria Math"/>
                        <w:lang w:val="en-GB"/>
                      </w:rPr>
                      <m:t>(m)</m:t>
                    </m:r>
                  </m:sup>
                </m:sSup>
                <m:r>
                  <w:rPr>
                    <w:rFonts w:ascii="Cambria Math" w:hAnsi="Cambria Math"/>
                    <w:lang w:val="en-GB"/>
                  </w:rPr>
                  <m:t>(x)≈-</m:t>
                </m:r>
                <m:f>
                  <m:fPr>
                    <m:ctrlPr>
                      <w:rPr>
                        <w:rFonts w:ascii="Cambria Math" w:hAnsi="Cambria Math"/>
                        <w:lang w:val="en-GB"/>
                      </w:rPr>
                    </m:ctrlPr>
                  </m:fPr>
                  <m:num>
                    <m:r>
                      <m:rPr>
                        <m:sty m:val="p"/>
                      </m:rPr>
                      <w:rPr>
                        <w:rFonts w:ascii="Cambria Math" w:hAnsi="Cambria Math"/>
                        <w:lang w:val="en-GB"/>
                      </w:rPr>
                      <m:t>∂</m:t>
                    </m:r>
                  </m:num>
                  <m:den>
                    <m:r>
                      <m:rPr>
                        <m:sty m:val="p"/>
                      </m:rPr>
                      <w:rPr>
                        <w:rFonts w:ascii="Cambria Math" w:hAnsi="Cambria Math"/>
                        <w:lang w:val="en-GB"/>
                      </w:rPr>
                      <m:t>∂</m:t>
                    </m:r>
                    <m:r>
                      <w:rPr>
                        <w:rFonts w:ascii="Cambria Math" w:hAnsi="Cambria Math"/>
                        <w:lang w:val="en-GB"/>
                      </w:rPr>
                      <m:t>f</m:t>
                    </m:r>
                  </m:den>
                </m:f>
                <m:r>
                  <m:rPr>
                    <m:scr m:val="script"/>
                  </m:rPr>
                  <w:rPr>
                    <w:rFonts w:ascii="Cambria Math" w:hAnsi="Cambria Math"/>
                    <w:lang w:val="en-GB"/>
                  </w:rPr>
                  <m:t>L(</m:t>
                </m:r>
                <m:r>
                  <w:rPr>
                    <w:rFonts w:ascii="Cambria Math" w:hAnsi="Cambria Math"/>
                    <w:lang w:val="en-GB"/>
                  </w:rPr>
                  <m:t>y,</m:t>
                </m:r>
                <m:sSup>
                  <m:sSupPr>
                    <m:ctrlPr>
                      <w:rPr>
                        <w:rFonts w:ascii="Cambria Math" w:hAnsi="Cambria Math"/>
                        <w:lang w:val="en-GB"/>
                      </w:rPr>
                    </m:ctrlPr>
                  </m:sSupPr>
                  <m:e>
                    <m:r>
                      <w:rPr>
                        <w:rFonts w:ascii="Cambria Math" w:hAnsi="Cambria Math"/>
                        <w:lang w:val="en-GB"/>
                      </w:rPr>
                      <m:t>f</m:t>
                    </m:r>
                  </m:e>
                  <m:sup>
                    <m:r>
                      <w:rPr>
                        <w:rFonts w:ascii="Cambria Math" w:hAnsi="Cambria Math"/>
                        <w:lang w:val="en-GB"/>
                      </w:rPr>
                      <m:t>(m-1)</m:t>
                    </m:r>
                  </m:sup>
                </m:sSup>
                <m:r>
                  <w:rPr>
                    <w:rFonts w:ascii="Cambria Math" w:hAnsi="Cambria Math"/>
                    <w:lang w:val="en-GB"/>
                  </w:rPr>
                  <m:t>(x)),</m:t>
                </m:r>
              </m:oMath>
            </m:oMathPara>
          </w:p>
        </w:tc>
        <w:tc>
          <w:tcPr>
            <w:tcW w:w="986" w:type="dxa"/>
            <w:vAlign w:val="center"/>
            <w:hideMark/>
          </w:tcPr>
          <w:p w14:paraId="64FC3A43" w14:textId="77777777" w:rsidR="00905074" w:rsidRPr="00500DA3" w:rsidRDefault="00905074" w:rsidP="00EA3BBD">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797543F1" w14:textId="77777777" w:rsidR="00905074" w:rsidRPr="00905074" w:rsidRDefault="00905074" w:rsidP="00905074">
      <w:pPr>
        <w:pStyle w:val="MDPI31text"/>
        <w:rPr>
          <w:lang w:val="en-GB"/>
        </w:rPr>
      </w:pPr>
      <w:r w:rsidRPr="00905074">
        <w:rPr>
          <w:lang w:val="en-GB"/>
        </w:rPr>
        <w:t xml:space="preserve">This stage-wise construction enables the model to capture nonlinearities, interaction effects, and discontinuous regimes that are otherwise difficult to encode in parametric or linear models. </w:t>
      </w:r>
      <w:proofErr w:type="spellStart"/>
      <w:r w:rsidRPr="00905074">
        <w:rPr>
          <w:lang w:val="en-GB"/>
        </w:rPr>
        <w:t>XGBoost</w:t>
      </w:r>
      <w:proofErr w:type="spellEnd"/>
      <w:r w:rsidRPr="00905074">
        <w:rPr>
          <w:lang w:val="en-GB"/>
        </w:rPr>
        <w:t xml:space="preserve"> introduces additional refinements—such as tree-wise regularization, subsampling, and sparsity-aware split finding—that enhance robustness and prevent overfitting in high-dimensional financial settings.</w:t>
      </w:r>
    </w:p>
    <w:p w14:paraId="22BC6A44" w14:textId="6B34FE65" w:rsidR="00905074" w:rsidRDefault="00905074" w:rsidP="00905074">
      <w:pPr>
        <w:pStyle w:val="MDPI31text"/>
        <w:rPr>
          <w:lang w:val="en-GB"/>
        </w:rPr>
      </w:pPr>
      <w:r w:rsidRPr="00905074">
        <w:rPr>
          <w:lang w:val="en-GB"/>
        </w:rPr>
        <w:t xml:space="preserve">For each asset </w:t>
      </w:r>
      <m:oMath>
        <m:r>
          <w:rPr>
            <w:rFonts w:ascii="Cambria Math" w:hAnsi="Cambria Math"/>
            <w:lang w:val="en-GB"/>
          </w:rPr>
          <m:t>i</m:t>
        </m:r>
      </m:oMath>
      <w:r w:rsidRPr="00905074">
        <w:rPr>
          <w:lang w:val="en-GB"/>
        </w:rPr>
        <w:t>, the final predictor takes the form</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635052" w:rsidRPr="00500DA3" w14:paraId="61315AD6" w14:textId="77777777" w:rsidTr="00EA3BBD">
        <w:tc>
          <w:tcPr>
            <w:tcW w:w="6873" w:type="dxa"/>
            <w:hideMark/>
          </w:tcPr>
          <w:p w14:paraId="19C59E5B" w14:textId="1857F200" w:rsidR="00635052" w:rsidRPr="00500DA3" w:rsidRDefault="00000000" w:rsidP="00EA3BBD">
            <w:pPr>
              <w:pStyle w:val="MDPI39equation"/>
              <w:rPr>
                <w:rFonts w:ascii="Cambria Math" w:hAnsi="Cambria Math"/>
              </w:rPr>
            </w:pPr>
            <m:oMathPara>
              <m:oMath>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i,t</m:t>
                    </m:r>
                  </m:sub>
                </m:sSub>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k=1</m:t>
                    </m:r>
                  </m:sub>
                  <m:sup>
                    <m:sSub>
                      <m:sSubPr>
                        <m:ctrlPr>
                          <w:rPr>
                            <w:rFonts w:ascii="Cambria Math" w:hAnsi="Cambria Math"/>
                            <w:lang w:val="en-GB"/>
                          </w:rPr>
                        </m:ctrlPr>
                      </m:sSubPr>
                      <m:e>
                        <m:r>
                          <w:rPr>
                            <w:rFonts w:ascii="Cambria Math" w:hAnsi="Cambria Math"/>
                            <w:lang w:val="en-GB"/>
                          </w:rPr>
                          <m:t>K</m:t>
                        </m:r>
                      </m:e>
                      <m:sub>
                        <m:r>
                          <w:rPr>
                            <w:rFonts w:ascii="Cambria Math" w:hAnsi="Cambria Math"/>
                            <w:lang w:val="en-GB"/>
                          </w:rPr>
                          <m:t>i</m:t>
                        </m:r>
                      </m:sub>
                    </m:sSub>
                  </m:sup>
                  <m:e>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i,k</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i,t</m:t>
                        </m:r>
                      </m:sub>
                    </m:sSub>
                    <m:r>
                      <w:rPr>
                        <w:rFonts w:ascii="Cambria Math" w:hAnsi="Cambria Math"/>
                        <w:lang w:val="en-GB"/>
                      </w:rPr>
                      <m:t>),</m:t>
                    </m:r>
                  </m:e>
                </m:nary>
              </m:oMath>
            </m:oMathPara>
          </w:p>
        </w:tc>
        <w:tc>
          <w:tcPr>
            <w:tcW w:w="986" w:type="dxa"/>
            <w:vAlign w:val="center"/>
            <w:hideMark/>
          </w:tcPr>
          <w:p w14:paraId="4D58C2AE" w14:textId="77777777" w:rsidR="00635052" w:rsidRPr="00500DA3" w:rsidRDefault="00635052" w:rsidP="00EA3BBD">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069841E8" w14:textId="77777777" w:rsidR="00635052" w:rsidRPr="00905074" w:rsidRDefault="00635052" w:rsidP="00905074">
      <w:pPr>
        <w:pStyle w:val="MDPI31text"/>
        <w:rPr>
          <w:lang w:val="en-GB"/>
        </w:rPr>
      </w:pPr>
    </w:p>
    <w:p w14:paraId="43DB0419" w14:textId="409D50F1" w:rsidR="00006D78" w:rsidRDefault="00006D78" w:rsidP="00006D78">
      <w:pPr>
        <w:pStyle w:val="MDPI31text"/>
        <w:rPr>
          <w:lang w:val="en-GB"/>
        </w:rPr>
      </w:pPr>
      <w:r w:rsidRPr="00006D78">
        <w:rPr>
          <w:lang w:val="en-GB"/>
        </w:rPr>
        <w:t xml:space="preserve">where each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i,k</m:t>
            </m:r>
          </m:sub>
        </m:sSub>
      </m:oMath>
      <w:r w:rsidRPr="00006D78">
        <w:rPr>
          <w:lang w:val="en-GB"/>
        </w:rPr>
        <w:t xml:space="preserve">is a regression tree. A tree partitions the feature space into leaf </w:t>
      </w:r>
      <w:proofErr w:type="gramStart"/>
      <w:r w:rsidRPr="00006D78">
        <w:rPr>
          <w:lang w:val="en-GB"/>
        </w:rPr>
        <w:t>regions, and</w:t>
      </w:r>
      <w:proofErr w:type="gramEnd"/>
      <w:r w:rsidRPr="00006D78">
        <w:rPr>
          <w:lang w:val="en-GB"/>
        </w:rPr>
        <w:t xml:space="preserve"> assigns a constant weight to each leaf. This can be expressed as</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635052" w:rsidRPr="00500DA3" w14:paraId="7846EB6D" w14:textId="77777777" w:rsidTr="00EA3BBD">
        <w:tc>
          <w:tcPr>
            <w:tcW w:w="6873" w:type="dxa"/>
            <w:hideMark/>
          </w:tcPr>
          <w:p w14:paraId="2DEC91D3" w14:textId="11FCF02D" w:rsidR="00635052" w:rsidRPr="00500DA3" w:rsidRDefault="00000000" w:rsidP="00EA3BBD">
            <w:pPr>
              <w:pStyle w:val="MDPI39equation"/>
              <w:rPr>
                <w:rFonts w:ascii="Cambria Math" w:hAnsi="Cambria Math"/>
              </w:rPr>
            </w:pPr>
            <m:oMathPara>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i,k</m:t>
                    </m:r>
                  </m:sub>
                </m:sSub>
                <m:d>
                  <m:dPr>
                    <m:ctrlPr>
                      <w:rPr>
                        <w:rFonts w:ascii="Cambria Math" w:hAnsi="Cambria Math"/>
                        <w:i/>
                        <w:lang w:val="en-GB"/>
                      </w:rPr>
                    </m:ctrlPr>
                  </m:dPr>
                  <m:e>
                    <m:r>
                      <w:rPr>
                        <w:rFonts w:ascii="Cambria Math" w:hAnsi="Cambria Math"/>
                        <w:lang w:val="en-GB"/>
                      </w:rPr>
                      <m:t>x</m:t>
                    </m:r>
                  </m:e>
                </m:d>
                <m:r>
                  <w:rPr>
                    <w:rFonts w:ascii="Cambria Math" w:hAnsi="Cambria Math"/>
                    <w:lang w:val="en-GB"/>
                  </w:rPr>
                  <m:t>=</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q</m:t>
                    </m:r>
                    <m:d>
                      <m:dPr>
                        <m:ctrlPr>
                          <w:rPr>
                            <w:rFonts w:ascii="Cambria Math" w:hAnsi="Cambria Math"/>
                            <w:i/>
                            <w:lang w:val="en-GB"/>
                          </w:rPr>
                        </m:ctrlPr>
                      </m:dPr>
                      <m:e>
                        <m:r>
                          <w:rPr>
                            <w:rFonts w:ascii="Cambria Math" w:hAnsi="Cambria Math"/>
                            <w:lang w:val="en-GB"/>
                          </w:rPr>
                          <m:t>x</m:t>
                        </m:r>
                      </m:e>
                    </m:d>
                  </m:sub>
                </m:sSub>
                <m:r>
                  <w:rPr>
                    <w:rFonts w:ascii="Cambria Math" w:hAnsi="Cambria Math"/>
                    <w:lang w:val="en-GB"/>
                  </w:rPr>
                  <m:t>,</m:t>
                </m:r>
              </m:oMath>
            </m:oMathPara>
          </w:p>
        </w:tc>
        <w:tc>
          <w:tcPr>
            <w:tcW w:w="986" w:type="dxa"/>
            <w:vAlign w:val="center"/>
            <w:hideMark/>
          </w:tcPr>
          <w:p w14:paraId="67A32171" w14:textId="77777777" w:rsidR="00635052" w:rsidRPr="00500DA3" w:rsidRDefault="00635052" w:rsidP="00EA3BBD">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5913C98A" w14:textId="7429FD31" w:rsidR="00006D78" w:rsidRPr="00006D78" w:rsidRDefault="00006D78" w:rsidP="00006D78">
      <w:pPr>
        <w:pStyle w:val="MDPI31text"/>
        <w:rPr>
          <w:lang w:val="en-GB"/>
        </w:rPr>
      </w:pPr>
      <w:r w:rsidRPr="00006D78">
        <w:rPr>
          <w:lang w:val="en-GB"/>
        </w:rPr>
        <w:t xml:space="preserve">where </w:t>
      </w:r>
      <m:oMath>
        <m:r>
          <w:rPr>
            <w:rFonts w:ascii="Cambria Math" w:hAnsi="Cambria Math"/>
            <w:lang w:val="en-GB"/>
          </w:rPr>
          <m:t>q(x)</m:t>
        </m:r>
      </m:oMath>
      <w:r w:rsidRPr="00006D78">
        <w:rPr>
          <w:lang w:val="en-GB"/>
        </w:rPr>
        <w:t xml:space="preserve">maps input </w:t>
      </w:r>
      <m:oMath>
        <m:r>
          <w:rPr>
            <w:rFonts w:ascii="Cambria Math" w:hAnsi="Cambria Math"/>
            <w:lang w:val="en-GB"/>
          </w:rPr>
          <m:t>x</m:t>
        </m:r>
      </m:oMath>
      <w:r w:rsidRPr="00006D78">
        <w:rPr>
          <w:lang w:val="en-GB"/>
        </w:rPr>
        <w:t xml:space="preserve">to a leaf index and </w:t>
      </w:r>
      <m:oMath>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q(x)</m:t>
            </m:r>
          </m:sub>
        </m:sSub>
      </m:oMath>
      <w:r w:rsidRPr="00006D78">
        <w:rPr>
          <w:lang w:val="en-GB"/>
        </w:rPr>
        <w:t>is the corresponding leaf weight.</w:t>
      </w:r>
    </w:p>
    <w:p w14:paraId="67278DA5" w14:textId="77777777" w:rsidR="00006D78" w:rsidRDefault="00006D78" w:rsidP="00006D78">
      <w:pPr>
        <w:pStyle w:val="MDPI31text"/>
        <w:rPr>
          <w:lang w:val="en-GB"/>
        </w:rPr>
      </w:pPr>
      <w:proofErr w:type="spellStart"/>
      <w:r w:rsidRPr="00006D78">
        <w:rPr>
          <w:lang w:val="en-GB"/>
        </w:rPr>
        <w:t>XGBoost</w:t>
      </w:r>
      <w:proofErr w:type="spellEnd"/>
      <w:r w:rsidRPr="00006D78">
        <w:rPr>
          <w:lang w:val="en-GB"/>
        </w:rPr>
        <w:t xml:space="preserve"> estimates the ensemble by minimizing a regularized objective based on a second-order Taylor expansion of the loss function. The objective is:</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635052" w:rsidRPr="00500DA3" w14:paraId="60DF3208" w14:textId="77777777" w:rsidTr="00EA3BBD">
        <w:tc>
          <w:tcPr>
            <w:tcW w:w="6873" w:type="dxa"/>
            <w:hideMark/>
          </w:tcPr>
          <w:p w14:paraId="5273B351" w14:textId="5C30CC51" w:rsidR="00635052" w:rsidRPr="00500DA3" w:rsidRDefault="00000000" w:rsidP="00EA3BBD">
            <w:pPr>
              <w:pStyle w:val="MDPI39equation"/>
              <w:rPr>
                <w:rFonts w:ascii="Cambria Math" w:hAnsi="Cambria Math"/>
              </w:rPr>
            </w:pPr>
            <m:oMathPara>
              <m:oMath>
                <m:limLow>
                  <m:limLowPr>
                    <m:ctrlPr>
                      <w:rPr>
                        <w:rFonts w:ascii="Cambria Math" w:hAnsi="Cambria Math"/>
                        <w:lang w:val="en-GB"/>
                      </w:rPr>
                    </m:ctrlPr>
                  </m:limLowPr>
                  <m:e>
                    <m:r>
                      <m:rPr>
                        <m:sty m:val="p"/>
                      </m:rPr>
                      <w:rPr>
                        <w:rFonts w:ascii="Cambria Math" w:hAnsi="Cambria Math"/>
                        <w:lang w:val="en-GB"/>
                      </w:rPr>
                      <m:t>min</m:t>
                    </m:r>
                    <m:r>
                      <w:rPr>
                        <w:rFonts w:ascii="Cambria Math" w:hAnsi="Cambria Math"/>
                        <w:lang w:val="en-GB"/>
                      </w:rPr>
                      <m:t>⁡</m:t>
                    </m:r>
                  </m:e>
                  <m:lim>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i</m:t>
                        </m:r>
                      </m:sub>
                    </m:sSub>
                  </m:lim>
                </m:limLow>
                <m:d>
                  <m:dPr>
                    <m:begChr m:val="{"/>
                    <m:endChr m:val="}"/>
                    <m:ctrlPr>
                      <w:rPr>
                        <w:rFonts w:ascii="Cambria Math" w:hAnsi="Cambria Math"/>
                        <w:i/>
                        <w:lang w:val="en-GB"/>
                      </w:rPr>
                    </m:ctrlPr>
                  </m:dPr>
                  <m:e>
                    <m:nary>
                      <m:naryPr>
                        <m:chr m:val="∑"/>
                        <m:limLoc m:val="undOvr"/>
                        <m:grow m:val="1"/>
                        <m:supHide m:val="1"/>
                        <m:ctrlPr>
                          <w:rPr>
                            <w:rFonts w:ascii="Cambria Math" w:hAnsi="Cambria Math"/>
                            <w:lang w:val="en-GB"/>
                          </w:rPr>
                        </m:ctrlPr>
                      </m:naryPr>
                      <m:sub>
                        <m:r>
                          <w:rPr>
                            <w:rFonts w:ascii="Cambria Math" w:hAnsi="Cambria Math"/>
                            <w:lang w:val="en-GB"/>
                          </w:rPr>
                          <m:t>t</m:t>
                        </m:r>
                      </m:sub>
                      <m:sup/>
                      <m:e>
                        <m:r>
                          <m:rPr>
                            <m:scr m:val="script"/>
                          </m:rPr>
                          <w:rPr>
                            <w:rFonts w:ascii="Cambria Math" w:hAnsi="Cambria Math"/>
                            <w:lang w:val="en-GB"/>
                          </w:rPr>
                          <m:t>L</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θ</m:t>
                                </m:r>
                              </m:e>
                              <m:sub>
                                <m:r>
                                  <w:rPr>
                                    <w:rFonts w:ascii="Cambria Math" w:hAnsi="Cambria Math"/>
                                    <w:lang w:val="en-GB"/>
                                  </w:rPr>
                                  <m:t>i</m:t>
                                </m:r>
                              </m:sub>
                            </m:sSub>
                            <m:r>
                              <w:rPr>
                                <w:rFonts w:ascii="Cambria Math" w:hAnsi="Cambria Math"/>
                                <w:lang w:val="en-GB"/>
                              </w:rPr>
                              <m:t>)</m:t>
                            </m:r>
                          </m:e>
                        </m:d>
                      </m:e>
                    </m:nary>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k=1</m:t>
                        </m:r>
                      </m:sub>
                      <m:sup>
                        <m:sSub>
                          <m:sSubPr>
                            <m:ctrlPr>
                              <w:rPr>
                                <w:rFonts w:ascii="Cambria Math" w:hAnsi="Cambria Math"/>
                                <w:lang w:val="en-GB"/>
                              </w:rPr>
                            </m:ctrlPr>
                          </m:sSubPr>
                          <m:e>
                            <m:r>
                              <w:rPr>
                                <w:rFonts w:ascii="Cambria Math" w:hAnsi="Cambria Math"/>
                                <w:lang w:val="en-GB"/>
                              </w:rPr>
                              <m:t>K</m:t>
                            </m:r>
                          </m:e>
                          <m:sub>
                            <m:r>
                              <w:rPr>
                                <w:rFonts w:ascii="Cambria Math" w:hAnsi="Cambria Math"/>
                                <w:lang w:val="en-GB"/>
                              </w:rPr>
                              <m:t>i</m:t>
                            </m:r>
                          </m:sub>
                        </m:sSub>
                      </m:sup>
                      <m:e>
                        <m:r>
                          <m:rPr>
                            <m:sty m:val="p"/>
                          </m:rPr>
                          <w:rPr>
                            <w:rFonts w:ascii="Cambria Math" w:hAnsi="Cambria Math"/>
                            <w:lang w:val="en-GB"/>
                          </w:rPr>
                          <m:t>Ω</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i,k</m:t>
                                </m:r>
                              </m:sub>
                            </m:sSub>
                          </m:e>
                        </m:d>
                      </m:e>
                    </m:nary>
                  </m:e>
                </m:d>
                <m:r>
                  <w:rPr>
                    <w:rFonts w:ascii="Cambria Math" w:hAnsi="Cambria Math"/>
                    <w:lang w:val="en-GB"/>
                  </w:rPr>
                  <m:t>,</m:t>
                </m:r>
              </m:oMath>
            </m:oMathPara>
          </w:p>
        </w:tc>
        <w:tc>
          <w:tcPr>
            <w:tcW w:w="986" w:type="dxa"/>
            <w:vAlign w:val="center"/>
            <w:hideMark/>
          </w:tcPr>
          <w:p w14:paraId="3BB31952" w14:textId="77777777" w:rsidR="00635052" w:rsidRPr="00500DA3" w:rsidRDefault="00635052" w:rsidP="00EA3BBD">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7236CA64" w14:textId="77777777" w:rsidR="00006D78" w:rsidRDefault="00006D78" w:rsidP="00006D78">
      <w:pPr>
        <w:pStyle w:val="MDPI31text"/>
        <w:rPr>
          <w:lang w:val="en-GB"/>
        </w:rPr>
      </w:pPr>
      <w:r w:rsidRPr="00006D78">
        <w:rPr>
          <w:lang w:val="en-GB"/>
        </w:rPr>
        <w:t>where the loss is the squared error,</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635052" w:rsidRPr="00500DA3" w14:paraId="60420766" w14:textId="77777777" w:rsidTr="00EA3BBD">
        <w:tc>
          <w:tcPr>
            <w:tcW w:w="6873" w:type="dxa"/>
            <w:hideMark/>
          </w:tcPr>
          <w:p w14:paraId="31777F20" w14:textId="3CAA92E9" w:rsidR="00635052" w:rsidRPr="00500DA3" w:rsidRDefault="00635052" w:rsidP="00EA3BBD">
            <w:pPr>
              <w:pStyle w:val="MDPI39equation"/>
              <w:rPr>
                <w:rFonts w:ascii="Cambria Math" w:hAnsi="Cambria Math"/>
              </w:rPr>
            </w:pPr>
            <m:oMathPara>
              <m:oMath>
                <m:r>
                  <m:rPr>
                    <m:scr m:val="script"/>
                  </m:rPr>
                  <w:rPr>
                    <w:rFonts w:ascii="Cambria Math" w:hAnsi="Cambria Math"/>
                    <w:lang w:val="en-GB"/>
                  </w:rPr>
                  <m:t>L(</m:t>
                </m:r>
                <m:r>
                  <w:rPr>
                    <w:rFonts w:ascii="Cambria Math" w:hAnsi="Cambria Math"/>
                    <w:lang w:val="en-GB"/>
                  </w:rPr>
                  <m:t>y,</m:t>
                </m:r>
                <m:acc>
                  <m:accPr>
                    <m:ctrlPr>
                      <w:rPr>
                        <w:rFonts w:ascii="Cambria Math" w:hAnsi="Cambria Math"/>
                        <w:lang w:val="en-GB"/>
                      </w:rPr>
                    </m:ctrlPr>
                  </m:accPr>
                  <m:e>
                    <m:r>
                      <w:rPr>
                        <w:rFonts w:ascii="Cambria Math" w:hAnsi="Cambria Math"/>
                        <w:lang w:val="en-GB"/>
                      </w:rPr>
                      <m:t>y</m:t>
                    </m:r>
                  </m:e>
                </m:acc>
                <m:r>
                  <w:rPr>
                    <w:rFonts w:ascii="Cambria Math" w:hAnsi="Cambria Math"/>
                    <w:lang w:val="en-GB"/>
                  </w:rPr>
                  <m:t>)=(y-</m:t>
                </m:r>
                <m:acc>
                  <m:accPr>
                    <m:ctrlPr>
                      <w:rPr>
                        <w:rFonts w:ascii="Cambria Math" w:hAnsi="Cambria Math"/>
                        <w:lang w:val="en-GB"/>
                      </w:rPr>
                    </m:ctrlPr>
                  </m:accPr>
                  <m:e>
                    <m:r>
                      <w:rPr>
                        <w:rFonts w:ascii="Cambria Math" w:hAnsi="Cambria Math"/>
                        <w:lang w:val="en-GB"/>
                      </w:rPr>
                      <m:t>y</m:t>
                    </m:r>
                  </m:e>
                </m:acc>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m:t>
                </m:r>
              </m:oMath>
            </m:oMathPara>
          </w:p>
        </w:tc>
        <w:tc>
          <w:tcPr>
            <w:tcW w:w="986" w:type="dxa"/>
            <w:vAlign w:val="center"/>
            <w:hideMark/>
          </w:tcPr>
          <w:p w14:paraId="5054CCCF" w14:textId="77777777" w:rsidR="00635052" w:rsidRPr="00500DA3" w:rsidRDefault="00635052" w:rsidP="00EA3BBD">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70A3E71E" w14:textId="1B396F91" w:rsidR="00006D78" w:rsidRDefault="00006D78" w:rsidP="00006D78">
      <w:pPr>
        <w:pStyle w:val="MDPI31text"/>
        <w:rPr>
          <w:lang w:val="en-GB"/>
        </w:rPr>
      </w:pPr>
      <w:r w:rsidRPr="00006D78">
        <w:rPr>
          <w:lang w:val="en-GB"/>
        </w:rPr>
        <w:t xml:space="preserve">and the regularization penalty for tree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i,k</m:t>
            </m:r>
          </m:sub>
        </m:sSub>
      </m:oMath>
      <w:r w:rsidRPr="00006D78">
        <w:rPr>
          <w:lang w:val="en-GB"/>
        </w:rPr>
        <w:t>is</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635052" w:rsidRPr="00500DA3" w14:paraId="0F246271" w14:textId="77777777" w:rsidTr="00EA3BBD">
        <w:tc>
          <w:tcPr>
            <w:tcW w:w="6873" w:type="dxa"/>
            <w:hideMark/>
          </w:tcPr>
          <w:p w14:paraId="32CA871B" w14:textId="05C12CCA" w:rsidR="00635052" w:rsidRPr="00500DA3" w:rsidRDefault="00635052" w:rsidP="00EA3BBD">
            <w:pPr>
              <w:pStyle w:val="MDPI39equation"/>
              <w:rPr>
                <w:rFonts w:ascii="Cambria Math" w:hAnsi="Cambria Math"/>
              </w:rPr>
            </w:pPr>
            <m:oMathPara>
              <m:oMath>
                <m:r>
                  <m:rPr>
                    <m:sty m:val="p"/>
                  </m:rPr>
                  <w:rPr>
                    <w:rFonts w:ascii="Cambria Math" w:hAnsi="Cambria Math"/>
                    <w:lang w:val="en-GB"/>
                  </w:rPr>
                  <m:t>Ω</m:t>
                </m:r>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i,k</m:t>
                    </m:r>
                  </m:sub>
                </m:sSub>
                <m:r>
                  <w:rPr>
                    <w:rFonts w:ascii="Cambria Math" w:hAnsi="Cambria Math"/>
                    <w:lang w:val="en-GB"/>
                  </w:rPr>
                  <m:t>)=α</m:t>
                </m:r>
                <m:r>
                  <m:rPr>
                    <m:nor/>
                  </m:rPr>
                  <w:rPr>
                    <w:lang w:val="en-GB"/>
                  </w:rPr>
                  <m:t> </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k</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λ</m:t>
                    </m:r>
                  </m:num>
                  <m:den>
                    <m:r>
                      <w:rPr>
                        <w:rFonts w:ascii="Cambria Math" w:hAnsi="Cambria Math"/>
                        <w:lang w:val="en-GB"/>
                      </w:rPr>
                      <m:t>2</m:t>
                    </m:r>
                  </m:den>
                </m:f>
                <m:nary>
                  <m:naryPr>
                    <m:chr m:val="∑"/>
                    <m:limLoc m:val="undOvr"/>
                    <m:grow m:val="1"/>
                    <m:ctrlPr>
                      <w:rPr>
                        <w:rFonts w:ascii="Cambria Math" w:hAnsi="Cambria Math"/>
                        <w:lang w:val="en-GB"/>
                      </w:rPr>
                    </m:ctrlPr>
                  </m:naryPr>
                  <m:sub>
                    <m:r>
                      <w:rPr>
                        <w:rFonts w:ascii="Cambria Math" w:hAnsi="Cambria Math"/>
                        <w:lang w:val="en-GB"/>
                      </w:rPr>
                      <m:t>j=1</m:t>
                    </m:r>
                  </m:sub>
                  <m:sup>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k</m:t>
                        </m:r>
                      </m:sub>
                    </m:sSub>
                  </m:sup>
                  <m:e>
                    <m:sSubSup>
                      <m:sSubSupPr>
                        <m:ctrlPr>
                          <w:rPr>
                            <w:rFonts w:ascii="Cambria Math" w:hAnsi="Cambria Math"/>
                            <w:lang w:val="en-GB"/>
                          </w:rPr>
                        </m:ctrlPr>
                      </m:sSubSupPr>
                      <m:e>
                        <m:r>
                          <w:rPr>
                            <w:rFonts w:ascii="Cambria Math" w:hAnsi="Cambria Math"/>
                            <w:lang w:val="en-GB"/>
                          </w:rPr>
                          <m:t>w</m:t>
                        </m:r>
                      </m:e>
                      <m:sub>
                        <m:r>
                          <w:rPr>
                            <w:rFonts w:ascii="Cambria Math" w:hAnsi="Cambria Math"/>
                            <w:lang w:val="en-GB"/>
                          </w:rPr>
                          <m:t>j</m:t>
                        </m:r>
                      </m:sub>
                      <m:sup>
                        <m:r>
                          <w:rPr>
                            <w:rFonts w:ascii="Cambria Math" w:hAnsi="Cambria Math"/>
                            <w:lang w:val="en-GB"/>
                          </w:rPr>
                          <m:t>2</m:t>
                        </m:r>
                      </m:sup>
                    </m:sSubSup>
                  </m:e>
                </m:nary>
                <m:r>
                  <w:rPr>
                    <w:rFonts w:ascii="Cambria Math" w:hAnsi="Cambria Math"/>
                    <w:lang w:val="en-GB"/>
                  </w:rPr>
                  <m:t>,</m:t>
                </m:r>
              </m:oMath>
            </m:oMathPara>
          </w:p>
        </w:tc>
        <w:tc>
          <w:tcPr>
            <w:tcW w:w="986" w:type="dxa"/>
            <w:vAlign w:val="center"/>
            <w:hideMark/>
          </w:tcPr>
          <w:p w14:paraId="1EADDDD8" w14:textId="77777777" w:rsidR="00635052" w:rsidRPr="00500DA3" w:rsidRDefault="00635052" w:rsidP="00EA3BBD">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5330E866" w14:textId="367D1AD7" w:rsidR="00006D78" w:rsidRPr="00006D78" w:rsidRDefault="00006D78" w:rsidP="00006D78">
      <w:pPr>
        <w:pStyle w:val="MDPI31text"/>
        <w:rPr>
          <w:lang w:val="en-GB"/>
        </w:rPr>
      </w:pPr>
      <w:r w:rsidRPr="00006D78">
        <w:rPr>
          <w:lang w:val="en-GB"/>
        </w:rPr>
        <w:t xml:space="preserve">Here </w:t>
      </w:r>
      <m:oMath>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k</m:t>
            </m:r>
          </m:sub>
        </m:sSub>
      </m:oMath>
      <w:r w:rsidR="00635052">
        <w:rPr>
          <w:lang w:val="en-GB"/>
        </w:rPr>
        <w:t xml:space="preserve"> </w:t>
      </w:r>
      <w:r w:rsidRPr="00006D78">
        <w:rPr>
          <w:lang w:val="en-GB"/>
        </w:rPr>
        <w:t xml:space="preserve">is the number of leaves in the tree, while </w:t>
      </w:r>
      <m:oMath>
        <m:r>
          <w:rPr>
            <w:rFonts w:ascii="Cambria Math" w:hAnsi="Cambria Math"/>
            <w:lang w:val="en-GB"/>
          </w:rPr>
          <m:t>α</m:t>
        </m:r>
      </m:oMath>
      <w:r w:rsidRPr="00006D78">
        <w:rPr>
          <w:lang w:val="en-GB"/>
        </w:rPr>
        <w:t xml:space="preserve">and </w:t>
      </w:r>
      <m:oMath>
        <m:r>
          <w:rPr>
            <w:rFonts w:ascii="Cambria Math" w:hAnsi="Cambria Math"/>
            <w:lang w:val="en-GB"/>
          </w:rPr>
          <m:t>λ</m:t>
        </m:r>
      </m:oMath>
      <w:r w:rsidR="00635052">
        <w:rPr>
          <w:lang w:val="en-GB"/>
        </w:rPr>
        <w:t xml:space="preserve"> </w:t>
      </w:r>
      <w:r w:rsidRPr="00006D78">
        <w:rPr>
          <w:lang w:val="en-GB"/>
        </w:rPr>
        <w:t xml:space="preserve">control tree size and weight shrinkage. The use of both </w:t>
      </w:r>
      <w:r w:rsidR="00635052" w:rsidRPr="00006D78">
        <w:rPr>
          <w:lang w:val="en-GB"/>
        </w:rPr>
        <w:t>first order</w:t>
      </w:r>
      <w:r w:rsidRPr="00006D78">
        <w:rPr>
          <w:lang w:val="en-GB"/>
        </w:rPr>
        <w:t xml:space="preserve"> and second</w:t>
      </w:r>
      <w:r w:rsidR="00635052">
        <w:rPr>
          <w:lang w:val="en-GB"/>
        </w:rPr>
        <w:t xml:space="preserve"> </w:t>
      </w:r>
      <w:r w:rsidRPr="00006D78">
        <w:rPr>
          <w:lang w:val="en-GB"/>
        </w:rPr>
        <w:t xml:space="preserve">order derivatives </w:t>
      </w:r>
      <w:proofErr w:type="gramStart"/>
      <w:r w:rsidRPr="00006D78">
        <w:rPr>
          <w:lang w:val="en-GB"/>
        </w:rPr>
        <w:t>allows</w:t>
      </w:r>
      <w:proofErr w:type="gramEnd"/>
      <w:r w:rsidRPr="00006D78">
        <w:rPr>
          <w:lang w:val="en-GB"/>
        </w:rPr>
        <w:t xml:space="preserve"> </w:t>
      </w:r>
      <w:proofErr w:type="spellStart"/>
      <w:r w:rsidRPr="00006D78">
        <w:rPr>
          <w:lang w:val="en-GB"/>
        </w:rPr>
        <w:t>XGBoost</w:t>
      </w:r>
      <w:proofErr w:type="spellEnd"/>
      <w:r w:rsidRPr="00006D78">
        <w:rPr>
          <w:lang w:val="en-GB"/>
        </w:rPr>
        <w:t xml:space="preserve"> to compute split gains efficiently and robustly, making it well-suited for noisy financial data with complex nonlinear patterns.</w:t>
      </w:r>
    </w:p>
    <w:p w14:paraId="165067D3" w14:textId="77777777" w:rsidR="00006D78" w:rsidRDefault="00006D78" w:rsidP="00006D78">
      <w:pPr>
        <w:pStyle w:val="MDPI31text"/>
        <w:rPr>
          <w:lang w:val="en-GB"/>
        </w:rPr>
      </w:pPr>
      <w:r w:rsidRPr="00006D78">
        <w:rPr>
          <w:lang w:val="en-GB"/>
        </w:rPr>
        <w:t>All assets share the same unified feature library consisting of technical indicators, Fama–French–style factor returns, and macroeconomic variables. A SHAP-based feature-selection gate (Section 3.3) is applied once to identify a compact set of stable and predictive features; this set is then used for all Stage-1 models to ensure consistency.</w:t>
      </w:r>
    </w:p>
    <w:p w14:paraId="12D0C7C1" w14:textId="6CEA5830" w:rsidR="00BF15F1" w:rsidRDefault="00BF15F1" w:rsidP="00BF15F1">
      <w:pPr>
        <w:pStyle w:val="MDPI22heading2"/>
        <w:spacing w:before="240"/>
        <w:rPr>
          <w:noProof w:val="0"/>
        </w:rPr>
      </w:pPr>
      <w:r w:rsidRPr="00500DA3">
        <w:rPr>
          <w:noProof w:val="0"/>
        </w:rPr>
        <w:t>3.</w:t>
      </w:r>
      <w:r>
        <w:rPr>
          <w:noProof w:val="0"/>
        </w:rPr>
        <w:t>2</w:t>
      </w:r>
      <w:r w:rsidRPr="00500DA3">
        <w:rPr>
          <w:noProof w:val="0"/>
        </w:rPr>
        <w:t>.</w:t>
      </w:r>
      <w:r>
        <w:rPr>
          <w:noProof w:val="0"/>
        </w:rPr>
        <w:t xml:space="preserve">2. </w:t>
      </w:r>
      <w:r w:rsidRPr="00BF15F1">
        <w:rPr>
          <w:noProof w:val="0"/>
        </w:rPr>
        <w:t>Model Training and Forward-Return Prediction</w:t>
      </w:r>
    </w:p>
    <w:p w14:paraId="33C85FA8" w14:textId="683604C6" w:rsidR="00BF15F1" w:rsidRDefault="00BF15F1" w:rsidP="00BF15F1">
      <w:pPr>
        <w:pStyle w:val="MDPI31text"/>
        <w:rPr>
          <w:lang w:val="en-GB"/>
        </w:rPr>
      </w:pPr>
      <w:r w:rsidRPr="00BF15F1">
        <w:rPr>
          <w:lang w:val="en-GB"/>
        </w:rPr>
        <w:t xml:space="preserve">Let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i,t+1</m:t>
            </m:r>
          </m:sub>
        </m:sSub>
        <m:r>
          <w:rPr>
            <w:rFonts w:ascii="Cambria Math" w:hAnsi="Cambria Math"/>
            <w:lang w:val="en-GB"/>
          </w:rPr>
          <m:t xml:space="preserve"> </m:t>
        </m:r>
      </m:oMath>
      <w:r w:rsidRPr="00BF15F1">
        <w:rPr>
          <w:lang w:val="en-GB"/>
        </w:rPr>
        <w:t xml:space="preserve">denote the simple return of asset </w:t>
      </w:r>
      <m:oMath>
        <m:r>
          <w:rPr>
            <w:rFonts w:ascii="Cambria Math" w:hAnsi="Cambria Math"/>
            <w:lang w:val="en-GB"/>
          </w:rPr>
          <m:t xml:space="preserve">i </m:t>
        </m:r>
      </m:oMath>
      <w:r w:rsidRPr="00BF15F1">
        <w:rPr>
          <w:lang w:val="en-GB"/>
        </w:rPr>
        <w:t xml:space="preserve">from day </w:t>
      </w:r>
      <m:oMath>
        <m:r>
          <w:rPr>
            <w:rFonts w:ascii="Cambria Math" w:hAnsi="Cambria Math"/>
            <w:lang w:val="en-GB"/>
          </w:rPr>
          <m:t>t</m:t>
        </m:r>
      </m:oMath>
      <w:r w:rsidR="00165A6F">
        <w:rPr>
          <w:lang w:val="en-GB"/>
        </w:rPr>
        <w:t xml:space="preserve"> </w:t>
      </w:r>
      <w:r w:rsidRPr="00BF15F1">
        <w:rPr>
          <w:lang w:val="en-GB"/>
        </w:rPr>
        <w:t xml:space="preserve">to day </w:t>
      </w:r>
      <m:oMath>
        <m:r>
          <w:rPr>
            <w:rFonts w:ascii="Cambria Math" w:hAnsi="Cambria Math"/>
            <w:lang w:val="en-GB"/>
          </w:rPr>
          <m:t>t+1</m:t>
        </m:r>
      </m:oMath>
      <w:r w:rsidRPr="00BF15F1">
        <w:rPr>
          <w:lang w:val="en-GB"/>
        </w:rPr>
        <w:t xml:space="preserve">. For a forecasting horizon of </w:t>
      </w:r>
      <m:oMath>
        <m:r>
          <w:rPr>
            <w:rFonts w:ascii="Cambria Math" w:hAnsi="Cambria Math"/>
            <w:lang w:val="en-GB"/>
          </w:rPr>
          <m:t xml:space="preserve">H </m:t>
        </m:r>
      </m:oMath>
      <w:r w:rsidRPr="00BF15F1">
        <w:rPr>
          <w:lang w:val="en-GB"/>
        </w:rPr>
        <w:t>trading days, the supervised learning target is the cumulative simple return:</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8C386E" w:rsidRPr="00500DA3" w14:paraId="75D0B330" w14:textId="77777777" w:rsidTr="00EA3BBD">
        <w:tc>
          <w:tcPr>
            <w:tcW w:w="6873" w:type="dxa"/>
            <w:hideMark/>
          </w:tcPr>
          <w:p w14:paraId="32010F11" w14:textId="7A9756B8" w:rsidR="008C386E" w:rsidRPr="00500DA3" w:rsidRDefault="00000000" w:rsidP="00EA3BBD">
            <w:pPr>
              <w:pStyle w:val="MDPI39equation"/>
              <w:rPr>
                <w:rFonts w:ascii="Cambria Math" w:hAnsi="Cambria Math"/>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i,t</m:t>
                    </m:r>
                  </m:sub>
                </m:sSub>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h=</m:t>
                    </m:r>
                    <m:r>
                      <w:rPr>
                        <w:rFonts w:ascii="Cambria Math" w:hAnsi="Cambria Math"/>
                        <w:lang w:val="en-GB"/>
                      </w:rPr>
                      <m:t>1</m:t>
                    </m:r>
                  </m:sub>
                  <m:sup>
                    <m:r>
                      <w:rPr>
                        <w:rFonts w:ascii="Cambria Math" w:hAnsi="Cambria Math"/>
                        <w:lang w:val="en-GB"/>
                      </w:rPr>
                      <m:t>H</m:t>
                    </m:r>
                  </m:sup>
                  <m:e>
                    <m:r>
                      <w:rPr>
                        <w:rFonts w:ascii="Cambria Math" w:hAnsi="Cambria Math"/>
                        <w:lang w:val="en-GB"/>
                      </w:rPr>
                      <m:t>(1+</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i,t+h</m:t>
                        </m:r>
                      </m:sub>
                    </m:sSub>
                    <m:r>
                      <w:rPr>
                        <w:rFonts w:ascii="Cambria Math" w:hAnsi="Cambria Math"/>
                        <w:lang w:val="en-GB"/>
                      </w:rPr>
                      <m:t>)-1</m:t>
                    </m:r>
                  </m:e>
                </m:nary>
                <m:r>
                  <w:rPr>
                    <w:rFonts w:ascii="Cambria Math" w:hAnsi="Cambria Math"/>
                    <w:lang w:val="en-GB"/>
                  </w:rPr>
                  <m:t>,</m:t>
                </m:r>
              </m:oMath>
            </m:oMathPara>
          </w:p>
        </w:tc>
        <w:tc>
          <w:tcPr>
            <w:tcW w:w="986" w:type="dxa"/>
            <w:vAlign w:val="center"/>
            <w:hideMark/>
          </w:tcPr>
          <w:p w14:paraId="6DABE081" w14:textId="77777777" w:rsidR="008C386E" w:rsidRPr="00500DA3" w:rsidRDefault="008C386E" w:rsidP="00EA3BBD">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10477081" w14:textId="472E53CB" w:rsidR="00BF15F1" w:rsidRPr="00BF15F1" w:rsidRDefault="00BF15F1" w:rsidP="00BF15F1">
      <w:pPr>
        <w:pStyle w:val="MDPI31text"/>
        <w:rPr>
          <w:lang w:val="en-GB"/>
        </w:rPr>
      </w:pPr>
      <w:r w:rsidRPr="00BF15F1">
        <w:rPr>
          <w:lang w:val="en-GB"/>
        </w:rPr>
        <w:t xml:space="preserve">This label reflects the realized forward performance of the asset over the next </w:t>
      </w:r>
      <m:oMath>
        <m:r>
          <w:rPr>
            <w:rFonts w:ascii="Cambria Math" w:hAnsi="Cambria Math"/>
            <w:lang w:val="en-GB"/>
          </w:rPr>
          <m:t>H</m:t>
        </m:r>
      </m:oMath>
      <w:r w:rsidRPr="00BF15F1">
        <w:rPr>
          <w:lang w:val="en-GB"/>
        </w:rPr>
        <w:t>days and is used without risk adjustment or residualization.</w:t>
      </w:r>
    </w:p>
    <w:p w14:paraId="1FB3B38C" w14:textId="5DF9A533" w:rsidR="00BF15F1" w:rsidRPr="00BF15F1" w:rsidRDefault="00BF15F1" w:rsidP="00BF15F1">
      <w:pPr>
        <w:pStyle w:val="MDPI31text"/>
        <w:rPr>
          <w:lang w:val="en-GB"/>
        </w:rPr>
      </w:pPr>
      <w:r w:rsidRPr="00BF15F1">
        <w:rPr>
          <w:lang w:val="en-GB"/>
        </w:rPr>
        <w:t xml:space="preserve">For each date </w:t>
      </w:r>
      <m:oMath>
        <m:r>
          <w:rPr>
            <w:rFonts w:ascii="Cambria Math" w:hAnsi="Cambria Math"/>
            <w:lang w:val="en-GB"/>
          </w:rPr>
          <m:t>t</m:t>
        </m:r>
      </m:oMath>
      <w:r w:rsidRPr="00BF15F1">
        <w:rPr>
          <w:lang w:val="en-GB"/>
        </w:rPr>
        <w:t xml:space="preserve">, the feature vector </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i,t</m:t>
            </m:r>
          </m:sub>
        </m:sSub>
      </m:oMath>
      <w:r w:rsidRPr="00BF15F1">
        <w:rPr>
          <w:lang w:val="en-GB"/>
        </w:rPr>
        <w:t xml:space="preserve">contains only information available at time </w:t>
      </w:r>
      <m:oMath>
        <m:r>
          <w:rPr>
            <w:rFonts w:ascii="Cambria Math" w:hAnsi="Cambria Math"/>
            <w:lang w:val="en-GB"/>
          </w:rPr>
          <m:t>t</m:t>
        </m:r>
      </m:oMath>
      <w:r w:rsidRPr="00BF15F1">
        <w:rPr>
          <w:lang w:val="en-GB"/>
        </w:rPr>
        <w:t>, ensuring compliance with strict no-look-ahead constraints. Prior to training, missing feature values are imputed using medians computed from the training subset, and all features are standardized to place heterogeneous predictors on comparable scales.</w:t>
      </w:r>
    </w:p>
    <w:p w14:paraId="4BFBBB8E" w14:textId="6BD3E755" w:rsidR="00BF15F1" w:rsidRDefault="00BF15F1" w:rsidP="00BF15F1">
      <w:pPr>
        <w:pStyle w:val="MDPI31text"/>
        <w:rPr>
          <w:lang w:val="en-GB"/>
        </w:rPr>
      </w:pPr>
      <w:r w:rsidRPr="00BF15F1">
        <w:rPr>
          <w:lang w:val="en-GB"/>
        </w:rPr>
        <w:t xml:space="preserve">Model hyperparameters governing tree depth, learning rate, subsampling, and regularization parameters </w:t>
      </w:r>
      <m:oMath>
        <m:d>
          <m:dPr>
            <m:ctrlPr>
              <w:rPr>
                <w:rFonts w:ascii="Cambria Math" w:hAnsi="Cambria Math"/>
                <w:i/>
                <w:lang w:val="en-GB"/>
              </w:rPr>
            </m:ctrlPr>
          </m:dPr>
          <m:e>
            <m:r>
              <w:rPr>
                <w:rFonts w:ascii="Cambria Math" w:hAnsi="Cambria Math"/>
                <w:lang w:val="en-GB"/>
              </w:rPr>
              <m:t>α,λ</m:t>
            </m:r>
          </m:e>
        </m:d>
      </m:oMath>
      <w:r w:rsidR="00520F56">
        <w:rPr>
          <w:lang w:val="en-GB"/>
        </w:rPr>
        <w:t xml:space="preserve"> </w:t>
      </w:r>
      <w:r w:rsidRPr="00BF15F1">
        <w:rPr>
          <w:lang w:val="en-GB"/>
        </w:rPr>
        <w:t>are tuned by maximizing the Information Coefficient (</w:t>
      </w:r>
      <m:oMath>
        <m:r>
          <m:rPr>
            <m:nor/>
          </m:rPr>
          <w:rPr>
            <w:lang w:val="en-GB"/>
          </w:rPr>
          <m:t>IC</m:t>
        </m:r>
      </m:oMath>
      <w:r w:rsidRPr="00BF15F1">
        <w:rPr>
          <w:lang w:val="en-GB"/>
        </w:rPr>
        <w:t>):</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8C386E" w:rsidRPr="00500DA3" w14:paraId="1B25D65F" w14:textId="77777777" w:rsidTr="00EA3BBD">
        <w:tc>
          <w:tcPr>
            <w:tcW w:w="6873" w:type="dxa"/>
            <w:hideMark/>
          </w:tcPr>
          <w:p w14:paraId="37AF87FF" w14:textId="22B385A9" w:rsidR="008C386E" w:rsidRPr="00500DA3" w:rsidRDefault="008C386E" w:rsidP="00EA3BBD">
            <w:pPr>
              <w:pStyle w:val="MDPI39equation"/>
              <w:rPr>
                <w:rFonts w:ascii="Cambria Math" w:hAnsi="Cambria Math"/>
              </w:rPr>
            </w:pPr>
            <m:oMathPara>
              <m:oMath>
                <m:r>
                  <m:rPr>
                    <m:nor/>
                  </m:rPr>
                  <w:rPr>
                    <w:lang w:val="en-GB"/>
                  </w:rPr>
                  <m:t>IC</m:t>
                </m:r>
                <m:r>
                  <w:rPr>
                    <w:rFonts w:ascii="Cambria Math" w:hAnsi="Cambria Math"/>
                    <w:lang w:val="en-GB"/>
                  </w:rPr>
                  <m:t>=</m:t>
                </m:r>
                <m:r>
                  <m:rPr>
                    <m:sty m:val="p"/>
                  </m:rPr>
                  <w:rPr>
                    <w:rFonts w:ascii="Cambria Math" w:hAnsi="Cambria Math"/>
                    <w:lang w:val="en-GB"/>
                  </w:rPr>
                  <m:t>Spearman</m:t>
                </m:r>
                <m:r>
                  <w:rPr>
                    <w:rFonts w:ascii="Cambria Math" w:hAnsi="Cambria Math"/>
                    <w:lang w:val="en-GB"/>
                  </w:rPr>
                  <m:t>⁡(</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i,t</m:t>
                    </m:r>
                  </m:sub>
                </m:sSub>
                <m:r>
                  <w:rPr>
                    <w:rFonts w:ascii="Cambria Math" w:hAnsi="Cambria Math"/>
                    <w:lang w:val="en-GB"/>
                  </w:rPr>
                  <m:t>),</m:t>
                </m:r>
              </m:oMath>
            </m:oMathPara>
          </w:p>
        </w:tc>
        <w:tc>
          <w:tcPr>
            <w:tcW w:w="986" w:type="dxa"/>
            <w:vAlign w:val="center"/>
            <w:hideMark/>
          </w:tcPr>
          <w:p w14:paraId="64012643" w14:textId="77777777" w:rsidR="008C386E" w:rsidRPr="00500DA3" w:rsidRDefault="008C386E" w:rsidP="00EA3BBD">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0D54C053" w14:textId="77777777" w:rsidR="00BF15F1" w:rsidRPr="00BF15F1" w:rsidRDefault="00BF15F1" w:rsidP="00BF15F1">
      <w:pPr>
        <w:pStyle w:val="MDPI31text"/>
        <w:rPr>
          <w:lang w:val="en-GB"/>
        </w:rPr>
      </w:pPr>
      <w:r w:rsidRPr="00BF15F1">
        <w:rPr>
          <w:lang w:val="en-GB"/>
        </w:rPr>
        <w:t>This correlation measures whether the model correctly ranks assets by expected return. Validation RMSE is used as a secondary tie-breaking criterion. After tuning, each model is refit on the combined training data and used to generate predictions.</w:t>
      </w:r>
    </w:p>
    <w:p w14:paraId="0762F71D" w14:textId="1B70A3FC" w:rsidR="00BF15F1" w:rsidRDefault="00BF15F1" w:rsidP="00BF15F1">
      <w:pPr>
        <w:pStyle w:val="MDPI31text"/>
        <w:rPr>
          <w:lang w:val="en-GB"/>
        </w:rPr>
      </w:pPr>
      <w:r w:rsidRPr="00BF15F1">
        <w:rPr>
          <w:lang w:val="en-GB"/>
        </w:rPr>
        <w:t xml:space="preserve">For each asset and date, Stage 1 outputs both the point forecast </w:t>
      </w:r>
      <m:oMath>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i,t</m:t>
            </m:r>
          </m:sub>
        </m:sSub>
      </m:oMath>
      <w:r w:rsidRPr="00BF15F1">
        <w:rPr>
          <w:lang w:val="en-GB"/>
        </w:rPr>
        <w:t>and a cross-sectional percentile score that normalizes predictions to the unit interval. This score is computed as:</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8C386E" w:rsidRPr="00500DA3" w14:paraId="7039B55D" w14:textId="77777777" w:rsidTr="00EA3BBD">
        <w:tc>
          <w:tcPr>
            <w:tcW w:w="6873" w:type="dxa"/>
            <w:hideMark/>
          </w:tcPr>
          <w:p w14:paraId="37706016" w14:textId="40D6FC87" w:rsidR="008C386E" w:rsidRPr="00500DA3" w:rsidRDefault="00000000" w:rsidP="00EA3BBD">
            <w:pPr>
              <w:pStyle w:val="MDPI39equation"/>
              <w:rPr>
                <w:rFonts w:ascii="Cambria Math" w:hAnsi="Cambria Math"/>
              </w:rPr>
            </w:pPr>
            <m:oMathPara>
              <m:oMath>
                <m:sSub>
                  <m:sSubPr>
                    <m:ctrlPr>
                      <w:rPr>
                        <w:rFonts w:ascii="Cambria Math" w:hAnsi="Cambria Math"/>
                        <w:lang w:val="en-GB"/>
                      </w:rPr>
                    </m:ctrlPr>
                  </m:sSubPr>
                  <m:e>
                    <m:r>
                      <m:rPr>
                        <m:nor/>
                      </m:rPr>
                      <w:rPr>
                        <w:lang w:val="en-GB"/>
                      </w:rPr>
                      <m:t>Score</m:t>
                    </m:r>
                  </m:e>
                  <m:sub>
                    <m:r>
                      <w:rPr>
                        <w:rFonts w:ascii="Cambria Math" w:hAnsi="Cambria Math"/>
                        <w:lang w:val="en-GB"/>
                      </w:rPr>
                      <m:t>i,t</m:t>
                    </m:r>
                  </m:sub>
                </m:sSub>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rank</m:t>
                    </m:r>
                    <m:r>
                      <w:rPr>
                        <w:rFonts w:ascii="Cambria Math" w:hAnsi="Cambria Math"/>
                        <w:lang w:val="en-GB"/>
                      </w:rPr>
                      <m:t>⁡(</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i,t</m:t>
                        </m:r>
                      </m:sub>
                    </m:sSub>
                    <m:r>
                      <w:rPr>
                        <w:rFonts w:ascii="Cambria Math" w:hAnsi="Cambria Math"/>
                        <w:lang w:val="en-GB"/>
                      </w:rPr>
                      <m:t>)-1</m:t>
                    </m:r>
                  </m:num>
                  <m:den>
                    <m:r>
                      <w:rPr>
                        <w:rFonts w:ascii="Cambria Math" w:hAnsi="Cambria Math"/>
                        <w:lang w:val="en-GB"/>
                      </w:rPr>
                      <m:t>N-1</m:t>
                    </m:r>
                  </m:den>
                </m:f>
                <m:r>
                  <w:rPr>
                    <w:rFonts w:ascii="Cambria Math" w:hAnsi="Cambria Math"/>
                    <w:lang w:val="en-GB"/>
                  </w:rPr>
                  <m:t>,</m:t>
                </m:r>
              </m:oMath>
            </m:oMathPara>
          </w:p>
        </w:tc>
        <w:tc>
          <w:tcPr>
            <w:tcW w:w="986" w:type="dxa"/>
            <w:vAlign w:val="center"/>
            <w:hideMark/>
          </w:tcPr>
          <w:p w14:paraId="6D22EF0D" w14:textId="77777777" w:rsidR="008C386E" w:rsidRPr="00500DA3" w:rsidRDefault="008C386E" w:rsidP="00EA3BBD">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79FA6400" w14:textId="4A834607" w:rsidR="00BF15F1" w:rsidRPr="00BF15F1" w:rsidRDefault="00BF15F1" w:rsidP="00006D78">
      <w:pPr>
        <w:pStyle w:val="MDPI31text"/>
      </w:pPr>
      <w:r w:rsidRPr="00BF15F1">
        <w:rPr>
          <w:lang w:val="en-GB"/>
        </w:rPr>
        <w:t xml:space="preserve">where </w:t>
      </w:r>
      <m:oMath>
        <m:r>
          <w:rPr>
            <w:rFonts w:ascii="Cambria Math" w:hAnsi="Cambria Math"/>
            <w:lang w:val="en-GB"/>
          </w:rPr>
          <m:t xml:space="preserve">N </m:t>
        </m:r>
      </m:oMath>
      <w:r w:rsidRPr="00BF15F1">
        <w:rPr>
          <w:lang w:val="en-GB"/>
        </w:rPr>
        <w:t xml:space="preserve">is the number of assets. The realized forward return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i,t</m:t>
            </m:r>
          </m:sub>
        </m:sSub>
      </m:oMath>
      <w:r w:rsidRPr="00BF15F1">
        <w:rPr>
          <w:lang w:val="en-GB"/>
        </w:rPr>
        <w:t xml:space="preserve">is retained for later evaluation and for constructing the reward in the reinforcement-learning stage. </w:t>
      </w:r>
    </w:p>
    <w:p w14:paraId="691DA33E" w14:textId="58C94863" w:rsidR="00D466D5" w:rsidRDefault="00D466D5" w:rsidP="00D466D5">
      <w:pPr>
        <w:pStyle w:val="MDPI22heading2"/>
        <w:spacing w:before="240"/>
        <w:rPr>
          <w:noProof w:val="0"/>
        </w:rPr>
      </w:pPr>
      <w:r w:rsidRPr="00500DA3">
        <w:rPr>
          <w:noProof w:val="0"/>
        </w:rPr>
        <w:t>3.</w:t>
      </w:r>
      <w:r>
        <w:rPr>
          <w:noProof w:val="0"/>
        </w:rPr>
        <w:t>3</w:t>
      </w:r>
      <w:r w:rsidRPr="00500DA3">
        <w:rPr>
          <w:noProof w:val="0"/>
        </w:rPr>
        <w:t xml:space="preserve">. </w:t>
      </w:r>
      <w:r w:rsidR="00924FD9" w:rsidRPr="00924FD9">
        <w:rPr>
          <w:noProof w:val="0"/>
        </w:rPr>
        <w:t>SHAP-Based Explainability and Signal Construction</w:t>
      </w:r>
    </w:p>
    <w:p w14:paraId="2963EF26" w14:textId="4B888DF7" w:rsidR="00924FD9" w:rsidRDefault="00924FD9" w:rsidP="00924FD9">
      <w:pPr>
        <w:pStyle w:val="MDPI31text"/>
      </w:pPr>
      <w:r w:rsidRPr="00924FD9">
        <w:t xml:space="preserve">While Stage 1 focuses on </w:t>
      </w:r>
      <w:r>
        <w:t>predicting</w:t>
      </w:r>
      <w:r w:rsidRPr="00924FD9">
        <w:t xml:space="preserve"> returns</w:t>
      </w:r>
      <w:r>
        <w:t xml:space="preserve"> based on relevant features for investment assets</w:t>
      </w:r>
      <w:r w:rsidRPr="00924FD9">
        <w:t xml:space="preserve">, understanding </w:t>
      </w:r>
      <w:r>
        <w:t>the rational of</w:t>
      </w:r>
      <w:r w:rsidRPr="00924FD9">
        <w:t xml:space="preserve"> </w:t>
      </w:r>
      <w:r>
        <w:t>the black-box</w:t>
      </w:r>
      <w:r w:rsidRPr="00924FD9">
        <w:t xml:space="preserve"> model</w:t>
      </w:r>
      <w:r>
        <w:t xml:space="preserve"> of such prediction is also important </w:t>
      </w:r>
      <w:r w:rsidRPr="00924FD9">
        <w:t>—</w:t>
      </w:r>
      <w:r>
        <w:t xml:space="preserve"> </w:t>
      </w:r>
      <w:r w:rsidRPr="00924FD9">
        <w:t xml:space="preserve">both for financial interpretability and for constructing </w:t>
      </w:r>
      <w:r>
        <w:t>useful trading</w:t>
      </w:r>
      <w:r w:rsidRPr="00924FD9">
        <w:t xml:space="preserve"> signals for the downstream </w:t>
      </w:r>
      <w:r>
        <w:t xml:space="preserve">allocation </w:t>
      </w:r>
      <w:r w:rsidRPr="00924FD9">
        <w:t xml:space="preserve">policy. Because our predictive models are tree-based </w:t>
      </w:r>
      <w:proofErr w:type="spellStart"/>
      <w:r w:rsidRPr="00924FD9">
        <w:t>XGBoost</w:t>
      </w:r>
      <w:proofErr w:type="spellEnd"/>
      <w:r w:rsidRPr="00924FD9">
        <w:t xml:space="preserve"> ensembles, they support exact computation of Shapley-value attributions through the </w:t>
      </w:r>
      <w:proofErr w:type="spellStart"/>
      <w:r w:rsidRPr="00924FD9">
        <w:t>TreeSHAP</w:t>
      </w:r>
      <w:proofErr w:type="spellEnd"/>
      <w:r w:rsidRPr="00924FD9">
        <w:t xml:space="preserve"> algorithm </w:t>
      </w:r>
      <w:r>
        <w:fldChar w:fldCharType="begin"/>
      </w:r>
      <w:r>
        <w:instrText xml:space="preserve"> ADDIN ZOTERO_ITEM CSL_CITATION {"citationID":"ubsyxeGq","properties":{"formattedCitation":"(S. Lundberg &amp; Lee, 2017; S. M. Lundberg et al., 2020)","plainCitation":"(S. Lundberg &amp; Lee, 2017; S. M. Lundberg et al., 2020)","noteIndex":0},"citationItems":[{"id":887,"uris":["http://zotero.org/users/5952202/items/WLTQ5Z4E"],"itemData":{"id":887,"type":"article","abstract":"Understanding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11,17]]},"issued":{"date-parts":[["2017",11,25]]}}},{"id":947,"uris":["http://zotero.org/users/5952202/items/STTA9TJZ"],"itemData":{"id":947,"type":"article-journal","abstract":"Tree-based machine learning models such as random forests, decision trees and gradient boosted trees are popular nonlinear predictive models, yet comparatively little attention has been paid to explaining their predictions. Here we improve the interpretability of tree-based models through three main contributions. (1) A polynomial time algorithm to compute optimal explanations based on game theory. (2) A new type of explanation that directly measures local feature interaction effects. (3) A new set of tools for understanding global model structure based on combining many local explanations of each prediction. We apply these tools to three medical machine learning problems and show how combining many high-quality local explanations allows us to represent global structure while retaining local faithfulness to the original model. These tools enable us to (1) identify high-magnitude but low-frequency nonlinear mortality risk factors in the US population, (2) highlight distinct population subgroups with shared risk characteristics, (3) identify nonlinear interaction effects among risk factors for chronic kidney disease and (4) monitor a machine learning model deployed in a hospital by identifying which features are degrading the model’s performance over time. Given the popularity of tree-based machine learning models, these improvements to their interpretability have implications across a broad set of domains.","container-title":"Nature Machine Intelligence","DOI":"10.1038/s42256-019-0138-9","ISSN":"2522-5839","issue":"1","journalAbbreviation":"Nat Mach Intell","language":"en","license":"2020 The Author(s), under exclusive licence to Springer Nature Limited","note":"publisher: Nature Publishing Group","page":"56-67","source":"www.nature.com","title":"From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schema":"https://github.com/citation-style-language/schema/raw/master/csl-citation.json"} </w:instrText>
      </w:r>
      <w:r>
        <w:fldChar w:fldCharType="separate"/>
      </w:r>
      <w:r w:rsidRPr="00924FD9">
        <w:t>(S. Lundberg &amp; Lee, 2017; S. M. Lundberg et al., 2020)</w:t>
      </w:r>
      <w:r>
        <w:fldChar w:fldCharType="end"/>
      </w:r>
      <w:r w:rsidRPr="00924FD9">
        <w:t>. Shapley values, originating from cooperative game theory</w:t>
      </w:r>
      <w:r>
        <w:t xml:space="preserve"> </w:t>
      </w:r>
      <w:r>
        <w:fldChar w:fldCharType="begin"/>
      </w:r>
      <w:r>
        <w:instrText xml:space="preserve"> ADDIN ZOTERO_ITEM CSL_CITATION {"citationID":"8j3cDGNm","properties":{"formattedCitation":"(Shapley, 1953)","plainCitation":"(Shapley, 1953)","noteIndex":0},"citationItems":[{"id":948,"uris":["http://zotero.org/users/5952202/items/MJVIYFJ3"],"itemData":{"id":948,"type":"chapter","container-title":"Contributions to the Theory of Games (AM-28), Volume II","ISBN":"978-1-4008-8197-0","note":"DOI: 10.1515/9781400881970-018","page":"307-318","publisher":"Princeton University Press","source":"DOI.org (Crossref)","title":"17. A Value for n-Person Games","URL":"https://www.degruyter.com/document/doi/10.1515/9781400881970-018/html","editor":[{"family":"Kuhn","given":"Harold William"},{"family":"Tucker","given":"Albert William"}],"author":[{"family":"Shapley","given":"L. S."}],"accessed":{"date-parts":[["2025",11,22]]},"issued":{"date-parts":[["1953",12,31]]}}}],"schema":"https://github.com/citation-style-language/schema/raw/master/csl-citation.json"} </w:instrText>
      </w:r>
      <w:r>
        <w:fldChar w:fldCharType="separate"/>
      </w:r>
      <w:r w:rsidRPr="00924FD9">
        <w:t>(Shapley, 1953)</w:t>
      </w:r>
      <w:r>
        <w:fldChar w:fldCharType="end"/>
      </w:r>
      <w:r w:rsidRPr="00924FD9">
        <w:t xml:space="preserve">, provide a principled way to distribute a model’s prediction among its input features and satisfy desirable properties such as local accuracy, consistency, and additivity. Leveraging these properties, we use </w:t>
      </w:r>
      <w:r w:rsidR="00AB2EDB">
        <w:t>Shapley value</w:t>
      </w:r>
      <w:r w:rsidRPr="00924FD9">
        <w:t xml:space="preserve"> to decompose each predicted forward return into feature-level contributions that reflect the model’s internal reasoning. Beyond interpretability, these attributions yield structured, economically meaningful signals—such as grouped technical and factor-level contributions and cross-sectionally demeaned “relative S</w:t>
      </w:r>
      <w:r w:rsidR="00AB2EDB">
        <w:t>hapley</w:t>
      </w:r>
      <w:r w:rsidRPr="00924FD9">
        <w:t>” scores—that can be fed into the Stage-2 reinforcement-learning agent.</w:t>
      </w:r>
    </w:p>
    <w:p w14:paraId="508E546C" w14:textId="26D19098" w:rsidR="00924FD9" w:rsidRDefault="00924FD9" w:rsidP="00924FD9">
      <w:pPr>
        <w:pStyle w:val="MDPI22heading2"/>
        <w:spacing w:before="240"/>
        <w:rPr>
          <w:noProof w:val="0"/>
        </w:rPr>
      </w:pPr>
      <w:r w:rsidRPr="00500DA3">
        <w:rPr>
          <w:noProof w:val="0"/>
        </w:rPr>
        <w:t>3.</w:t>
      </w:r>
      <w:r>
        <w:rPr>
          <w:noProof w:val="0"/>
        </w:rPr>
        <w:t>3</w:t>
      </w:r>
      <w:r w:rsidRPr="00500DA3">
        <w:rPr>
          <w:noProof w:val="0"/>
        </w:rPr>
        <w:t>.</w:t>
      </w:r>
      <w:r>
        <w:rPr>
          <w:noProof w:val="0"/>
        </w:rPr>
        <w:t>1.</w:t>
      </w:r>
      <w:r w:rsidRPr="00500DA3">
        <w:rPr>
          <w:noProof w:val="0"/>
        </w:rPr>
        <w:t xml:space="preserve"> </w:t>
      </w:r>
      <w:r w:rsidR="00AB2EDB" w:rsidRPr="00AB2EDB">
        <w:rPr>
          <w:noProof w:val="0"/>
        </w:rPr>
        <w:t>Shapley-Value Decomposition and Group Attribution</w:t>
      </w:r>
    </w:p>
    <w:p w14:paraId="3F372839" w14:textId="337E7C2A" w:rsidR="00AB2EDB" w:rsidRDefault="00AB2EDB" w:rsidP="00AB2EDB">
      <w:pPr>
        <w:pStyle w:val="MDPI31text"/>
        <w:rPr>
          <w:lang w:val="en-GB"/>
        </w:rPr>
      </w:pPr>
      <w:r w:rsidRPr="00AB2EDB">
        <w:rPr>
          <w:lang w:val="en-GB"/>
        </w:rPr>
        <w:t xml:space="preserve">For each investment asset </w:t>
      </w:r>
      <m:oMath>
        <m:r>
          <w:rPr>
            <w:rFonts w:ascii="Cambria Math" w:hAnsi="Cambria Math"/>
            <w:lang w:val="en-GB"/>
          </w:rPr>
          <m:t>i</m:t>
        </m:r>
      </m:oMath>
      <w:r w:rsidRPr="00AB2EDB">
        <w:rPr>
          <w:lang w:val="en-GB"/>
        </w:rPr>
        <w:t xml:space="preserve">, prediction model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i</m:t>
            </m:r>
          </m:sub>
        </m:sSub>
      </m:oMath>
      <w:r w:rsidRPr="00AB2EDB">
        <w:rPr>
          <w:lang w:val="en-GB"/>
        </w:rPr>
        <w:t xml:space="preserve">, and feature vector </w:t>
      </w:r>
      <m:oMath>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i,t</m:t>
            </m:r>
          </m:sub>
        </m:sSub>
      </m:oMath>
      <w:r w:rsidRPr="00AB2EDB">
        <w:rPr>
          <w:lang w:val="en-GB"/>
        </w:rPr>
        <w:t>, TreeSHAP yields the Shapley decomposition</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4D7ADD" w:rsidRPr="00500DA3" w14:paraId="62BAE595" w14:textId="77777777" w:rsidTr="00EA3BBD">
        <w:tc>
          <w:tcPr>
            <w:tcW w:w="6873" w:type="dxa"/>
            <w:hideMark/>
          </w:tcPr>
          <w:p w14:paraId="13CE5791" w14:textId="4E7DDC74" w:rsidR="004D7ADD" w:rsidRPr="00500DA3" w:rsidRDefault="00000000" w:rsidP="00EA3BBD">
            <w:pPr>
              <w:pStyle w:val="MDPI39equation"/>
              <w:rPr>
                <w:rFonts w:ascii="Cambria Math" w:hAnsi="Cambria Math"/>
              </w:rPr>
            </w:pPr>
            <m:oMathPara>
              <m:oMath>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i</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i,t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i,0</m:t>
                    </m:r>
                  </m:sub>
                </m:sSub>
                <m:r>
                  <w:rPr>
                    <w:rFonts w:ascii="Cambria Math" w:hAnsi="Cambria Math"/>
                    <w:lang w:val="en-GB"/>
                  </w:rPr>
                  <m:t>+</m:t>
                </m:r>
                <m:nary>
                  <m:naryPr>
                    <m:chr m:val="∑"/>
                    <m:limLoc m:val="undOvr"/>
                    <m:grow m:val="1"/>
                    <m:ctrlPr>
                      <w:rPr>
                        <w:rFonts w:ascii="Cambria Math" w:hAnsi="Cambria Math"/>
                        <w:lang w:val="en-GB"/>
                      </w:rPr>
                    </m:ctrlPr>
                  </m:naryPr>
                  <m:sub>
                    <m:r>
                      <w:rPr>
                        <w:rFonts w:ascii="Cambria Math" w:hAnsi="Cambria Math"/>
                        <w:lang w:val="en-GB"/>
                      </w:rPr>
                      <m:t>j=1</m:t>
                    </m:r>
                  </m:sub>
                  <m:sup>
                    <m:r>
                      <w:rPr>
                        <w:rFonts w:ascii="Cambria Math" w:hAnsi="Cambria Math"/>
                        <w:lang w:val="en-GB"/>
                      </w:rPr>
                      <m:t>d</m:t>
                    </m:r>
                  </m:sup>
                  <m:e>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i,j,t</m:t>
                        </m:r>
                      </m:sub>
                    </m:sSub>
                  </m:e>
                </m:nary>
                <m:r>
                  <w:rPr>
                    <w:rFonts w:ascii="Cambria Math" w:hAnsi="Cambria Math"/>
                    <w:lang w:val="en-GB"/>
                  </w:rPr>
                  <m:t>,</m:t>
                </m:r>
              </m:oMath>
            </m:oMathPara>
          </w:p>
        </w:tc>
        <w:tc>
          <w:tcPr>
            <w:tcW w:w="986" w:type="dxa"/>
            <w:vAlign w:val="center"/>
            <w:hideMark/>
          </w:tcPr>
          <w:p w14:paraId="6E02210D" w14:textId="77777777" w:rsidR="004D7ADD" w:rsidRPr="00500DA3" w:rsidRDefault="004D7ADD" w:rsidP="00EA3BBD">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0E7F68FF" w14:textId="77777777" w:rsidR="004D7ADD" w:rsidRPr="00AB2EDB" w:rsidRDefault="004D7ADD" w:rsidP="00AB2EDB">
      <w:pPr>
        <w:pStyle w:val="MDPI31text"/>
        <w:rPr>
          <w:lang w:val="en-GB"/>
        </w:rPr>
      </w:pPr>
    </w:p>
    <w:p w14:paraId="508D146E" w14:textId="253EC1F7" w:rsidR="00AB2EDB" w:rsidRPr="00AB2EDB" w:rsidRDefault="00AB2EDB" w:rsidP="00AB2EDB">
      <w:pPr>
        <w:pStyle w:val="MDPI31text"/>
        <w:rPr>
          <w:lang w:val="en-GB"/>
        </w:rPr>
      </w:pPr>
      <w:r w:rsidRPr="00AB2EDB">
        <w:rPr>
          <w:lang w:val="en-GB"/>
        </w:rPr>
        <w:t xml:space="preserve">where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i,0</m:t>
            </m:r>
          </m:sub>
        </m:sSub>
      </m:oMath>
      <w:r w:rsidRPr="00AB2EDB">
        <w:rPr>
          <w:lang w:val="en-GB"/>
        </w:rPr>
        <w:t xml:space="preserve">is the </w:t>
      </w:r>
      <w:r w:rsidRPr="00AB2EDB">
        <w:rPr>
          <w:i/>
          <w:iCs/>
          <w:lang w:val="en-GB"/>
        </w:rPr>
        <w:t>base value</w:t>
      </w:r>
      <w:r w:rsidRPr="00AB2EDB">
        <w:rPr>
          <w:lang w:val="en-GB"/>
        </w:rPr>
        <w:t xml:space="preserve"> (the expected model output under a reference distribution), and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i,j,t</m:t>
            </m:r>
          </m:sub>
        </m:sSub>
      </m:oMath>
      <w:r w:rsidRPr="00AB2EDB">
        <w:rPr>
          <w:lang w:val="en-GB"/>
        </w:rPr>
        <w:t xml:space="preserve">is the Shapley value for feature </w:t>
      </w:r>
      <m:oMath>
        <m:r>
          <w:rPr>
            <w:rFonts w:ascii="Cambria Math" w:hAnsi="Cambria Math"/>
            <w:lang w:val="en-GB"/>
          </w:rPr>
          <m:t>j</m:t>
        </m:r>
      </m:oMath>
      <w:r w:rsidRPr="00AB2EDB">
        <w:rPr>
          <w:lang w:val="en-GB"/>
        </w:rPr>
        <w:t xml:space="preserve">at time </w:t>
      </w:r>
      <m:oMath>
        <m:r>
          <w:rPr>
            <w:rFonts w:ascii="Cambria Math" w:hAnsi="Cambria Math"/>
            <w:lang w:val="en-GB"/>
          </w:rPr>
          <m:t>t</m:t>
        </m:r>
      </m:oMath>
      <w:r w:rsidRPr="00AB2EDB">
        <w:rPr>
          <w:lang w:val="en-GB"/>
        </w:rPr>
        <w:t xml:space="preserve">. The quantity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i,j,t</m:t>
            </m:r>
          </m:sub>
        </m:sSub>
      </m:oMath>
      <w:r w:rsidRPr="00AB2EDB">
        <w:rPr>
          <w:lang w:val="en-GB"/>
        </w:rPr>
        <w:t xml:space="preserve">measures the marginal contribution of feature </w:t>
      </w:r>
      <m:oMath>
        <m:r>
          <w:rPr>
            <w:rFonts w:ascii="Cambria Math" w:hAnsi="Cambria Math"/>
            <w:lang w:val="en-GB"/>
          </w:rPr>
          <m:t>j</m:t>
        </m:r>
      </m:oMath>
      <w:r w:rsidRPr="00AB2EDB">
        <w:rPr>
          <w:lang w:val="en-GB"/>
        </w:rPr>
        <w:t xml:space="preserve">to the deviation of the prediction from the base value. </w:t>
      </w:r>
      <w:r w:rsidRPr="00AB2EDB">
        <w:rPr>
          <w:lang w:val="en-GB"/>
        </w:rPr>
        <w:lastRenderedPageBreak/>
        <w:t>Because SHAP is grounded in cooperative game theory, this decomposition satisfies local accuracy, symmetry, and consistency, properties that are particularly important in financial applications where explanations must be numerically faithful to model outputs.</w:t>
      </w:r>
    </w:p>
    <w:p w14:paraId="4F5594DB" w14:textId="03770619" w:rsidR="00AB2EDB" w:rsidRDefault="00AB2EDB" w:rsidP="00AB2EDB">
      <w:pPr>
        <w:pStyle w:val="MDPI31text"/>
        <w:rPr>
          <w:lang w:val="en-GB"/>
        </w:rPr>
      </w:pPr>
      <w:r w:rsidRPr="00AB2EDB">
        <w:rPr>
          <w:lang w:val="en-GB"/>
        </w:rPr>
        <w:t xml:space="preserve">To obtain explanations at the level of economically meaningful feature families, we aggregate SHAP values within groups. Let </w:t>
      </w:r>
      <m:oMath>
        <m:sSup>
          <m:sSupPr>
            <m:ctrlPr>
              <w:rPr>
                <w:rFonts w:ascii="Cambria Math" w:hAnsi="Cambria Math"/>
                <w:lang w:val="en-GB"/>
              </w:rPr>
            </m:ctrlPr>
          </m:sSupPr>
          <m:e>
            <m:r>
              <w:rPr>
                <w:rFonts w:ascii="Cambria Math" w:hAnsi="Cambria Math"/>
                <w:lang w:val="en-GB"/>
              </w:rPr>
              <m:t>G</m:t>
            </m:r>
          </m:e>
          <m:sup>
            <m:r>
              <m:rPr>
                <m:nor/>
              </m:rPr>
              <w:rPr>
                <w:lang w:val="en-GB"/>
              </w:rPr>
              <m:t>tech</m:t>
            </m:r>
          </m:sup>
        </m:sSup>
        <m:r>
          <w:rPr>
            <w:rFonts w:ascii="Cambria Math" w:hAnsi="Cambria Math"/>
            <w:lang w:val="en-GB"/>
          </w:rPr>
          <m:t>(s)</m:t>
        </m:r>
      </m:oMath>
      <w:r w:rsidRPr="00AB2EDB">
        <w:rPr>
          <w:lang w:val="en-GB"/>
        </w:rPr>
        <w:t xml:space="preserve">denote the set of technical features associated with a technical indicator suffix </w:t>
      </w:r>
      <m:oMath>
        <m:r>
          <w:rPr>
            <w:rFonts w:ascii="Cambria Math" w:hAnsi="Cambria Math"/>
            <w:lang w:val="en-GB"/>
          </w:rPr>
          <m:t>s</m:t>
        </m:r>
      </m:oMath>
      <w:r w:rsidRPr="00AB2EDB">
        <w:rPr>
          <w:lang w:val="en-GB"/>
        </w:rPr>
        <w:t>(for example, all variants of a 5-day simple moving average</w:t>
      </w:r>
      <w:proofErr w:type="gramStart"/>
      <w:r w:rsidRPr="00AB2EDB">
        <w:rPr>
          <w:lang w:val="en-GB"/>
        </w:rPr>
        <w:t>), and</w:t>
      </w:r>
      <w:proofErr w:type="gramEnd"/>
      <w:r w:rsidRPr="00AB2EDB">
        <w:rPr>
          <w:lang w:val="en-GB"/>
        </w:rPr>
        <w:t xml:space="preserve"> let </w:t>
      </w:r>
      <m:oMath>
        <m:sSup>
          <m:sSupPr>
            <m:ctrlPr>
              <w:rPr>
                <w:rFonts w:ascii="Cambria Math" w:hAnsi="Cambria Math"/>
                <w:lang w:val="en-GB"/>
              </w:rPr>
            </m:ctrlPr>
          </m:sSupPr>
          <m:e>
            <m:r>
              <w:rPr>
                <w:rFonts w:ascii="Cambria Math" w:hAnsi="Cambria Math"/>
                <w:lang w:val="en-GB"/>
              </w:rPr>
              <m:t>G</m:t>
            </m:r>
          </m:e>
          <m:sup>
            <m:r>
              <m:rPr>
                <m:nor/>
              </m:rPr>
              <w:rPr>
                <w:lang w:val="en-GB"/>
              </w:rPr>
              <m:t>ff</m:t>
            </m:r>
          </m:sup>
        </m:sSup>
        <m:r>
          <w:rPr>
            <w:rFonts w:ascii="Cambria Math" w:hAnsi="Cambria Math"/>
            <w:lang w:val="en-GB"/>
          </w:rPr>
          <m:t>(f)</m:t>
        </m:r>
      </m:oMath>
      <w:r w:rsidRPr="00AB2EDB">
        <w:rPr>
          <w:lang w:val="en-GB"/>
        </w:rPr>
        <w:t xml:space="preserve">denote the features associated with a Fama–French or macro-financial factor family </w:t>
      </w:r>
      <m:oMath>
        <m:r>
          <w:rPr>
            <w:rFonts w:ascii="Cambria Math" w:hAnsi="Cambria Math"/>
            <w:lang w:val="en-GB"/>
          </w:rPr>
          <m:t>f</m:t>
        </m:r>
      </m:oMath>
      <w:r w:rsidRPr="00AB2EDB">
        <w:rPr>
          <w:lang w:val="en-GB"/>
        </w:rPr>
        <w:t>. We define group-level attributions as</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165B03" w:rsidRPr="00500DA3" w14:paraId="49A77692" w14:textId="77777777" w:rsidTr="003C0A05">
        <w:tc>
          <w:tcPr>
            <w:tcW w:w="6873" w:type="dxa"/>
            <w:hideMark/>
          </w:tcPr>
          <w:p w14:paraId="1DD0E44D" w14:textId="406B9E9F" w:rsidR="00165B03" w:rsidRPr="00500DA3" w:rsidRDefault="00165B03" w:rsidP="003C0A05">
            <w:pPr>
              <w:pStyle w:val="MDPI39equation"/>
              <w:rPr>
                <w:rFonts w:ascii="Cambria Math" w:hAnsi="Cambria Math"/>
              </w:rPr>
            </w:pPr>
            <m:oMathPara>
              <m:oMath>
                <m:sSubSup>
                  <m:sSubSupPr>
                    <m:ctrlPr>
                      <w:rPr>
                        <w:rFonts w:ascii="Cambria Math" w:hAnsi="Cambria Math"/>
                        <w:lang w:val="en-GB"/>
                      </w:rPr>
                    </m:ctrlPr>
                  </m:sSubSupPr>
                  <m:e>
                    <m:r>
                      <m:rPr>
                        <m:sty m:val="p"/>
                      </m:rPr>
                      <w:rPr>
                        <w:rFonts w:ascii="Cambria Math" w:hAnsi="Cambria Math"/>
                        <w:lang w:val="en-GB"/>
                      </w:rPr>
                      <m:t>Φ</m:t>
                    </m:r>
                  </m:e>
                  <m:sub>
                    <m:r>
                      <w:rPr>
                        <w:rFonts w:ascii="Cambria Math" w:hAnsi="Cambria Math"/>
                        <w:lang w:val="en-GB"/>
                      </w:rPr>
                      <m:t>i,s,t</m:t>
                    </m:r>
                  </m:sub>
                  <m:sup>
                    <m:r>
                      <m:rPr>
                        <m:nor/>
                      </m:rPr>
                      <w:rPr>
                        <w:lang w:val="en-GB"/>
                      </w:rPr>
                      <m:t>tech</m:t>
                    </m:r>
                  </m:sup>
                </m:sSubSup>
                <m:r>
                  <w:rPr>
                    <w:rFonts w:ascii="Cambria Math" w:hAnsi="Cambria Math"/>
                    <w:lang w:val="en-GB"/>
                  </w:rPr>
                  <m:t>=</m:t>
                </m:r>
                <m:nary>
                  <m:naryPr>
                    <m:chr m:val="∑"/>
                    <m:limLoc m:val="undOvr"/>
                    <m:grow m:val="1"/>
                    <m:supHide m:val="1"/>
                    <m:ctrlPr>
                      <w:rPr>
                        <w:rFonts w:ascii="Cambria Math" w:hAnsi="Cambria Math"/>
                        <w:lang w:val="en-GB"/>
                      </w:rPr>
                    </m:ctrlPr>
                  </m:naryPr>
                  <m:sub>
                    <m:r>
                      <w:rPr>
                        <w:rFonts w:ascii="Cambria Math" w:hAnsi="Cambria Math"/>
                        <w:lang w:val="en-GB"/>
                      </w:rPr>
                      <m:t>j∈</m:t>
                    </m:r>
                    <m:sSup>
                      <m:sSupPr>
                        <m:ctrlPr>
                          <w:rPr>
                            <w:rFonts w:ascii="Cambria Math" w:hAnsi="Cambria Math"/>
                            <w:lang w:val="en-GB"/>
                          </w:rPr>
                        </m:ctrlPr>
                      </m:sSupPr>
                      <m:e>
                        <m:r>
                          <w:rPr>
                            <w:rFonts w:ascii="Cambria Math" w:hAnsi="Cambria Math"/>
                            <w:lang w:val="en-GB"/>
                          </w:rPr>
                          <m:t>G</m:t>
                        </m:r>
                      </m:e>
                      <m:sup>
                        <m:r>
                          <m:rPr>
                            <m:nor/>
                          </m:rPr>
                          <w:rPr>
                            <w:lang w:val="en-GB"/>
                          </w:rPr>
                          <m:t>tech</m:t>
                        </m:r>
                      </m:sup>
                    </m:sSup>
                    <m:r>
                      <w:rPr>
                        <w:rFonts w:ascii="Cambria Math" w:hAnsi="Cambria Math"/>
                        <w:lang w:val="en-GB"/>
                      </w:rPr>
                      <m:t>(s)</m:t>
                    </m:r>
                  </m:sub>
                  <m:sup/>
                  <m:e>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i,j,t</m:t>
                        </m:r>
                      </m:sub>
                    </m:sSub>
                    <m:r>
                      <w:rPr>
                        <w:rFonts w:ascii="Cambria Math" w:hAnsi="Cambria Math"/>
                        <w:lang w:val="en-GB"/>
                      </w:rPr>
                      <m:t>,</m:t>
                    </m:r>
                    <m:sSubSup>
                      <m:sSubSupPr>
                        <m:ctrlPr>
                          <w:rPr>
                            <w:rFonts w:ascii="Cambria Math" w:hAnsi="Cambria Math"/>
                            <w:lang w:val="en-GB"/>
                          </w:rPr>
                        </m:ctrlPr>
                      </m:sSubSupPr>
                      <m:e>
                        <m:r>
                          <m:rPr>
                            <m:sty m:val="p"/>
                          </m:rPr>
                          <w:rPr>
                            <w:rFonts w:ascii="Cambria Math" w:hAnsi="Cambria Math"/>
                            <w:lang w:val="en-GB"/>
                          </w:rPr>
                          <m:t>Φ</m:t>
                        </m:r>
                      </m:e>
                      <m:sub>
                        <m:r>
                          <w:rPr>
                            <w:rFonts w:ascii="Cambria Math" w:hAnsi="Cambria Math"/>
                            <w:lang w:val="en-GB"/>
                          </w:rPr>
                          <m:t>i,f,t</m:t>
                        </m:r>
                      </m:sub>
                      <m:sup>
                        <m:r>
                          <m:rPr>
                            <m:nor/>
                          </m:rPr>
                          <w:rPr>
                            <w:lang w:val="en-GB"/>
                          </w:rPr>
                          <m:t>ff</m:t>
                        </m:r>
                      </m:sup>
                    </m:sSubSup>
                  </m:e>
                </m:nary>
                <m:r>
                  <w:rPr>
                    <w:rFonts w:ascii="Cambria Math" w:hAnsi="Cambria Math"/>
                    <w:lang w:val="en-GB"/>
                  </w:rPr>
                  <m:t>=</m:t>
                </m:r>
                <m:nary>
                  <m:naryPr>
                    <m:chr m:val="∑"/>
                    <m:limLoc m:val="undOvr"/>
                    <m:grow m:val="1"/>
                    <m:supHide m:val="1"/>
                    <m:ctrlPr>
                      <w:rPr>
                        <w:rFonts w:ascii="Cambria Math" w:hAnsi="Cambria Math"/>
                        <w:lang w:val="en-GB"/>
                      </w:rPr>
                    </m:ctrlPr>
                  </m:naryPr>
                  <m:sub>
                    <m:r>
                      <w:rPr>
                        <w:rFonts w:ascii="Cambria Math" w:hAnsi="Cambria Math"/>
                        <w:lang w:val="en-GB"/>
                      </w:rPr>
                      <m:t>j∈</m:t>
                    </m:r>
                    <m:sSup>
                      <m:sSupPr>
                        <m:ctrlPr>
                          <w:rPr>
                            <w:rFonts w:ascii="Cambria Math" w:hAnsi="Cambria Math"/>
                            <w:lang w:val="en-GB"/>
                          </w:rPr>
                        </m:ctrlPr>
                      </m:sSupPr>
                      <m:e>
                        <m:r>
                          <w:rPr>
                            <w:rFonts w:ascii="Cambria Math" w:hAnsi="Cambria Math"/>
                            <w:lang w:val="en-GB"/>
                          </w:rPr>
                          <m:t>G</m:t>
                        </m:r>
                      </m:e>
                      <m:sup>
                        <m:r>
                          <m:rPr>
                            <m:nor/>
                          </m:rPr>
                          <w:rPr>
                            <w:lang w:val="en-GB"/>
                          </w:rPr>
                          <m:t>ff</m:t>
                        </m:r>
                      </m:sup>
                    </m:sSup>
                    <m:r>
                      <w:rPr>
                        <w:rFonts w:ascii="Cambria Math" w:hAnsi="Cambria Math"/>
                        <w:lang w:val="en-GB"/>
                      </w:rPr>
                      <m:t>(f)</m:t>
                    </m:r>
                  </m:sub>
                  <m:sup/>
                  <m:e>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i,j,t</m:t>
                        </m:r>
                      </m:sub>
                    </m:sSub>
                  </m:e>
                </m:nary>
                <m:r>
                  <w:rPr>
                    <w:rFonts w:ascii="Cambria Math" w:hAnsi="Cambria Math"/>
                    <w:lang w:val="en-GB"/>
                  </w:rPr>
                  <m:t>,</m:t>
                </m:r>
              </m:oMath>
            </m:oMathPara>
          </w:p>
        </w:tc>
        <w:tc>
          <w:tcPr>
            <w:tcW w:w="986" w:type="dxa"/>
            <w:vAlign w:val="center"/>
            <w:hideMark/>
          </w:tcPr>
          <w:p w14:paraId="71D313B2" w14:textId="77777777" w:rsidR="00165B03" w:rsidRPr="00500DA3" w:rsidRDefault="00165B03" w:rsidP="003C0A05">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25625B0D" w14:textId="32E77C28" w:rsidR="00AB2EDB" w:rsidRDefault="00AB2EDB" w:rsidP="00AB2EDB">
      <w:pPr>
        <w:pStyle w:val="MDPI31text"/>
        <w:rPr>
          <w:lang w:val="en-GB"/>
        </w:rPr>
      </w:pPr>
      <w:r w:rsidRPr="00AB2EDB">
        <w:rPr>
          <w:lang w:val="en-GB"/>
        </w:rPr>
        <w:t xml:space="preserve">These aggregated quantities represent how much the entire technical indicator class </w:t>
      </w:r>
      <m:oMath>
        <m:r>
          <w:rPr>
            <w:rFonts w:ascii="Cambria Math" w:hAnsi="Cambria Math"/>
            <w:lang w:val="en-GB"/>
          </w:rPr>
          <m:t>s</m:t>
        </m:r>
      </m:oMath>
      <w:r w:rsidRPr="00AB2EDB">
        <w:rPr>
          <w:lang w:val="en-GB"/>
        </w:rPr>
        <w:t xml:space="preserve">or factor family </w:t>
      </w:r>
      <m:oMath>
        <m:r>
          <w:rPr>
            <w:rFonts w:ascii="Cambria Math" w:hAnsi="Cambria Math"/>
            <w:lang w:val="en-GB"/>
          </w:rPr>
          <m:t>f</m:t>
        </m:r>
      </m:oMath>
      <w:r w:rsidRPr="00AB2EDB">
        <w:rPr>
          <w:lang w:val="en-GB"/>
        </w:rPr>
        <w:t xml:space="preserve">contributes to the predicted forward return at time </w:t>
      </w:r>
      <m:oMath>
        <m:r>
          <w:rPr>
            <w:rFonts w:ascii="Cambria Math" w:hAnsi="Cambria Math"/>
            <w:lang w:val="en-GB"/>
          </w:rPr>
          <m:t>t</m:t>
        </m:r>
      </m:oMath>
      <w:r w:rsidRPr="00AB2EDB">
        <w:rPr>
          <w:lang w:val="en-GB"/>
        </w:rPr>
        <w:t>. Because of additivity, the grouped attributions still reconstruct the prediction:</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165B03" w:rsidRPr="00500DA3" w14:paraId="16D3317C" w14:textId="77777777" w:rsidTr="003C0A05">
        <w:tc>
          <w:tcPr>
            <w:tcW w:w="6873" w:type="dxa"/>
            <w:hideMark/>
          </w:tcPr>
          <w:p w14:paraId="0F66874E" w14:textId="20847736" w:rsidR="00165B03" w:rsidRPr="00500DA3" w:rsidRDefault="00165B03" w:rsidP="003C0A05">
            <w:pPr>
              <w:pStyle w:val="MDPI39equation"/>
              <w:rPr>
                <w:rFonts w:ascii="Cambria Math" w:hAnsi="Cambria Math"/>
              </w:rPr>
            </w:pPr>
            <m:oMathPara>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i,0</m:t>
                    </m:r>
                  </m:sub>
                </m:sSub>
                <m:r>
                  <w:rPr>
                    <w:rFonts w:ascii="Cambria Math" w:hAnsi="Cambria Math"/>
                    <w:lang w:val="en-GB"/>
                  </w:rPr>
                  <m:t>+</m:t>
                </m:r>
                <m:nary>
                  <m:naryPr>
                    <m:chr m:val="∑"/>
                    <m:limLoc m:val="undOvr"/>
                    <m:grow m:val="1"/>
                    <m:supHide m:val="1"/>
                    <m:ctrlPr>
                      <w:rPr>
                        <w:rFonts w:ascii="Cambria Math" w:hAnsi="Cambria Math"/>
                        <w:lang w:val="en-GB"/>
                      </w:rPr>
                    </m:ctrlPr>
                  </m:naryPr>
                  <m:sub>
                    <m:r>
                      <w:rPr>
                        <w:rFonts w:ascii="Cambria Math" w:hAnsi="Cambria Math"/>
                        <w:lang w:val="en-GB"/>
                      </w:rPr>
                      <m:t>s</m:t>
                    </m:r>
                  </m:sub>
                  <m:sup/>
                  <m:e>
                    <m:sSubSup>
                      <m:sSubSupPr>
                        <m:ctrlPr>
                          <w:rPr>
                            <w:rFonts w:ascii="Cambria Math" w:hAnsi="Cambria Math"/>
                            <w:lang w:val="en-GB"/>
                          </w:rPr>
                        </m:ctrlPr>
                      </m:sSubSupPr>
                      <m:e>
                        <m:r>
                          <m:rPr>
                            <m:sty m:val="p"/>
                          </m:rPr>
                          <w:rPr>
                            <w:rFonts w:ascii="Cambria Math" w:hAnsi="Cambria Math"/>
                            <w:lang w:val="en-GB"/>
                          </w:rPr>
                          <m:t>Φ</m:t>
                        </m:r>
                      </m:e>
                      <m:sub>
                        <m:r>
                          <w:rPr>
                            <w:rFonts w:ascii="Cambria Math" w:hAnsi="Cambria Math"/>
                            <w:lang w:val="en-GB"/>
                          </w:rPr>
                          <m:t>i,s,t</m:t>
                        </m:r>
                      </m:sub>
                      <m:sup>
                        <m:r>
                          <m:rPr>
                            <m:nor/>
                          </m:rPr>
                          <w:rPr>
                            <w:lang w:val="en-GB"/>
                          </w:rPr>
                          <m:t>tech</m:t>
                        </m:r>
                      </m:sup>
                    </m:sSubSup>
                  </m:e>
                </m:nary>
                <m:r>
                  <w:rPr>
                    <w:rFonts w:ascii="Cambria Math" w:hAnsi="Cambria Math"/>
                    <w:lang w:val="en-GB"/>
                  </w:rPr>
                  <m:t>+</m:t>
                </m:r>
                <m:nary>
                  <m:naryPr>
                    <m:chr m:val="∑"/>
                    <m:limLoc m:val="undOvr"/>
                    <m:grow m:val="1"/>
                    <m:supHide m:val="1"/>
                    <m:ctrlPr>
                      <w:rPr>
                        <w:rFonts w:ascii="Cambria Math" w:hAnsi="Cambria Math"/>
                        <w:lang w:val="en-GB"/>
                      </w:rPr>
                    </m:ctrlPr>
                  </m:naryPr>
                  <m:sub>
                    <m:r>
                      <w:rPr>
                        <w:rFonts w:ascii="Cambria Math" w:hAnsi="Cambria Math"/>
                        <w:lang w:val="en-GB"/>
                      </w:rPr>
                      <m:t>f</m:t>
                    </m:r>
                  </m:sub>
                  <m:sup/>
                  <m:e>
                    <m:sSubSup>
                      <m:sSubSupPr>
                        <m:ctrlPr>
                          <w:rPr>
                            <w:rFonts w:ascii="Cambria Math" w:hAnsi="Cambria Math"/>
                            <w:lang w:val="en-GB"/>
                          </w:rPr>
                        </m:ctrlPr>
                      </m:sSubSupPr>
                      <m:e>
                        <m:r>
                          <m:rPr>
                            <m:sty m:val="p"/>
                          </m:rPr>
                          <w:rPr>
                            <w:rFonts w:ascii="Cambria Math" w:hAnsi="Cambria Math"/>
                            <w:lang w:val="en-GB"/>
                          </w:rPr>
                          <m:t>Φ</m:t>
                        </m:r>
                      </m:e>
                      <m:sub>
                        <m:r>
                          <w:rPr>
                            <w:rFonts w:ascii="Cambria Math" w:hAnsi="Cambria Math"/>
                            <w:lang w:val="en-GB"/>
                          </w:rPr>
                          <m:t>i,f,t</m:t>
                        </m:r>
                      </m:sub>
                      <m:sup>
                        <m:r>
                          <m:rPr>
                            <m:nor/>
                          </m:rPr>
                          <w:rPr>
                            <w:lang w:val="en-GB"/>
                          </w:rPr>
                          <m:t>ff</m:t>
                        </m:r>
                      </m:sup>
                    </m:sSubSup>
                  </m:e>
                </m:nary>
                <m:r>
                  <w:rPr>
                    <w:rFonts w:ascii="Cambria Math" w:hAnsi="Cambria Math"/>
                    <w:lang w:val="en-GB"/>
                  </w:rPr>
                  <m:t>=</m:t>
                </m:r>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i,t</m:t>
                    </m:r>
                  </m:sub>
                </m:sSub>
                <m:r>
                  <w:rPr>
                    <w:rFonts w:ascii="Cambria Math" w:hAnsi="Cambria Math"/>
                    <w:lang w:val="en-GB"/>
                  </w:rPr>
                  <m:t>,</m:t>
                </m:r>
              </m:oMath>
            </m:oMathPara>
          </w:p>
        </w:tc>
        <w:tc>
          <w:tcPr>
            <w:tcW w:w="986" w:type="dxa"/>
            <w:vAlign w:val="center"/>
            <w:hideMark/>
          </w:tcPr>
          <w:p w14:paraId="6B61825E" w14:textId="77777777" w:rsidR="00165B03" w:rsidRPr="00500DA3" w:rsidRDefault="00165B03" w:rsidP="003C0A05">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4C2C3D33" w14:textId="73AE2CCF" w:rsidR="00165B03" w:rsidRDefault="00165B03" w:rsidP="00AB2EDB">
      <w:pPr>
        <w:pStyle w:val="MDPI31text"/>
        <w:rPr>
          <w:lang w:val="en-GB"/>
        </w:rPr>
      </w:pPr>
      <w:r w:rsidRPr="00165B03">
        <w:rPr>
          <w:lang w:val="en-GB"/>
        </w:rPr>
        <w:t>This consistency ensures that moving from individual features to grouped attributions does not distort the explanatory structure of the model.</w:t>
      </w:r>
    </w:p>
    <w:p w14:paraId="1537AF81" w14:textId="1CAA4077" w:rsidR="00165B03" w:rsidRDefault="00165B03" w:rsidP="00165B03">
      <w:pPr>
        <w:pStyle w:val="MDPI22heading2"/>
        <w:spacing w:before="240"/>
        <w:rPr>
          <w:noProof w:val="0"/>
        </w:rPr>
      </w:pPr>
      <w:r w:rsidRPr="00500DA3">
        <w:rPr>
          <w:noProof w:val="0"/>
        </w:rPr>
        <w:t>3.</w:t>
      </w:r>
      <w:r>
        <w:rPr>
          <w:noProof w:val="0"/>
        </w:rPr>
        <w:t>3</w:t>
      </w:r>
      <w:r w:rsidRPr="00500DA3">
        <w:rPr>
          <w:noProof w:val="0"/>
        </w:rPr>
        <w:t>.</w:t>
      </w:r>
      <w:r>
        <w:rPr>
          <w:noProof w:val="0"/>
        </w:rPr>
        <w:t>2</w:t>
      </w:r>
      <w:r>
        <w:rPr>
          <w:noProof w:val="0"/>
        </w:rPr>
        <w:t>.</w:t>
      </w:r>
      <w:r w:rsidRPr="00500DA3">
        <w:rPr>
          <w:noProof w:val="0"/>
        </w:rPr>
        <w:t xml:space="preserve"> </w:t>
      </w:r>
      <w:r>
        <w:rPr>
          <w:noProof w:val="0"/>
        </w:rPr>
        <w:t>Unified SHAP Feature Gate</w:t>
      </w:r>
    </w:p>
    <w:p w14:paraId="7827D4C5" w14:textId="2F92F8E0" w:rsidR="00C03F59" w:rsidRPr="00C03F59" w:rsidRDefault="00165B03" w:rsidP="00C03F59">
      <w:pPr>
        <w:pStyle w:val="MDPI31text"/>
        <w:rPr>
          <w:lang w:val="en-GB"/>
        </w:rPr>
      </w:pPr>
      <w:r w:rsidRPr="00165B03">
        <w:t xml:space="preserve">To train the Stage-1 predictive model, we construct a comprehensive feature set that includes technical indicators, Fama–French–style factor returns, and macro-economic variables. Because not all candidate features contribute equally to forecasting next-period returns, we aim to identify the subset of indicators that most effectively </w:t>
      </w:r>
      <w:r w:rsidR="00C03F59" w:rsidRPr="00165B03">
        <w:t>capture</w:t>
      </w:r>
      <w:r w:rsidRPr="00165B03">
        <w:t xml:space="preserve"> the relationship between observable market signals and future performance.</w:t>
      </w:r>
      <w:r w:rsidR="00C03F59" w:rsidRPr="00C03F59">
        <w:rPr>
          <w:rFonts w:ascii="Times New Roman" w:hAnsi="Times New Roman"/>
          <w:i/>
          <w:snapToGrid/>
          <w:color w:val="auto"/>
          <w:sz w:val="24"/>
          <w:szCs w:val="24"/>
          <w:lang w:val="en-GB" w:eastAsia="zh-CN" w:bidi="ar-SA"/>
        </w:rPr>
        <w:t xml:space="preserve"> </w:t>
      </w:r>
      <w:r w:rsidR="00C03F59" w:rsidRPr="00C03F59">
        <w:rPr>
          <w:lang w:val="en-GB"/>
        </w:rPr>
        <w:t xml:space="preserve">To achieve this, we apply a one-time </w:t>
      </w:r>
      <w:r w:rsidR="00C03F59" w:rsidRPr="00550823">
        <w:rPr>
          <w:lang w:val="en-GB"/>
        </w:rPr>
        <w:t>Unified SHAP Feature Gate</w:t>
      </w:r>
      <w:r w:rsidR="00C03F59" w:rsidRPr="00C03F59">
        <w:rPr>
          <w:lang w:val="en-GB"/>
        </w:rPr>
        <w:t xml:space="preserve"> on an initial base period </w:t>
      </w:r>
      <m:oMath>
        <m:sSub>
          <m:sSubPr>
            <m:ctrlPr>
              <w:rPr>
                <w:rFonts w:ascii="Cambria Math" w:hAnsi="Cambria Math"/>
                <w:lang w:val="en-GB"/>
              </w:rPr>
            </m:ctrlPr>
          </m:sSubPr>
          <m:e>
            <m:r>
              <m:rPr>
                <m:sty m:val="p"/>
              </m:rPr>
              <w:rPr>
                <w:rFonts w:ascii="Cambria Math" w:hAnsi="Cambria Math"/>
                <w:lang w:val="en-GB"/>
              </w:rPr>
              <m:t>T</m:t>
            </m:r>
          </m:e>
          <m:sub>
            <m:r>
              <m:rPr>
                <m:nor/>
              </m:rPr>
              <w:rPr>
                <w:lang w:val="en-GB"/>
              </w:rPr>
              <m:t>base</m:t>
            </m:r>
          </m:sub>
        </m:sSub>
      </m:oMath>
      <w:r w:rsidR="00C03F59" w:rsidRPr="00C03F59">
        <w:rPr>
          <w:lang w:val="en-GB"/>
        </w:rPr>
        <w:t>. The gate is not re-estimated in rolling windows; its sole purpose is to define a coherent feature universe before Stage 1 and Stage 2 are trained.</w:t>
      </w:r>
    </w:p>
    <w:p w14:paraId="2B1A8400" w14:textId="2F44C409" w:rsidR="00C03F59" w:rsidRDefault="00C03F59" w:rsidP="00C03F59">
      <w:pPr>
        <w:pStyle w:val="MDPI31text"/>
        <w:rPr>
          <w:lang w:val="en-GB"/>
        </w:rPr>
      </w:pPr>
      <w:r w:rsidRPr="00C03F59">
        <w:rPr>
          <w:lang w:val="en-GB"/>
        </w:rPr>
        <w:t xml:space="preserve">On the base window, a lightweight </w:t>
      </w:r>
      <w:proofErr w:type="spellStart"/>
      <w:r w:rsidRPr="00C03F59">
        <w:rPr>
          <w:lang w:val="en-GB"/>
        </w:rPr>
        <w:t>XGBoost</w:t>
      </w:r>
      <w:proofErr w:type="spellEnd"/>
      <w:r w:rsidRPr="00C03F59">
        <w:rPr>
          <w:lang w:val="en-GB"/>
        </w:rPr>
        <w:t xml:space="preserve"> model </w:t>
      </w:r>
      <m:oMath>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i</m:t>
            </m:r>
          </m:sub>
        </m:sSub>
      </m:oMath>
      <w:r w:rsidRPr="00C03F59">
        <w:rPr>
          <w:lang w:val="en-GB"/>
        </w:rPr>
        <w:t xml:space="preserve">is fitted for each asset </w:t>
      </w:r>
      <m:oMath>
        <m:r>
          <w:rPr>
            <w:rFonts w:ascii="Cambria Math" w:hAnsi="Cambria Math"/>
            <w:lang w:val="en-GB"/>
          </w:rPr>
          <m:t>i</m:t>
        </m:r>
      </m:oMath>
      <w:r w:rsidRPr="00C03F59">
        <w:rPr>
          <w:lang w:val="en-GB"/>
        </w:rPr>
        <w:t xml:space="preserve">, using shallow trees to emphasize interpretability. TreeSHAP yields Shapley attributions </w:t>
      </w:r>
      <m:oMath>
        <m:sSubSup>
          <m:sSubSupPr>
            <m:ctrlPr>
              <w:rPr>
                <w:rFonts w:ascii="Cambria Math" w:hAnsi="Cambria Math"/>
                <w:lang w:val="en-GB"/>
              </w:rPr>
            </m:ctrlPr>
          </m:sSubSupPr>
          <m:e>
            <m:r>
              <w:rPr>
                <w:rFonts w:ascii="Cambria Math" w:hAnsi="Cambria Math"/>
                <w:lang w:val="en-GB"/>
              </w:rPr>
              <m:t>ϕ</m:t>
            </m:r>
          </m:e>
          <m:sub>
            <m:r>
              <w:rPr>
                <w:rFonts w:ascii="Cambria Math" w:hAnsi="Cambria Math"/>
                <w:lang w:val="en-GB"/>
              </w:rPr>
              <m:t>i,j,t</m:t>
            </m:r>
          </m:sub>
          <m:sup>
            <m:r>
              <m:rPr>
                <m:nor/>
              </m:rPr>
              <w:rPr>
                <w:lang w:val="en-GB"/>
              </w:rPr>
              <m:t>gate</m:t>
            </m:r>
          </m:sup>
        </m:sSubSup>
      </m:oMath>
      <w:r w:rsidRPr="00C03F59">
        <w:rPr>
          <w:lang w:val="en-GB"/>
        </w:rPr>
        <w:t xml:space="preserve">for each feature </w:t>
      </w:r>
      <m:oMath>
        <m:r>
          <w:rPr>
            <w:rFonts w:ascii="Cambria Math" w:hAnsi="Cambria Math"/>
            <w:lang w:val="en-GB"/>
          </w:rPr>
          <m:t>j</m:t>
        </m:r>
      </m:oMath>
      <w:r w:rsidRPr="00C03F59">
        <w:rPr>
          <w:lang w:val="en-GB"/>
        </w:rPr>
        <w:t xml:space="preserve">at time </w:t>
      </w:r>
      <m:oMath>
        <m:r>
          <w:rPr>
            <w:rFonts w:ascii="Cambria Math" w:hAnsi="Cambria Math"/>
            <w:lang w:val="en-GB"/>
          </w:rPr>
          <m:t>t</m:t>
        </m:r>
      </m:oMath>
      <w:r w:rsidRPr="00C03F59">
        <w:rPr>
          <w:lang w:val="en-GB"/>
        </w:rPr>
        <w:t xml:space="preserve">. The </w:t>
      </w:r>
      <w:r w:rsidRPr="00C03F59">
        <w:rPr>
          <w:i/>
          <w:iCs/>
          <w:lang w:val="en-GB"/>
        </w:rPr>
        <w:t>mean absolute SHAP importance</w:t>
      </w:r>
      <w:r w:rsidRPr="00C03F59">
        <w:rPr>
          <w:lang w:val="en-GB"/>
        </w:rPr>
        <w:t xml:space="preserve"> of feature </w:t>
      </w:r>
      <m:oMath>
        <m:r>
          <w:rPr>
            <w:rFonts w:ascii="Cambria Math" w:hAnsi="Cambria Math"/>
            <w:lang w:val="en-GB"/>
          </w:rPr>
          <m:t>j</m:t>
        </m:r>
      </m:oMath>
      <w:r w:rsidRPr="00C03F59">
        <w:rPr>
          <w:lang w:val="en-GB"/>
        </w:rPr>
        <w:t xml:space="preserve">for asset </w:t>
      </w:r>
      <m:oMath>
        <m:r>
          <w:rPr>
            <w:rFonts w:ascii="Cambria Math" w:hAnsi="Cambria Math"/>
            <w:lang w:val="en-GB"/>
          </w:rPr>
          <m:t>i</m:t>
        </m:r>
      </m:oMath>
      <w:r w:rsidRPr="00C03F59">
        <w:rPr>
          <w:lang w:val="en-GB"/>
        </w:rPr>
        <w:t>is defined as</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C03F59" w:rsidRPr="00500DA3" w14:paraId="77EC843A" w14:textId="77777777" w:rsidTr="003C0A05">
        <w:tc>
          <w:tcPr>
            <w:tcW w:w="6873" w:type="dxa"/>
            <w:hideMark/>
          </w:tcPr>
          <w:p w14:paraId="356F6A0F" w14:textId="1C28D106" w:rsidR="00C03F59" w:rsidRPr="00500DA3" w:rsidRDefault="00C03F59" w:rsidP="003C0A05">
            <w:pPr>
              <w:pStyle w:val="MDPI39equation"/>
              <w:rPr>
                <w:rFonts w:ascii="Cambria Math" w:hAnsi="Cambria Math"/>
              </w:rPr>
            </w:pP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i</m:t>
                    </m:r>
                  </m:sub>
                </m:sSub>
                <m:r>
                  <w:rPr>
                    <w:rFonts w:ascii="Cambria Math" w:hAnsi="Cambria Math"/>
                    <w:lang w:val="en-GB"/>
                  </w:rPr>
                  <m:t>(j)=</m:t>
                </m:r>
                <m:sSub>
                  <m:sSubPr>
                    <m:ctrlPr>
                      <w:rPr>
                        <w:rFonts w:ascii="Cambria Math" w:hAnsi="Cambria Math"/>
                        <w:lang w:val="en-GB"/>
                      </w:rPr>
                    </m:ctrlPr>
                  </m:sSubPr>
                  <m:e>
                    <m:r>
                      <m:rPr>
                        <m:scr m:val="double-struck"/>
                        <m:sty m:val="p"/>
                      </m:rPr>
                      <w:rPr>
                        <w:rFonts w:ascii="Cambria Math" w:hAnsi="Cambria Math"/>
                        <w:lang w:val="en-GB"/>
                      </w:rPr>
                      <m:t>E</m:t>
                    </m:r>
                  </m:e>
                  <m:sub>
                    <m:r>
                      <w:rPr>
                        <w:rFonts w:ascii="Cambria Math" w:hAnsi="Cambria Math"/>
                        <w:lang w:val="en-GB"/>
                      </w:rPr>
                      <m:t>t∈</m:t>
                    </m:r>
                    <m:sSub>
                      <m:sSubPr>
                        <m:ctrlPr>
                          <w:rPr>
                            <w:rFonts w:ascii="Cambria Math" w:hAnsi="Cambria Math"/>
                            <w:lang w:val="en-GB"/>
                          </w:rPr>
                        </m:ctrlPr>
                      </m:sSubPr>
                      <m:e>
                        <m:r>
                          <w:rPr>
                            <w:rFonts w:ascii="Cambria Math" w:hAnsi="Cambria Math"/>
                            <w:lang w:val="en-GB"/>
                          </w:rPr>
                          <m:t>T</m:t>
                        </m:r>
                      </m:e>
                      <m:sub>
                        <m:r>
                          <m:rPr>
                            <m:nor/>
                          </m:rPr>
                          <w:rPr>
                            <w:lang w:val="en-GB"/>
                          </w:rPr>
                          <m:t>base</m:t>
                        </m:r>
                      </m:sub>
                    </m:sSub>
                  </m:sub>
                </m:sSub>
                <m:d>
                  <m:dPr>
                    <m:begChr m:val="["/>
                    <m:endChr m:val="]"/>
                    <m:ctrlPr>
                      <w:rPr>
                        <w:rFonts w:ascii="Cambria Math" w:hAnsi="Cambria Math"/>
                        <w:i/>
                        <w:lang w:val="en-GB"/>
                      </w:rPr>
                    </m:ctrlPr>
                  </m:dPr>
                  <m:e>
                    <m:d>
                      <m:dPr>
                        <m:begChr m:val="|"/>
                        <m:endChr m:val="|"/>
                        <m:ctrlPr>
                          <w:rPr>
                            <w:rFonts w:ascii="Cambria Math" w:hAnsi="Cambria Math"/>
                            <w:i/>
                            <w:lang w:val="en-GB"/>
                          </w:rPr>
                        </m:ctrlPr>
                      </m:dPr>
                      <m:e>
                        <m:sSubSup>
                          <m:sSubSupPr>
                            <m:ctrlPr>
                              <w:rPr>
                                <w:rFonts w:ascii="Cambria Math" w:hAnsi="Cambria Math"/>
                                <w:lang w:val="en-GB"/>
                              </w:rPr>
                            </m:ctrlPr>
                          </m:sSubSupPr>
                          <m:e>
                            <m:r>
                              <w:rPr>
                                <w:rFonts w:ascii="Cambria Math" w:hAnsi="Cambria Math"/>
                                <w:lang w:val="en-GB"/>
                              </w:rPr>
                              <m:t>ϕ</m:t>
                            </m:r>
                          </m:e>
                          <m:sub>
                            <m:r>
                              <w:rPr>
                                <w:rFonts w:ascii="Cambria Math" w:hAnsi="Cambria Math"/>
                                <w:lang w:val="en-GB"/>
                              </w:rPr>
                              <m:t>i,j,t</m:t>
                            </m:r>
                          </m:sub>
                          <m:sup>
                            <m:r>
                              <m:rPr>
                                <m:nor/>
                              </m:rPr>
                              <w:rPr>
                                <w:lang w:val="en-GB"/>
                              </w:rPr>
                              <m:t>gate</m:t>
                            </m:r>
                          </m:sup>
                        </m:sSubSup>
                      </m:e>
                    </m:d>
                  </m:e>
                </m:d>
                <m:r>
                  <w:rPr>
                    <w:rFonts w:ascii="Cambria Math" w:hAnsi="Cambria Math"/>
                    <w:lang w:val="en-GB"/>
                  </w:rPr>
                  <m:t>,</m:t>
                </m:r>
              </m:oMath>
            </m:oMathPara>
          </w:p>
        </w:tc>
        <w:tc>
          <w:tcPr>
            <w:tcW w:w="986" w:type="dxa"/>
            <w:vAlign w:val="center"/>
            <w:hideMark/>
          </w:tcPr>
          <w:p w14:paraId="0E4493F3" w14:textId="77777777" w:rsidR="00C03F59" w:rsidRPr="00500DA3" w:rsidRDefault="00C03F59" w:rsidP="003C0A05">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3D340FB6" w14:textId="01094144" w:rsidR="00C03F59" w:rsidRDefault="00C03F59" w:rsidP="00C03F59">
      <w:pPr>
        <w:pStyle w:val="MDPI31text"/>
        <w:rPr>
          <w:lang w:val="en-GB"/>
        </w:rPr>
      </w:pPr>
      <w:r w:rsidRPr="00C03F59">
        <w:rPr>
          <w:lang w:val="en-GB"/>
        </w:rPr>
        <w:t xml:space="preserve">To obtain feature-group importances, we aggregate these values across assets and across feature families. For a technical indicator group </w:t>
      </w:r>
      <m:oMath>
        <m:r>
          <w:rPr>
            <w:rFonts w:ascii="Cambria Math" w:hAnsi="Cambria Math"/>
            <w:lang w:val="en-GB"/>
          </w:rPr>
          <m:t>s</m:t>
        </m:r>
      </m:oMath>
      <w:r w:rsidRPr="00C03F59">
        <w:rPr>
          <w:lang w:val="en-GB"/>
        </w:rPr>
        <w:t>, appearing once per asset, the cross-asset importance is</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C03F59" w:rsidRPr="00500DA3" w14:paraId="66D3876B" w14:textId="77777777" w:rsidTr="003C0A05">
        <w:tc>
          <w:tcPr>
            <w:tcW w:w="6873" w:type="dxa"/>
            <w:hideMark/>
          </w:tcPr>
          <w:p w14:paraId="307D8D74" w14:textId="6FAE7E22" w:rsidR="00C03F59" w:rsidRPr="00500DA3" w:rsidRDefault="00C03F59" w:rsidP="003C0A05">
            <w:pPr>
              <w:pStyle w:val="MDPI39equation"/>
              <w:rPr>
                <w:rFonts w:ascii="Cambria Math" w:hAnsi="Cambria Math"/>
              </w:rPr>
            </w:pPr>
            <m:oMathPara>
              <m:oMath>
                <m:r>
                  <w:rPr>
                    <w:rFonts w:ascii="Cambria Math" w:hAnsi="Cambria Math"/>
                    <w:lang w:val="en-GB"/>
                  </w:rPr>
                  <m:t>I(s)=</m:t>
                </m:r>
                <m:f>
                  <m:fPr>
                    <m:ctrlPr>
                      <w:rPr>
                        <w:rFonts w:ascii="Cambria Math" w:hAnsi="Cambria Math"/>
                        <w:lang w:val="en-GB"/>
                      </w:rPr>
                    </m:ctrlPr>
                  </m:fPr>
                  <m:num>
                    <m:r>
                      <w:rPr>
                        <w:rFonts w:ascii="Cambria Math" w:hAnsi="Cambria Math"/>
                        <w:lang w:val="en-GB"/>
                      </w:rPr>
                      <m:t>1</m:t>
                    </m:r>
                  </m:num>
                  <m:den>
                    <m:d>
                      <m:dPr>
                        <m:begChr m:val="|"/>
                        <m:endChr m:val="|"/>
                        <m:ctrlPr>
                          <w:rPr>
                            <w:rFonts w:ascii="Cambria Math" w:hAnsi="Cambria Math"/>
                            <w:lang w:val="en-GB"/>
                          </w:rPr>
                        </m:ctrlPr>
                      </m:dPr>
                      <m:e>
                        <m:r>
                          <w:rPr>
                            <w:rFonts w:ascii="Cambria Math" w:hAnsi="Cambria Math"/>
                            <w:lang w:val="en-GB"/>
                          </w:rPr>
                          <m:t>U</m:t>
                        </m:r>
                      </m:e>
                    </m:d>
                    <m:r>
                      <m:rPr>
                        <m:sty m:val="p"/>
                      </m:rPr>
                      <w:rPr>
                        <w:rFonts w:ascii="Cambria Math" w:hAnsi="Cambria Math"/>
                        <w:lang w:val="en-GB"/>
                      </w:rPr>
                      <m:t xml:space="preserve"> </m:t>
                    </m:r>
                  </m:den>
                </m:f>
                <m:nary>
                  <m:naryPr>
                    <m:chr m:val="∑"/>
                    <m:limLoc m:val="undOvr"/>
                    <m:grow m:val="1"/>
                    <m:supHide m:val="1"/>
                    <m:ctrlPr>
                      <w:rPr>
                        <w:rFonts w:ascii="Cambria Math" w:hAnsi="Cambria Math"/>
                        <w:lang w:val="en-GB"/>
                      </w:rPr>
                    </m:ctrlPr>
                  </m:naryPr>
                  <m:sub>
                    <m:r>
                      <w:rPr>
                        <w:rFonts w:ascii="Cambria Math" w:hAnsi="Cambria Math"/>
                        <w:lang w:val="en-GB"/>
                      </w:rPr>
                      <m:t>i∈U</m:t>
                    </m:r>
                  </m:sub>
                  <m:sup/>
                  <m:e>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i</m:t>
                        </m:r>
                      </m:sub>
                    </m:sSub>
                    <m:d>
                      <m:dPr>
                        <m:ctrlPr>
                          <w:rPr>
                            <w:rFonts w:ascii="Cambria Math" w:hAnsi="Cambria Math"/>
                            <w:i/>
                            <w:lang w:val="en-GB"/>
                          </w:rPr>
                        </m:ctrlPr>
                      </m:dPr>
                      <m:e>
                        <m:r>
                          <w:rPr>
                            <w:rFonts w:ascii="Cambria Math" w:hAnsi="Cambria Math"/>
                            <w:lang w:val="en-GB"/>
                          </w:rPr>
                          <m:t>j</m:t>
                        </m:r>
                        <m:d>
                          <m:dPr>
                            <m:ctrlPr>
                              <w:rPr>
                                <w:rFonts w:ascii="Cambria Math" w:hAnsi="Cambria Math"/>
                                <w:i/>
                                <w:lang w:val="en-GB"/>
                              </w:rPr>
                            </m:ctrlPr>
                          </m:dPr>
                          <m:e>
                            <m:r>
                              <w:rPr>
                                <w:rFonts w:ascii="Cambria Math" w:hAnsi="Cambria Math"/>
                                <w:lang w:val="en-GB"/>
                              </w:rPr>
                              <m:t>i,s</m:t>
                            </m:r>
                          </m:e>
                        </m:d>
                      </m:e>
                    </m:d>
                  </m:e>
                </m:nary>
                <m:r>
                  <w:rPr>
                    <w:rFonts w:ascii="Cambria Math" w:hAnsi="Cambria Math"/>
                    <w:lang w:val="en-GB"/>
                  </w:rPr>
                  <m:t>,</m:t>
                </m:r>
              </m:oMath>
            </m:oMathPara>
          </w:p>
        </w:tc>
        <w:tc>
          <w:tcPr>
            <w:tcW w:w="986" w:type="dxa"/>
            <w:vAlign w:val="center"/>
            <w:hideMark/>
          </w:tcPr>
          <w:p w14:paraId="5BA86911" w14:textId="77777777" w:rsidR="00C03F59" w:rsidRPr="00500DA3" w:rsidRDefault="00C03F59" w:rsidP="003C0A05">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4F1BEDE3" w14:textId="7542F260" w:rsidR="00027B1A" w:rsidRDefault="00C03F59" w:rsidP="00027B1A">
      <w:pPr>
        <w:pStyle w:val="MDPI31text"/>
        <w:rPr>
          <w:lang w:val="en-GB"/>
        </w:rPr>
      </w:pPr>
      <w:r w:rsidRPr="00C03F59">
        <w:rPr>
          <w:lang w:val="en-GB"/>
        </w:rPr>
        <w:t xml:space="preserve">where </w:t>
      </w:r>
      <m:oMath>
        <m:r>
          <w:rPr>
            <w:rFonts w:ascii="Cambria Math" w:hAnsi="Cambria Math"/>
            <w:lang w:val="en-GB"/>
          </w:rPr>
          <m:t>U</m:t>
        </m:r>
      </m:oMath>
      <w:r w:rsidRPr="00C03F59">
        <w:rPr>
          <w:lang w:val="en-GB"/>
        </w:rPr>
        <w:t xml:space="preserve">denotes the investment universe. </w:t>
      </w:r>
      <w:r w:rsidR="00027B1A" w:rsidRPr="00027B1A">
        <w:rPr>
          <w:lang w:val="en-GB"/>
        </w:rPr>
        <w:t xml:space="preserve">For a factor family </w:t>
      </w:r>
      <m:oMath>
        <m:r>
          <w:rPr>
            <w:rFonts w:ascii="Cambria Math" w:hAnsi="Cambria Math"/>
            <w:lang w:val="en-GB"/>
          </w:rPr>
          <m:t>f</m:t>
        </m:r>
      </m:oMath>
      <w:r w:rsidR="00027B1A" w:rsidRPr="00027B1A">
        <w:rPr>
          <w:lang w:val="en-GB"/>
        </w:rPr>
        <w:t xml:space="preserve">with feature set </w:t>
      </w:r>
      <m:oMath>
        <m:r>
          <w:rPr>
            <w:rFonts w:ascii="Cambria Math" w:hAnsi="Cambria Math"/>
            <w:lang w:val="en-GB"/>
          </w:rPr>
          <m:t>F(f)</m:t>
        </m:r>
      </m:oMath>
      <w:r w:rsidR="00027B1A" w:rsidRPr="00027B1A">
        <w:rPr>
          <w:lang w:val="en-GB"/>
        </w:rPr>
        <w:t>, we aggregate importance by first summing the mean absolute SHAP importances of its constituent features for each asset and then averaging across assets:</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027B1A" w:rsidRPr="00500DA3" w14:paraId="453CDD8D" w14:textId="77777777" w:rsidTr="003C0A05">
        <w:tc>
          <w:tcPr>
            <w:tcW w:w="6873" w:type="dxa"/>
            <w:hideMark/>
          </w:tcPr>
          <w:p w14:paraId="1DB167EC" w14:textId="3C9D82B5" w:rsidR="00027B1A" w:rsidRPr="00500DA3" w:rsidRDefault="00027B1A" w:rsidP="003C0A05">
            <w:pPr>
              <w:pStyle w:val="MDPI39equation"/>
              <w:rPr>
                <w:rFonts w:ascii="Cambria Math" w:hAnsi="Cambria Math"/>
              </w:rPr>
            </w:pPr>
            <m:oMathPara>
              <m:oMath>
                <m:r>
                  <w:rPr>
                    <w:rFonts w:ascii="Cambria Math" w:hAnsi="Cambria Math"/>
                    <w:lang w:val="en-GB"/>
                  </w:rPr>
                  <m:t>I(f)=</m:t>
                </m:r>
                <m:f>
                  <m:fPr>
                    <m:ctrlPr>
                      <w:rPr>
                        <w:rFonts w:ascii="Cambria Math" w:hAnsi="Cambria Math"/>
                        <w:lang w:val="en-GB"/>
                      </w:rPr>
                    </m:ctrlPr>
                  </m:fPr>
                  <m:num>
                    <m:r>
                      <w:rPr>
                        <w:rFonts w:ascii="Cambria Math" w:hAnsi="Cambria Math"/>
                        <w:lang w:val="en-GB"/>
                      </w:rPr>
                      <m:t>1</m:t>
                    </m:r>
                  </m:num>
                  <m:den>
                    <m:d>
                      <m:dPr>
                        <m:begChr m:val="|"/>
                        <m:endChr m:val="|"/>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f</m:t>
                            </m:r>
                          </m:sub>
                        </m:sSub>
                      </m:e>
                    </m:d>
                  </m:den>
                </m:f>
                <m:nary>
                  <m:naryPr>
                    <m:chr m:val="∑"/>
                    <m:limLoc m:val="undOvr"/>
                    <m:supHide m:val="1"/>
                    <m:ctrlPr>
                      <w:rPr>
                        <w:rFonts w:ascii="Cambria Math" w:hAnsi="Cambria Math"/>
                        <w:i/>
                        <w:lang w:val="en-GB"/>
                      </w:rPr>
                    </m:ctrlPr>
                  </m:naryPr>
                  <m:sub>
                    <m:r>
                      <w:rPr>
                        <w:rFonts w:ascii="Cambria Math" w:hAnsi="Cambria Math"/>
                        <w:lang w:val="en-GB"/>
                      </w:rPr>
                      <m:t>i∈</m:t>
                    </m:r>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f</m:t>
                        </m:r>
                      </m:sub>
                    </m:sSub>
                  </m:sub>
                  <m:sup/>
                  <m:e>
                    <m:nary>
                      <m:naryPr>
                        <m:chr m:val="∑"/>
                        <m:limLoc m:val="undOvr"/>
                        <m:supHide m:val="1"/>
                        <m:ctrlPr>
                          <w:rPr>
                            <w:rFonts w:ascii="Cambria Math" w:hAnsi="Cambria Math"/>
                            <w:i/>
                            <w:lang w:val="en-GB"/>
                          </w:rPr>
                        </m:ctrlPr>
                      </m:naryPr>
                      <m:sub>
                        <m:r>
                          <w:rPr>
                            <w:rFonts w:ascii="Cambria Math" w:hAnsi="Cambria Math"/>
                            <w:lang w:val="en-GB"/>
                          </w:rPr>
                          <m:t>j∈F(f)</m:t>
                        </m:r>
                      </m:sub>
                      <m:sup/>
                      <m:e>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i</m:t>
                            </m:r>
                          </m:sub>
                        </m:sSub>
                        <m:r>
                          <w:rPr>
                            <w:rFonts w:ascii="Cambria Math" w:hAnsi="Cambria Math"/>
                            <w:lang w:val="en-GB"/>
                          </w:rPr>
                          <m:t>(j)</m:t>
                        </m:r>
                      </m:e>
                    </m:nary>
                  </m:e>
                </m:nary>
                <m:r>
                  <w:rPr>
                    <w:rFonts w:ascii="Cambria Math" w:hAnsi="Cambria Math"/>
                    <w:lang w:val="en-GB"/>
                  </w:rPr>
                  <m:t>,</m:t>
                </m:r>
              </m:oMath>
            </m:oMathPara>
          </w:p>
        </w:tc>
        <w:tc>
          <w:tcPr>
            <w:tcW w:w="986" w:type="dxa"/>
            <w:vAlign w:val="center"/>
            <w:hideMark/>
          </w:tcPr>
          <w:p w14:paraId="39EC9C81" w14:textId="77777777" w:rsidR="00027B1A" w:rsidRPr="00500DA3" w:rsidRDefault="00027B1A" w:rsidP="003C0A05">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70A4DCBB" w14:textId="3330B800" w:rsidR="00C03F59" w:rsidRPr="00C03F59" w:rsidRDefault="00027B1A" w:rsidP="00C03F59">
      <w:pPr>
        <w:pStyle w:val="MDPI31text"/>
        <w:rPr>
          <w:lang w:val="en-GB"/>
        </w:rPr>
      </w:pPr>
      <w:r w:rsidRPr="00027B1A">
        <w:rPr>
          <w:lang w:val="en-GB"/>
        </w:rPr>
        <w:t xml:space="preserve">where </w:t>
      </w:r>
      <m:oMath>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f</m:t>
            </m:r>
          </m:sub>
        </m:sSub>
      </m:oMath>
      <w:r w:rsidRPr="00027B1A">
        <w:rPr>
          <w:lang w:val="en-GB"/>
        </w:rPr>
        <w:t xml:space="preserve">denotes the subset of assets for which at least one feature in family </w:t>
      </w:r>
      <m:oMath>
        <m:r>
          <w:rPr>
            <w:rFonts w:ascii="Cambria Math" w:hAnsi="Cambria Math"/>
            <w:lang w:val="en-GB"/>
          </w:rPr>
          <m:t>f</m:t>
        </m:r>
      </m:oMath>
      <w:r w:rsidRPr="00027B1A">
        <w:rPr>
          <w:lang w:val="en-GB"/>
        </w:rPr>
        <w:t>is present.</w:t>
      </w:r>
      <w:r>
        <w:rPr>
          <w:lang w:val="en-GB"/>
        </w:rPr>
        <w:t xml:space="preserve"> </w:t>
      </w:r>
      <w:r w:rsidR="00C03F59" w:rsidRPr="00C03F59">
        <w:rPr>
          <w:lang w:val="en-GB"/>
        </w:rPr>
        <w:t xml:space="preserve">These group-level measures provide a principled, data-driven ranking of technical and factor families. A small number of top-ranked groups is selected to form the final unified feature set; technical indicators are retained across all assets, whereas factor </w:t>
      </w:r>
      <w:r w:rsidR="00C03F59" w:rsidRPr="00C03F59">
        <w:rPr>
          <w:lang w:val="en-GB"/>
        </w:rPr>
        <w:lastRenderedPageBreak/>
        <w:t xml:space="preserve">families are represented by the single lag with the highest mean importance. This unified set is then </w:t>
      </w:r>
      <w:r w:rsidR="00C03F59" w:rsidRPr="00C03F59">
        <w:rPr>
          <w:b/>
          <w:bCs/>
          <w:lang w:val="en-GB"/>
        </w:rPr>
        <w:t>frozen</w:t>
      </w:r>
      <w:r w:rsidR="00C03F59" w:rsidRPr="00C03F59">
        <w:rPr>
          <w:lang w:val="en-GB"/>
        </w:rPr>
        <w:t xml:space="preserve"> for all subsequent </w:t>
      </w:r>
      <w:r w:rsidRPr="00C03F59">
        <w:rPr>
          <w:lang w:val="en-GB"/>
        </w:rPr>
        <w:t>modelling</w:t>
      </w:r>
      <w:r w:rsidR="00C03F59" w:rsidRPr="00C03F59">
        <w:rPr>
          <w:lang w:val="en-GB"/>
        </w:rPr>
        <w:t xml:space="preserve"> steps, ensuring temporal consistency, dimensionality control, and interpretability.</w:t>
      </w:r>
    </w:p>
    <w:p w14:paraId="7FB4DCDA" w14:textId="77777777" w:rsidR="00C03F59" w:rsidRPr="00C03F59" w:rsidRDefault="00C03F59" w:rsidP="00C03F59">
      <w:pPr>
        <w:pStyle w:val="MDPI31text"/>
        <w:rPr>
          <w:lang w:val="en-GB"/>
        </w:rPr>
      </w:pPr>
      <w:r w:rsidRPr="00C03F59">
        <w:rPr>
          <w:lang w:val="en-GB"/>
        </w:rPr>
        <w:t>The feature gate complements—but does not replace—the more substantial role of SHAP in constructing attribution-based signals for reinforcement learning. Its purpose is simply to define a coherent and economically grounded feature space.</w:t>
      </w:r>
    </w:p>
    <w:p w14:paraId="3E2B9537" w14:textId="27389C4B" w:rsidR="00165B03" w:rsidRDefault="00165B03" w:rsidP="00165B03">
      <w:pPr>
        <w:pStyle w:val="MDPI22heading2"/>
        <w:spacing w:before="240"/>
        <w:rPr>
          <w:noProof w:val="0"/>
        </w:rPr>
      </w:pPr>
      <w:r w:rsidRPr="00500DA3">
        <w:rPr>
          <w:noProof w:val="0"/>
        </w:rPr>
        <w:t>3.</w:t>
      </w:r>
      <w:r>
        <w:rPr>
          <w:noProof w:val="0"/>
        </w:rPr>
        <w:t>3</w:t>
      </w:r>
      <w:r w:rsidRPr="00500DA3">
        <w:rPr>
          <w:noProof w:val="0"/>
        </w:rPr>
        <w:t>.</w:t>
      </w:r>
      <w:r w:rsidR="00AC7CD5">
        <w:rPr>
          <w:noProof w:val="0"/>
        </w:rPr>
        <w:t>3</w:t>
      </w:r>
      <w:r>
        <w:rPr>
          <w:noProof w:val="0"/>
        </w:rPr>
        <w:t>.</w:t>
      </w:r>
      <w:r w:rsidRPr="00500DA3">
        <w:rPr>
          <w:noProof w:val="0"/>
        </w:rPr>
        <w:t xml:space="preserve"> </w:t>
      </w:r>
      <w:r w:rsidR="00AC7CD5" w:rsidRPr="00AC7CD5">
        <w:rPr>
          <w:noProof w:val="0"/>
        </w:rPr>
        <w:t>SHAP-Derived Metrics for Policy Learning</w:t>
      </w:r>
    </w:p>
    <w:p w14:paraId="124E3F2B" w14:textId="77777777" w:rsidR="00550823" w:rsidRPr="00550823" w:rsidRDefault="00550823" w:rsidP="00550823">
      <w:pPr>
        <w:pStyle w:val="MDPI31text"/>
        <w:rPr>
          <w:lang w:val="en-GB"/>
        </w:rPr>
      </w:pPr>
      <w:r w:rsidRPr="00550823">
        <w:rPr>
          <w:lang w:val="en-GB"/>
        </w:rPr>
        <w:t>While individual SHAP attributions provide asset-level explanations for the Stage-1 predictions, the reinforcement-learning agent in Stage 2 requires a compact and stable set of explanatory signals that capture broad market conditions rather than idiosyncratic per-asset variations. To this end, we aggregate the SHAP attributions across the investment universe on each date and construct cross-sectional SHAP summary metrics that describe how important each feature group is on that day in the aggregate.</w:t>
      </w:r>
    </w:p>
    <w:p w14:paraId="5EDA1848" w14:textId="0671D4E7" w:rsidR="00550823" w:rsidRDefault="00550823" w:rsidP="00550823">
      <w:pPr>
        <w:pStyle w:val="MDPI31text"/>
        <w:rPr>
          <w:lang w:val="en-GB"/>
        </w:rPr>
      </w:pPr>
      <w:r w:rsidRPr="00550823">
        <w:rPr>
          <w:lang w:val="en-GB"/>
        </w:rPr>
        <w:t xml:space="preserve">Let </w:t>
      </w:r>
      <m:oMath>
        <m:sSub>
          <m:sSubPr>
            <m:ctrlPr>
              <w:rPr>
                <w:rFonts w:ascii="Cambria Math" w:hAnsi="Cambria Math"/>
                <w:lang w:val="en-GB"/>
              </w:rPr>
            </m:ctrlPr>
          </m:sSubPr>
          <m:e>
            <m:r>
              <m:rPr>
                <m:sty m:val="p"/>
              </m:rPr>
              <w:rPr>
                <w:rFonts w:ascii="Cambria Math" w:hAnsi="Cambria Math"/>
                <w:lang w:val="en-GB"/>
              </w:rPr>
              <m:t>Φ</m:t>
            </m:r>
          </m:e>
          <m:sub>
            <m:r>
              <w:rPr>
                <w:rFonts w:ascii="Cambria Math" w:hAnsi="Cambria Math"/>
                <w:lang w:val="en-GB"/>
              </w:rPr>
              <m:t>i,g,t</m:t>
            </m:r>
          </m:sub>
        </m:sSub>
      </m:oMath>
      <w:r w:rsidRPr="00550823">
        <w:rPr>
          <w:lang w:val="en-GB"/>
        </w:rPr>
        <w:t xml:space="preserve">denote the group-level SHAP attribution (defined in Section 3.3.1) for asset </w:t>
      </w:r>
      <m:oMath>
        <m:r>
          <w:rPr>
            <w:rFonts w:ascii="Cambria Math" w:hAnsi="Cambria Math"/>
            <w:lang w:val="en-GB"/>
          </w:rPr>
          <m:t>i</m:t>
        </m:r>
      </m:oMath>
      <w:r w:rsidRPr="00550823">
        <w:rPr>
          <w:lang w:val="en-GB"/>
        </w:rPr>
        <w:t xml:space="preserve">, feature group </w:t>
      </w:r>
      <m:oMath>
        <m:r>
          <w:rPr>
            <w:rFonts w:ascii="Cambria Math" w:hAnsi="Cambria Math"/>
            <w:lang w:val="en-GB"/>
          </w:rPr>
          <m:t>g</m:t>
        </m:r>
      </m:oMath>
      <w:r w:rsidRPr="00550823">
        <w:rPr>
          <w:lang w:val="en-GB"/>
        </w:rPr>
        <w:t xml:space="preserve">, and date </w:t>
      </w:r>
      <m:oMath>
        <m:r>
          <w:rPr>
            <w:rFonts w:ascii="Cambria Math" w:hAnsi="Cambria Math"/>
            <w:lang w:val="en-GB"/>
          </w:rPr>
          <m:t>t</m:t>
        </m:r>
      </m:oMath>
      <w:r w:rsidRPr="00550823">
        <w:rPr>
          <w:lang w:val="en-GB"/>
        </w:rPr>
        <w:t xml:space="preserve">. For each date, we compute the cross-sectional mean SHAP contribution of group </w:t>
      </w:r>
      <m:oMath>
        <m:r>
          <w:rPr>
            <w:rFonts w:ascii="Cambria Math" w:hAnsi="Cambria Math"/>
            <w:lang w:val="en-GB"/>
          </w:rPr>
          <m:t>g</m:t>
        </m:r>
      </m:oMath>
      <w:r w:rsidRPr="00550823">
        <w:rPr>
          <w:lang w:val="en-GB"/>
        </w:rPr>
        <w:t>:</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CE0AAD" w:rsidRPr="00500DA3" w14:paraId="2333FDA5" w14:textId="77777777" w:rsidTr="003C0A05">
        <w:tc>
          <w:tcPr>
            <w:tcW w:w="6873" w:type="dxa"/>
            <w:hideMark/>
          </w:tcPr>
          <w:p w14:paraId="54DB63D7" w14:textId="45253D28" w:rsidR="00CE0AAD" w:rsidRPr="00500DA3" w:rsidRDefault="00CE0AAD" w:rsidP="003C0A05">
            <w:pPr>
              <w:pStyle w:val="MDPI39equation"/>
              <w:rPr>
                <w:rFonts w:ascii="Cambria Math" w:hAnsi="Cambria Math"/>
              </w:rPr>
            </w:pPr>
            <m:oMathPara>
              <m:oMath>
                <m:sSub>
                  <m:sSubPr>
                    <m:ctrlPr>
                      <w:rPr>
                        <w:rFonts w:ascii="Cambria Math" w:hAnsi="Cambria Math"/>
                        <w:lang w:val="en-GB"/>
                      </w:rPr>
                    </m:ctrlPr>
                  </m:sSubPr>
                  <m:e>
                    <w:proofErr w:type="spellStart"/>
                    <m:r>
                      <m:rPr>
                        <m:nor/>
                      </m:rPr>
                      <w:rPr>
                        <w:lang w:val="en-GB"/>
                      </w:rPr>
                      <m:t>Avg_SHAP</m:t>
                    </m:r>
                    <w:proofErr w:type="spellEnd"/>
                  </m:e>
                  <m:sub>
                    <m:r>
                      <w:rPr>
                        <w:rFonts w:ascii="Cambria Math" w:hAnsi="Cambria Math"/>
                        <w:lang w:val="en-GB"/>
                      </w:rPr>
                      <m:t>g,t</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t</m:t>
                        </m:r>
                      </m:sub>
                    </m:sSub>
                  </m:den>
                </m:f>
                <m:nary>
                  <m:naryPr>
                    <m:chr m:val="∑"/>
                    <m:limLoc m:val="undOvr"/>
                    <m:grow m:val="1"/>
                    <m:ctrlPr>
                      <w:rPr>
                        <w:rFonts w:ascii="Cambria Math" w:hAnsi="Cambria Math"/>
                        <w:lang w:val="en-GB"/>
                      </w:rPr>
                    </m:ctrlPr>
                  </m:naryPr>
                  <m:sub>
                    <m:r>
                      <w:rPr>
                        <w:rFonts w:ascii="Cambria Math" w:hAnsi="Cambria Math"/>
                        <w:lang w:val="en-GB"/>
                      </w:rPr>
                      <m:t>i=1</m:t>
                    </m:r>
                  </m:sub>
                  <m:sup>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t</m:t>
                        </m:r>
                      </m:sub>
                    </m:sSub>
                  </m:sup>
                  <m:e>
                    <m:sSub>
                      <m:sSubPr>
                        <m:ctrlPr>
                          <w:rPr>
                            <w:rFonts w:ascii="Cambria Math" w:hAnsi="Cambria Math"/>
                            <w:lang w:val="en-GB"/>
                          </w:rPr>
                        </m:ctrlPr>
                      </m:sSubPr>
                      <m:e>
                        <m:r>
                          <m:rPr>
                            <m:sty m:val="p"/>
                          </m:rPr>
                          <w:rPr>
                            <w:rFonts w:ascii="Cambria Math" w:hAnsi="Cambria Math"/>
                            <w:lang w:val="en-GB"/>
                          </w:rPr>
                          <m:t>Φ</m:t>
                        </m:r>
                      </m:e>
                      <m:sub>
                        <m:r>
                          <w:rPr>
                            <w:rFonts w:ascii="Cambria Math" w:hAnsi="Cambria Math"/>
                            <w:lang w:val="en-GB"/>
                          </w:rPr>
                          <m:t>i,g,t</m:t>
                        </m:r>
                      </m:sub>
                    </m:sSub>
                  </m:e>
                </m:nary>
                <m:r>
                  <w:rPr>
                    <w:rFonts w:ascii="Cambria Math" w:hAnsi="Cambria Math"/>
                    <w:lang w:val="en-GB"/>
                  </w:rPr>
                  <m:t>,</m:t>
                </m:r>
              </m:oMath>
            </m:oMathPara>
          </w:p>
        </w:tc>
        <w:tc>
          <w:tcPr>
            <w:tcW w:w="986" w:type="dxa"/>
            <w:vAlign w:val="center"/>
            <w:hideMark/>
          </w:tcPr>
          <w:p w14:paraId="7F921B73" w14:textId="77777777" w:rsidR="00CE0AAD" w:rsidRPr="00500DA3" w:rsidRDefault="00CE0AAD" w:rsidP="003C0A05">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5A0FB5E2" w14:textId="15EDE350" w:rsidR="00550823" w:rsidRPr="00550823" w:rsidRDefault="00550823" w:rsidP="00550823">
      <w:pPr>
        <w:pStyle w:val="MDPI31text"/>
        <w:rPr>
          <w:lang w:val="en-GB"/>
        </w:rPr>
      </w:pPr>
      <w:r w:rsidRPr="00550823">
        <w:rPr>
          <w:lang w:val="en-GB"/>
        </w:rPr>
        <w:t xml:space="preserve">where </w:t>
      </w:r>
      <m:oMath>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t</m:t>
            </m:r>
          </m:sub>
        </m:sSub>
      </m:oMath>
      <w:r w:rsidRPr="00550823">
        <w:rPr>
          <w:lang w:val="en-GB"/>
        </w:rPr>
        <w:t xml:space="preserve">is the number of assets with valid observations on date </w:t>
      </w:r>
      <m:oMath>
        <m:r>
          <w:rPr>
            <w:rFonts w:ascii="Cambria Math" w:hAnsi="Cambria Math"/>
            <w:lang w:val="en-GB"/>
          </w:rPr>
          <m:t>t</m:t>
        </m:r>
      </m:oMath>
      <w:r w:rsidRPr="00550823">
        <w:rPr>
          <w:lang w:val="en-GB"/>
        </w:rPr>
        <w:t xml:space="preserve">. This statistic reflects the </w:t>
      </w:r>
      <w:r w:rsidRPr="00550823">
        <w:rPr>
          <w:i/>
          <w:iCs/>
          <w:lang w:val="en-GB"/>
        </w:rPr>
        <w:t>typical directional contribution</w:t>
      </w:r>
      <w:r w:rsidRPr="00550823">
        <w:rPr>
          <w:lang w:val="en-GB"/>
        </w:rPr>
        <w:t xml:space="preserve"> of group </w:t>
      </w:r>
      <m:oMath>
        <m:r>
          <w:rPr>
            <w:rFonts w:ascii="Cambria Math" w:hAnsi="Cambria Math"/>
            <w:lang w:val="en-GB"/>
          </w:rPr>
          <m:t>g</m:t>
        </m:r>
      </m:oMath>
      <w:r w:rsidRPr="00550823">
        <w:rPr>
          <w:lang w:val="en-GB"/>
        </w:rPr>
        <w:t xml:space="preserve">to predicted returns at that point in time. A positive value indicates that, on average, the predictive model views group </w:t>
      </w:r>
      <m:oMath>
        <m:r>
          <w:rPr>
            <w:rFonts w:ascii="Cambria Math" w:hAnsi="Cambria Math"/>
            <w:lang w:val="en-GB"/>
          </w:rPr>
          <m:t>g</m:t>
        </m:r>
      </m:oMath>
      <w:r w:rsidRPr="00550823">
        <w:rPr>
          <w:lang w:val="en-GB"/>
        </w:rPr>
        <w:t>as contributing positively to expected returns across assets on that day; a negative value indicates the opposite.</w:t>
      </w:r>
    </w:p>
    <w:p w14:paraId="27C197F6" w14:textId="0B197140" w:rsidR="00550823" w:rsidRDefault="00550823" w:rsidP="00550823">
      <w:pPr>
        <w:pStyle w:val="MDPI31text"/>
        <w:rPr>
          <w:lang w:val="en-GB"/>
        </w:rPr>
      </w:pPr>
      <w:r w:rsidRPr="00550823">
        <w:rPr>
          <w:lang w:val="en-GB"/>
        </w:rPr>
        <w:t xml:space="preserve">To characterize dispersion in the influence of group </w:t>
      </w:r>
      <m:oMath>
        <m:r>
          <w:rPr>
            <w:rFonts w:ascii="Cambria Math" w:hAnsi="Cambria Math"/>
            <w:lang w:val="en-GB"/>
          </w:rPr>
          <m:t>g</m:t>
        </m:r>
      </m:oMath>
      <w:r w:rsidR="00CE0AAD">
        <w:rPr>
          <w:lang w:val="en-GB"/>
        </w:rPr>
        <w:t xml:space="preserve"> </w:t>
      </w:r>
      <w:r w:rsidRPr="00550823">
        <w:rPr>
          <w:lang w:val="en-GB"/>
        </w:rPr>
        <w:t>across assets, we compute the cross-sectional standard deviation of its contributions:</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CE0AAD" w:rsidRPr="00500DA3" w14:paraId="3DD875D3" w14:textId="77777777" w:rsidTr="003C0A05">
        <w:tc>
          <w:tcPr>
            <w:tcW w:w="6873" w:type="dxa"/>
            <w:hideMark/>
          </w:tcPr>
          <w:p w14:paraId="22D4D987" w14:textId="06302C94" w:rsidR="00CE0AAD" w:rsidRPr="00500DA3" w:rsidRDefault="00CE0AAD" w:rsidP="003C0A05">
            <w:pPr>
              <w:pStyle w:val="MDPI39equation"/>
              <w:rPr>
                <w:rFonts w:ascii="Cambria Math" w:hAnsi="Cambria Math"/>
              </w:rPr>
            </w:pPr>
            <m:oMathPara>
              <m:oMath>
                <m:sSub>
                  <m:sSubPr>
                    <m:ctrlPr>
                      <w:rPr>
                        <w:rFonts w:ascii="Cambria Math" w:hAnsi="Cambria Math"/>
                        <w:lang w:val="en-GB"/>
                      </w:rPr>
                    </m:ctrlPr>
                  </m:sSubPr>
                  <m:e>
                    <w:proofErr w:type="spellStart"/>
                    <m:r>
                      <m:rPr>
                        <m:nor/>
                      </m:rPr>
                      <w:rPr>
                        <w:lang w:val="en-GB"/>
                      </w:rPr>
                      <m:t>Std_SHAP</m:t>
                    </m:r>
                    <w:proofErr w:type="spellEnd"/>
                  </m:e>
                  <m:sub>
                    <m:r>
                      <w:rPr>
                        <w:rFonts w:ascii="Cambria Math" w:hAnsi="Cambria Math"/>
                        <w:lang w:val="en-GB"/>
                      </w:rPr>
                      <m:t>g,t</m:t>
                    </m:r>
                  </m:sub>
                </m:sSub>
                <m:r>
                  <w:rPr>
                    <w:rFonts w:ascii="Cambria Math" w:hAnsi="Cambria Math"/>
                    <w:lang w:val="en-GB"/>
                  </w:rPr>
                  <m:t>=</m:t>
                </m:r>
                <m:rad>
                  <m:radPr>
                    <m:degHide m:val="1"/>
                    <m:ctrlPr>
                      <w:rPr>
                        <w:rFonts w:ascii="Cambria Math" w:hAnsi="Cambria Math"/>
                        <w:lang w:val="en-GB"/>
                      </w:rPr>
                    </m:ctrlPr>
                  </m:radPr>
                  <m:deg/>
                  <m:e>
                    <m:f>
                      <m:fPr>
                        <m:ctrlPr>
                          <w:rPr>
                            <w:rFonts w:ascii="Cambria Math" w:hAnsi="Cambria Math"/>
                            <w:lang w:val="en-GB"/>
                          </w:rPr>
                        </m:ctrlPr>
                      </m:fPr>
                      <m:num>
                        <m:r>
                          <w:rPr>
                            <w:rFonts w:ascii="Cambria Math" w:hAnsi="Cambria Math"/>
                            <w:lang w:val="en-GB"/>
                          </w:rPr>
                          <m:t>1</m:t>
                        </m:r>
                      </m:num>
                      <m:den>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t</m:t>
                            </m:r>
                          </m:sub>
                        </m:sSub>
                      </m:den>
                    </m:f>
                    <m:nary>
                      <m:naryPr>
                        <m:chr m:val="∑"/>
                        <m:limLoc m:val="undOvr"/>
                        <m:grow m:val="1"/>
                        <m:ctrlPr>
                          <w:rPr>
                            <w:rFonts w:ascii="Cambria Math" w:hAnsi="Cambria Math"/>
                            <w:lang w:val="en-GB"/>
                          </w:rPr>
                        </m:ctrlPr>
                      </m:naryPr>
                      <m:sub>
                        <m:r>
                          <w:rPr>
                            <w:rFonts w:ascii="Cambria Math" w:hAnsi="Cambria Math"/>
                            <w:lang w:val="en-GB"/>
                          </w:rPr>
                          <m:t>i=1</m:t>
                        </m:r>
                      </m:sub>
                      <m:sup>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t</m:t>
                            </m:r>
                          </m:sub>
                        </m:sSub>
                      </m:sup>
                      <m:e>
                        <m:sSup>
                          <m:sSupPr>
                            <m:ctrlPr>
                              <w:rPr>
                                <w:rFonts w:ascii="Cambria Math" w:hAnsi="Cambria Math"/>
                                <w:i/>
                                <w:lang w:val="en-GB"/>
                              </w:rPr>
                            </m:ctrlPr>
                          </m:sSupPr>
                          <m:e>
                            <m:d>
                              <m:dPr>
                                <m:ctrlPr>
                                  <w:rPr>
                                    <w:rFonts w:ascii="Cambria Math" w:hAnsi="Cambria Math"/>
                                    <w:i/>
                                    <w:lang w:val="en-GB"/>
                                  </w:rPr>
                                </m:ctrlPr>
                              </m:dPr>
                              <m:e>
                                <m:sSub>
                                  <m:sSubPr>
                                    <m:ctrlPr>
                                      <w:rPr>
                                        <w:rFonts w:ascii="Cambria Math" w:hAnsi="Cambria Math"/>
                                        <w:lang w:val="en-GB"/>
                                      </w:rPr>
                                    </m:ctrlPr>
                                  </m:sSubPr>
                                  <m:e>
                                    <m:r>
                                      <m:rPr>
                                        <m:sty m:val="p"/>
                                      </m:rPr>
                                      <w:rPr>
                                        <w:rFonts w:ascii="Cambria Math" w:hAnsi="Cambria Math"/>
                                        <w:lang w:val="en-GB"/>
                                      </w:rPr>
                                      <m:t>Φ</m:t>
                                    </m:r>
                                  </m:e>
                                  <m:sub>
                                    <m:r>
                                      <w:rPr>
                                        <w:rFonts w:ascii="Cambria Math" w:hAnsi="Cambria Math"/>
                                        <w:lang w:val="en-GB"/>
                                      </w:rPr>
                                      <m:t>i,g,t</m:t>
                                    </m:r>
                                  </m:sub>
                                </m:sSub>
                                <m:r>
                                  <w:rPr>
                                    <w:rFonts w:ascii="Cambria Math" w:hAnsi="Cambria Math"/>
                                    <w:lang w:val="en-GB"/>
                                  </w:rPr>
                                  <m:t>-</m:t>
                                </m:r>
                                <m:sSub>
                                  <m:sSubPr>
                                    <m:ctrlPr>
                                      <w:rPr>
                                        <w:rFonts w:ascii="Cambria Math" w:hAnsi="Cambria Math"/>
                                        <w:lang w:val="en-GB"/>
                                      </w:rPr>
                                    </m:ctrlPr>
                                  </m:sSubPr>
                                  <m:e>
                                    <m:r>
                                      <m:rPr>
                                        <m:nor/>
                                      </m:rPr>
                                      <w:rPr>
                                        <w:lang w:val="en-GB"/>
                                      </w:rPr>
                                      <m:t>Avg_SHAP</m:t>
                                    </m:r>
                                  </m:e>
                                  <m:sub>
                                    <m:r>
                                      <w:rPr>
                                        <w:rFonts w:ascii="Cambria Math" w:hAnsi="Cambria Math"/>
                                        <w:lang w:val="en-GB"/>
                                      </w:rPr>
                                      <m:t>g,t</m:t>
                                    </m:r>
                                  </m:sub>
                                </m:sSub>
                              </m:e>
                            </m:d>
                          </m:e>
                          <m:sup>
                            <m:r>
                              <w:rPr>
                                <w:rFonts w:ascii="Cambria Math" w:hAnsi="Cambria Math"/>
                                <w:lang w:val="en-GB"/>
                              </w:rPr>
                              <m:t>2</m:t>
                            </m:r>
                          </m:sup>
                        </m:sSup>
                      </m:e>
                    </m:nary>
                  </m:e>
                </m:rad>
                <m:r>
                  <w:rPr>
                    <w:rFonts w:ascii="Cambria Math" w:hAnsi="Cambria Math"/>
                    <w:lang w:val="en-GB"/>
                  </w:rPr>
                  <m:t>,</m:t>
                </m:r>
              </m:oMath>
            </m:oMathPara>
          </w:p>
        </w:tc>
        <w:tc>
          <w:tcPr>
            <w:tcW w:w="986" w:type="dxa"/>
            <w:vAlign w:val="center"/>
            <w:hideMark/>
          </w:tcPr>
          <w:p w14:paraId="5AA9C431" w14:textId="77777777" w:rsidR="00CE0AAD" w:rsidRPr="00500DA3" w:rsidRDefault="00CE0AAD" w:rsidP="003C0A05">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29B4ADD5" w14:textId="40AE9DC5" w:rsidR="00550823" w:rsidRPr="00550823" w:rsidRDefault="00550823" w:rsidP="00550823">
      <w:pPr>
        <w:pStyle w:val="MDPI31text"/>
        <w:rPr>
          <w:lang w:val="en-GB"/>
        </w:rPr>
      </w:pPr>
      <w:r w:rsidRPr="00550823">
        <w:rPr>
          <w:lang w:val="en-GB"/>
        </w:rPr>
        <w:t xml:space="preserve">This quantity measures how heterogeneous the impact of group </w:t>
      </w:r>
      <m:oMath>
        <m:r>
          <w:rPr>
            <w:rFonts w:ascii="Cambria Math" w:hAnsi="Cambria Math"/>
            <w:lang w:val="en-GB"/>
          </w:rPr>
          <m:t>g</m:t>
        </m:r>
      </m:oMath>
      <w:r w:rsidRPr="00550823">
        <w:rPr>
          <w:lang w:val="en-GB"/>
        </w:rPr>
        <w:t>is across assets. A high value suggests that the group affects different assets very differently on that date, whereas a low value indicates a more uniform influence across the universe.</w:t>
      </w:r>
    </w:p>
    <w:p w14:paraId="137D9441" w14:textId="77777777" w:rsidR="00550823" w:rsidRPr="00550823" w:rsidRDefault="00550823" w:rsidP="00550823">
      <w:pPr>
        <w:pStyle w:val="MDPI31text"/>
        <w:rPr>
          <w:lang w:val="en-GB"/>
        </w:rPr>
      </w:pPr>
      <w:r w:rsidRPr="00550823">
        <w:rPr>
          <w:lang w:val="en-GB"/>
        </w:rPr>
        <w:t>These aggregated SHAP metrics serve two purposes. First, they summarize the global explanatory structure of the predictive model on each day, indicating which technical or factor groups the model currently emphasizes. Second, by collapsing per-asset SHAP attributions into market-level summaries, the reinforcement-learning agent receives an informative but parsimonious state representation that avoids the instability and high dimensionality that would arise from including raw SHAP values for each individual asset.</w:t>
      </w:r>
    </w:p>
    <w:p w14:paraId="53AD4D37" w14:textId="77AB5415" w:rsidR="00550823" w:rsidRDefault="00550823" w:rsidP="00550823">
      <w:pPr>
        <w:pStyle w:val="MDPI31text"/>
        <w:rPr>
          <w:lang w:val="en-GB"/>
        </w:rPr>
      </w:pPr>
      <w:r w:rsidRPr="00550823">
        <w:rPr>
          <w:lang w:val="en-GB"/>
        </w:rPr>
        <w:t xml:space="preserve">In addition to these SHAP summaries, we construct complementary cross-sectional measures derived from Stage-1 predictions and realized volatility. For predicted returns </w:t>
      </w:r>
      <m:oMath>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i,t</m:t>
            </m:r>
          </m:sub>
        </m:sSub>
      </m:oMath>
      <w:r w:rsidRPr="00550823">
        <w:rPr>
          <w:lang w:val="en-GB"/>
        </w:rPr>
        <w:t>, we compute their daily cross-sectional mean and standard deviation,</w:t>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CE0AAD" w:rsidRPr="00500DA3" w14:paraId="00FC1F46" w14:textId="77777777" w:rsidTr="003C0A05">
        <w:tc>
          <w:tcPr>
            <w:tcW w:w="6873" w:type="dxa"/>
            <w:hideMark/>
          </w:tcPr>
          <w:p w14:paraId="22CF18CA" w14:textId="5DD9091D" w:rsidR="00CE0AAD" w:rsidRPr="00500DA3" w:rsidRDefault="00CE0AAD" w:rsidP="003C0A05">
            <w:pPr>
              <w:pStyle w:val="MDPI39equation"/>
              <w:rPr>
                <w:rFonts w:ascii="Cambria Math" w:hAnsi="Cambria Math"/>
              </w:rPr>
            </w:pPr>
            <m:oMathPara>
              <m:oMath>
                <m:sSub>
                  <m:sSubPr>
                    <m:ctrlPr>
                      <w:rPr>
                        <w:rFonts w:ascii="Cambria Math" w:hAnsi="Cambria Math"/>
                        <w:lang w:val="en-GB"/>
                      </w:rPr>
                    </m:ctrlPr>
                  </m:sSubPr>
                  <m:e>
                    <w:proofErr w:type="spellStart"/>
                    <m:r>
                      <m:rPr>
                        <m:nor/>
                      </m:rPr>
                      <w:rPr>
                        <w:lang w:val="en-GB"/>
                      </w:rPr>
                      <m:t>CrossSec_Mean_PredRet</m:t>
                    </m:r>
                    <w:proofErr w:type="spellEnd"/>
                  </m:e>
                  <m:sub>
                    <m:r>
                      <w:rPr>
                        <w:rFonts w:ascii="Cambria Math" w:hAnsi="Cambria Math"/>
                        <w:lang w:val="en-GB"/>
                      </w:rPr>
                      <m:t>t</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t</m:t>
                        </m:r>
                      </m:sub>
                    </m:sSub>
                  </m:den>
                </m:f>
                <m:nary>
                  <m:naryPr>
                    <m:chr m:val="∑"/>
                    <m:limLoc m:val="undOvr"/>
                    <m:grow m:val="1"/>
                    <m:ctrlPr>
                      <w:rPr>
                        <w:rFonts w:ascii="Cambria Math" w:hAnsi="Cambria Math"/>
                        <w:lang w:val="en-GB"/>
                      </w:rPr>
                    </m:ctrlPr>
                  </m:naryPr>
                  <m:sub>
                    <m:r>
                      <w:rPr>
                        <w:rFonts w:ascii="Cambria Math" w:hAnsi="Cambria Math"/>
                        <w:lang w:val="en-GB"/>
                      </w:rPr>
                      <m:t>i=1</m:t>
                    </m:r>
                  </m:sub>
                  <m:sup>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t</m:t>
                        </m:r>
                      </m:sub>
                    </m:sSub>
                  </m:sup>
                  <m:e>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i,t</m:t>
                        </m:r>
                      </m:sub>
                    </m:sSub>
                  </m:e>
                </m:nary>
                <m:r>
                  <w:rPr>
                    <w:rFonts w:ascii="Cambria Math" w:hAnsi="Cambria Math"/>
                    <w:lang w:val="en-GB"/>
                  </w:rPr>
                  <m:t>,</m:t>
                </m:r>
              </m:oMath>
            </m:oMathPara>
          </w:p>
        </w:tc>
        <w:tc>
          <w:tcPr>
            <w:tcW w:w="986" w:type="dxa"/>
            <w:vAlign w:val="center"/>
            <w:hideMark/>
          </w:tcPr>
          <w:p w14:paraId="7DF6D2A6" w14:textId="77777777" w:rsidR="00CE0AAD" w:rsidRPr="00500DA3" w:rsidRDefault="00CE0AAD" w:rsidP="003C0A05">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48DC0AAF" w14:textId="77777777" w:rsidR="00CE0AAD" w:rsidRPr="00550823" w:rsidRDefault="00CE0AAD" w:rsidP="00CE0AAD">
      <w:pPr>
        <w:pStyle w:val="MDPI31text"/>
        <w:ind w:left="0" w:firstLine="0"/>
        <w:rPr>
          <w:lang w:val="en-GB"/>
        </w:rPr>
      </w:pPr>
    </w:p>
    <w:p w14:paraId="3A781B63" w14:textId="03FE9A60" w:rsidR="00550823" w:rsidRDefault="00550823" w:rsidP="00550823">
      <w:pPr>
        <w:pStyle w:val="MDPI31text"/>
        <w:rPr>
          <w:lang w:val="en-GB"/>
        </w:rPr>
      </w:pPr>
      <w:r w:rsidRPr="00550823">
        <w:rPr>
          <w:lang w:val="en-GB"/>
        </w:rPr>
        <w:br/>
      </w:r>
    </w:p>
    <w:tbl>
      <w:tblPr>
        <w:tblW w:w="7859" w:type="dxa"/>
        <w:tblInd w:w="2608" w:type="dxa"/>
        <w:tblCellMar>
          <w:left w:w="0" w:type="dxa"/>
          <w:right w:w="0" w:type="dxa"/>
        </w:tblCellMar>
        <w:tblLook w:val="04A0" w:firstRow="1" w:lastRow="0" w:firstColumn="1" w:lastColumn="0" w:noHBand="0" w:noVBand="1"/>
      </w:tblPr>
      <w:tblGrid>
        <w:gridCol w:w="6873"/>
        <w:gridCol w:w="986"/>
      </w:tblGrid>
      <w:tr w:rsidR="00CE0AAD" w:rsidRPr="00500DA3" w14:paraId="711DA65F" w14:textId="77777777" w:rsidTr="003C0A05">
        <w:tc>
          <w:tcPr>
            <w:tcW w:w="6873" w:type="dxa"/>
            <w:hideMark/>
          </w:tcPr>
          <w:p w14:paraId="22ABA919" w14:textId="52C284CC" w:rsidR="00CE0AAD" w:rsidRPr="00500DA3" w:rsidRDefault="00CE0AAD" w:rsidP="003C0A05">
            <w:pPr>
              <w:pStyle w:val="MDPI39equation"/>
              <w:rPr>
                <w:rFonts w:ascii="Cambria Math" w:hAnsi="Cambria Math"/>
              </w:rPr>
            </w:pPr>
            <m:oMathPara>
              <m:oMath>
                <m:sSub>
                  <m:sSubPr>
                    <m:ctrlPr>
                      <w:rPr>
                        <w:rFonts w:ascii="Cambria Math" w:hAnsi="Cambria Math"/>
                        <w:lang w:val="en-GB"/>
                      </w:rPr>
                    </m:ctrlPr>
                  </m:sSubPr>
                  <m:e>
                    <w:proofErr w:type="spellStart"/>
                    <m:r>
                      <m:rPr>
                        <m:nor/>
                      </m:rPr>
                      <w:rPr>
                        <w:lang w:val="en-GB"/>
                      </w:rPr>
                      <m:t>CrossSec_Std_PredRet</m:t>
                    </m:r>
                    <w:proofErr w:type="spellEnd"/>
                  </m:e>
                  <m:sub>
                    <m:r>
                      <w:rPr>
                        <w:rFonts w:ascii="Cambria Math" w:hAnsi="Cambria Math"/>
                        <w:lang w:val="en-GB"/>
                      </w:rPr>
                      <m:t>t</m:t>
                    </m:r>
                  </m:sub>
                </m:sSub>
                <m:r>
                  <w:rPr>
                    <w:rFonts w:ascii="Cambria Math" w:hAnsi="Cambria Math"/>
                    <w:lang w:val="en-GB"/>
                  </w:rPr>
                  <m:t>=</m:t>
                </m:r>
                <m:rad>
                  <m:radPr>
                    <m:degHide m:val="1"/>
                    <m:ctrlPr>
                      <w:rPr>
                        <w:rFonts w:ascii="Cambria Math" w:hAnsi="Cambria Math"/>
                        <w:lang w:val="en-GB"/>
                      </w:rPr>
                    </m:ctrlPr>
                  </m:radPr>
                  <m:deg/>
                  <m:e>
                    <m:f>
                      <m:fPr>
                        <m:ctrlPr>
                          <w:rPr>
                            <w:rFonts w:ascii="Cambria Math" w:hAnsi="Cambria Math"/>
                            <w:lang w:val="en-GB"/>
                          </w:rPr>
                        </m:ctrlPr>
                      </m:fPr>
                      <m:num>
                        <m:r>
                          <w:rPr>
                            <w:rFonts w:ascii="Cambria Math" w:hAnsi="Cambria Math"/>
                            <w:lang w:val="en-GB"/>
                          </w:rPr>
                          <m:t>1</m:t>
                        </m:r>
                      </m:num>
                      <m:den>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t</m:t>
                            </m:r>
                          </m:sub>
                        </m:sSub>
                      </m:den>
                    </m:f>
                    <m:nary>
                      <m:naryPr>
                        <m:chr m:val="∑"/>
                        <m:limLoc m:val="undOvr"/>
                        <m:grow m:val="1"/>
                        <m:ctrlPr>
                          <w:rPr>
                            <w:rFonts w:ascii="Cambria Math" w:hAnsi="Cambria Math"/>
                            <w:lang w:val="en-GB"/>
                          </w:rPr>
                        </m:ctrlPr>
                      </m:naryPr>
                      <m:sub>
                        <m:r>
                          <w:rPr>
                            <w:rFonts w:ascii="Cambria Math" w:hAnsi="Cambria Math"/>
                            <w:lang w:val="en-GB"/>
                          </w:rPr>
                          <m:t>i=1</m:t>
                        </m:r>
                      </m:sub>
                      <m:sup>
                        <m:sSub>
                          <m:sSubPr>
                            <m:ctrlPr>
                              <w:rPr>
                                <w:rFonts w:ascii="Cambria Math" w:hAnsi="Cambria Math"/>
                                <w:lang w:val="en-GB"/>
                              </w:rPr>
                            </m:ctrlPr>
                          </m:sSubPr>
                          <m:e>
                            <m:r>
                              <w:rPr>
                                <w:rFonts w:ascii="Cambria Math" w:hAnsi="Cambria Math"/>
                                <w:lang w:val="en-GB"/>
                              </w:rPr>
                              <m:t>N</m:t>
                            </m:r>
                          </m:e>
                          <m:sub>
                            <m:r>
                              <w:rPr>
                                <w:rFonts w:ascii="Cambria Math" w:hAnsi="Cambria Math"/>
                                <w:lang w:val="en-GB"/>
                              </w:rPr>
                              <m:t>t</m:t>
                            </m:r>
                          </m:sub>
                        </m:sSub>
                      </m:sup>
                      <m:e>
                        <m:sSup>
                          <m:sSupPr>
                            <m:ctrlPr>
                              <w:rPr>
                                <w:rFonts w:ascii="Cambria Math" w:hAnsi="Cambria Math"/>
                                <w:i/>
                                <w:lang w:val="en-GB"/>
                              </w:rPr>
                            </m:ctrlPr>
                          </m:sSupPr>
                          <m:e>
                            <m:d>
                              <m:dPr>
                                <m:ctrlPr>
                                  <w:rPr>
                                    <w:rFonts w:ascii="Cambria Math" w:hAnsi="Cambria Math"/>
                                    <w:i/>
                                    <w:lang w:val="en-GB"/>
                                  </w:rPr>
                                </m:ctrlPr>
                              </m:dPr>
                              <m:e>
                                <m:sSub>
                                  <m:sSubPr>
                                    <m:ctrlPr>
                                      <w:rPr>
                                        <w:rFonts w:ascii="Cambria Math" w:hAnsi="Cambria Math"/>
                                        <w:lang w:val="en-GB"/>
                                      </w:rPr>
                                    </m:ctrlPr>
                                  </m:sSubPr>
                                  <m:e>
                                    <m:acc>
                                      <m:accPr>
                                        <m:ctrlPr>
                                          <w:rPr>
                                            <w:rFonts w:ascii="Cambria Math" w:hAnsi="Cambria Math"/>
                                            <w:lang w:val="en-GB"/>
                                          </w:rPr>
                                        </m:ctrlPr>
                                      </m:accPr>
                                      <m:e>
                                        <m:r>
                                          <w:rPr>
                                            <w:rFonts w:ascii="Cambria Math" w:hAnsi="Cambria Math"/>
                                            <w:lang w:val="en-GB"/>
                                          </w:rPr>
                                          <m:t>y</m:t>
                                        </m:r>
                                      </m:e>
                                    </m:acc>
                                  </m:e>
                                  <m:sub>
                                    <m:r>
                                      <w:rPr>
                                        <w:rFonts w:ascii="Cambria Math" w:hAnsi="Cambria Math"/>
                                        <w:lang w:val="en-GB"/>
                                      </w:rPr>
                                      <m:t>i,t</m:t>
                                    </m:r>
                                  </m:sub>
                                </m:sSub>
                                <m:r>
                                  <w:rPr>
                                    <w:rFonts w:ascii="Cambria Math" w:hAnsi="Cambria Math"/>
                                    <w:lang w:val="en-GB"/>
                                  </w:rPr>
                                  <m:t>-</m:t>
                                </m:r>
                                <m:sSub>
                                  <m:sSubPr>
                                    <m:ctrlPr>
                                      <w:rPr>
                                        <w:rFonts w:ascii="Cambria Math" w:hAnsi="Cambria Math"/>
                                        <w:lang w:val="en-GB"/>
                                      </w:rPr>
                                    </m:ctrlPr>
                                  </m:sSubPr>
                                  <m:e>
                                    <m:r>
                                      <m:rPr>
                                        <m:nor/>
                                      </m:rPr>
                                      <w:rPr>
                                        <w:lang w:val="en-GB"/>
                                      </w:rPr>
                                      <m:t>CrossSec_Mean_PredRet</m:t>
                                    </m:r>
                                  </m:e>
                                  <m:sub>
                                    <m:r>
                                      <w:rPr>
                                        <w:rFonts w:ascii="Cambria Math" w:hAnsi="Cambria Math"/>
                                        <w:lang w:val="en-GB"/>
                                      </w:rPr>
                                      <m:t>t</m:t>
                                    </m:r>
                                  </m:sub>
                                </m:sSub>
                              </m:e>
                            </m:d>
                          </m:e>
                          <m:sup>
                            <m:r>
                              <w:rPr>
                                <w:rFonts w:ascii="Cambria Math" w:hAnsi="Cambria Math"/>
                                <w:lang w:val="en-GB"/>
                              </w:rPr>
                              <m:t>2</m:t>
                            </m:r>
                          </m:sup>
                        </m:sSup>
                      </m:e>
                    </m:nary>
                  </m:e>
                </m:rad>
                <m:r>
                  <w:rPr>
                    <w:rFonts w:ascii="Cambria Math" w:hAnsi="Cambria Math"/>
                    <w:lang w:val="en-GB"/>
                  </w:rPr>
                  <m:t>,</m:t>
                </m:r>
              </m:oMath>
            </m:oMathPara>
          </w:p>
        </w:tc>
        <w:tc>
          <w:tcPr>
            <w:tcW w:w="986" w:type="dxa"/>
            <w:vAlign w:val="center"/>
            <w:hideMark/>
          </w:tcPr>
          <w:p w14:paraId="2E82F5D5" w14:textId="77777777" w:rsidR="00CE0AAD" w:rsidRPr="00500DA3" w:rsidRDefault="00CE0AAD" w:rsidP="003C0A05">
            <w:pPr>
              <w:pStyle w:val="MDPI39equation"/>
              <w:rPr>
                <w:rFonts w:ascii="Cambria Math" w:hAnsi="Cambria Math"/>
              </w:rPr>
            </w:pPr>
            <w:r w:rsidRPr="00500DA3">
              <w:rPr>
                <w:rFonts w:ascii="Cambria Math" w:hAnsi="Cambria Math"/>
              </w:rPr>
              <w:t>(</w:t>
            </w:r>
            <w:r>
              <w:rPr>
                <w:rFonts w:ascii="Cambria Math" w:hAnsi="Cambria Math"/>
              </w:rPr>
              <w:t>3</w:t>
            </w:r>
            <w:r w:rsidRPr="00500DA3">
              <w:rPr>
                <w:rFonts w:ascii="Cambria Math" w:hAnsi="Cambria Math"/>
              </w:rPr>
              <w:t>)</w:t>
            </w:r>
          </w:p>
        </w:tc>
      </w:tr>
    </w:tbl>
    <w:p w14:paraId="7633AC3D" w14:textId="77777777" w:rsidR="00CE0AAD" w:rsidRPr="00550823" w:rsidRDefault="00CE0AAD" w:rsidP="00550823">
      <w:pPr>
        <w:pStyle w:val="MDPI31text"/>
        <w:rPr>
          <w:lang w:val="en-GB"/>
        </w:rPr>
      </w:pPr>
    </w:p>
    <w:p w14:paraId="2CBF67BA" w14:textId="77777777" w:rsidR="00550823" w:rsidRPr="00550823" w:rsidRDefault="00550823" w:rsidP="00550823">
      <w:pPr>
        <w:pStyle w:val="MDPI31text"/>
        <w:rPr>
          <w:lang w:val="en-GB"/>
        </w:rPr>
      </w:pPr>
      <w:r w:rsidRPr="00550823">
        <w:rPr>
          <w:lang w:val="en-GB"/>
        </w:rPr>
        <w:t>as well as analogous statistics for realized short-horizon volatility. These variables provide additional context on market dispersion and risk conditions.</w:t>
      </w:r>
    </w:p>
    <w:p w14:paraId="30A372C1" w14:textId="3AB68BDA" w:rsidR="00165B03" w:rsidRDefault="00550823" w:rsidP="00CE0AAD">
      <w:pPr>
        <w:pStyle w:val="MDPI31text"/>
        <w:rPr>
          <w:lang w:val="en-GB"/>
        </w:rPr>
      </w:pPr>
      <w:r w:rsidRPr="00550823">
        <w:rPr>
          <w:lang w:val="en-GB"/>
        </w:rPr>
        <w:t>Together, the SHAP-derived summary metrics and cross-sectional prediction statistics form a market-level contextual layer within the Stage-2 observation space. By incorporating both the strength and the heterogeneity of the economic signals emphasized by the Stage-1 predictive model, the reinforcement-learning agent is endowed with a transparent and economically interpretable representation of the environment in which it makes allocation decisions.</w:t>
      </w:r>
    </w:p>
    <w:p w14:paraId="3B80699B" w14:textId="6E5E1BF4" w:rsidR="00D466D5" w:rsidRDefault="00D466D5" w:rsidP="00D466D5">
      <w:pPr>
        <w:pStyle w:val="MDPI22heading2"/>
        <w:spacing w:before="240"/>
        <w:rPr>
          <w:noProof w:val="0"/>
        </w:rPr>
      </w:pPr>
      <w:r w:rsidRPr="00500DA3">
        <w:rPr>
          <w:noProof w:val="0"/>
        </w:rPr>
        <w:t>3.</w:t>
      </w:r>
      <w:r>
        <w:rPr>
          <w:noProof w:val="0"/>
        </w:rPr>
        <w:t>4</w:t>
      </w:r>
      <w:r w:rsidRPr="00500DA3">
        <w:rPr>
          <w:noProof w:val="0"/>
        </w:rPr>
        <w:t xml:space="preserve">. </w:t>
      </w:r>
      <w:r>
        <w:rPr>
          <w:noProof w:val="0"/>
        </w:rPr>
        <w:t xml:space="preserve">Hierarchical Deep Neural Network </w:t>
      </w:r>
      <w:r w:rsidRPr="00500DA3">
        <w:rPr>
          <w:noProof w:val="0"/>
        </w:rPr>
        <w:t>Framework</w:t>
      </w:r>
    </w:p>
    <w:p w14:paraId="12937309" w14:textId="77777777" w:rsidR="00D466D5" w:rsidRPr="00500DA3" w:rsidRDefault="00D466D5" w:rsidP="00AF118F">
      <w:pPr>
        <w:pStyle w:val="MDPI31text"/>
      </w:pPr>
    </w:p>
    <w:p w14:paraId="16379769" w14:textId="373CED82" w:rsidR="00E957DA" w:rsidRPr="00500DA3" w:rsidRDefault="003619E2" w:rsidP="00E957DA">
      <w:pPr>
        <w:pStyle w:val="MDPI21heading1"/>
      </w:pPr>
      <w:r w:rsidRPr="00500DA3">
        <w:t>4</w:t>
      </w:r>
      <w:r w:rsidR="00E957DA" w:rsidRPr="00500DA3">
        <w:t xml:space="preserve">. </w:t>
      </w:r>
      <w:r w:rsidR="00C050D7" w:rsidRPr="00500DA3">
        <w:t>Empirical Experiments</w:t>
      </w:r>
    </w:p>
    <w:p w14:paraId="7B71A05D" w14:textId="71A24022" w:rsidR="00761000" w:rsidRPr="00500DA3" w:rsidRDefault="00761000" w:rsidP="00761000">
      <w:pPr>
        <w:pStyle w:val="MDPI31text"/>
        <w:spacing w:after="160" w:line="23" w:lineRule="atLeast"/>
        <w:rPr>
          <w:rFonts w:eastAsiaTheme="minorEastAsia"/>
          <w:lang w:eastAsia="zh-CN"/>
        </w:rPr>
      </w:pPr>
      <w:r w:rsidRPr="00500DA3">
        <w:rPr>
          <w:rFonts w:eastAsiaTheme="minorEastAsia"/>
          <w:lang w:eastAsia="zh-CN"/>
        </w:rPr>
        <w:t xml:space="preserve">In this section, we apply the deep reinforcement learning (DRL) portfolio optimization framework described above to train trading agents and evaluate their out-of-sample performance. The experiments test the agents’ ability to learn adaptive rebalancing strategies which jointly determine the risk-aversion level </w:t>
      </w:r>
      <m:oMath>
        <m:sSub>
          <m:sSubPr>
            <m:ctrlPr>
              <w:rPr>
                <w:rFonts w:ascii="Cambria Math" w:eastAsiaTheme="minorEastAsia" w:hAnsi="Cambria Math"/>
                <w:i/>
                <w:lang w:eastAsia="zh-CN"/>
              </w:rPr>
            </m:ctrlPr>
          </m:sSubPr>
          <m:e>
            <m:r>
              <w:rPr>
                <w:rFonts w:ascii="Cambria Math" w:eastAsiaTheme="minorEastAsia" w:hAnsi="Cambria Math"/>
                <w:lang w:eastAsia="zh-CN"/>
              </w:rPr>
              <m:t>λ</m:t>
            </m:r>
          </m:e>
          <m:sub>
            <m:r>
              <w:rPr>
                <w:rFonts w:ascii="Cambria Math" w:eastAsiaTheme="minorEastAsia" w:hAnsi="Cambria Math"/>
                <w:lang w:eastAsia="zh-CN"/>
              </w:rPr>
              <m:t>t</m:t>
            </m:r>
          </m:sub>
        </m:sSub>
      </m:oMath>
      <w:r w:rsidRPr="00500DA3">
        <w:rPr>
          <w:rFonts w:eastAsiaTheme="minorEastAsia"/>
          <w:lang w:eastAsia="zh-CN"/>
        </w:rPr>
        <w:t xml:space="preserve"> and the rebalancing horizon </w:t>
      </w:r>
      <m:oMath>
        <m:sSub>
          <m:sSubPr>
            <m:ctrlPr>
              <w:rPr>
                <w:rFonts w:ascii="Cambria Math" w:eastAsiaTheme="minorEastAsia" w:hAnsi="Cambria Math"/>
                <w:i/>
                <w:lang w:eastAsia="zh-CN"/>
              </w:rPr>
            </m:ctrlPr>
          </m:sSubPr>
          <m:e>
            <m:r>
              <w:rPr>
                <w:rFonts w:ascii="Cambria Math" w:eastAsiaTheme="minorEastAsia" w:hAnsi="Cambria Math"/>
                <w:lang w:eastAsia="zh-CN"/>
              </w:rPr>
              <m:t>h</m:t>
            </m:r>
          </m:e>
          <m:sub>
            <m:r>
              <w:rPr>
                <w:rFonts w:ascii="Cambria Math" w:eastAsiaTheme="minorEastAsia" w:hAnsi="Cambria Math"/>
                <w:lang w:eastAsia="zh-CN"/>
              </w:rPr>
              <m:t>t</m:t>
            </m:r>
          </m:sub>
        </m:sSub>
      </m:oMath>
      <w:r w:rsidRPr="00500DA3">
        <w:rPr>
          <w:rFonts w:eastAsiaTheme="minorEastAsia"/>
          <w:lang w:eastAsia="zh-CN"/>
        </w:rPr>
        <w:t xml:space="preserve"> under different market conditions.</w:t>
      </w:r>
    </w:p>
    <w:p w14:paraId="03FE40BE" w14:textId="308E28F1" w:rsidR="00761000" w:rsidRPr="00500DA3" w:rsidRDefault="00761000" w:rsidP="00761000">
      <w:pPr>
        <w:pStyle w:val="MDPI31text"/>
        <w:spacing w:after="160" w:line="23" w:lineRule="atLeast"/>
        <w:rPr>
          <w:rFonts w:eastAsiaTheme="minorEastAsia"/>
          <w:lang w:eastAsia="zh-CN"/>
        </w:rPr>
      </w:pPr>
      <w:r w:rsidRPr="00500DA3">
        <w:rPr>
          <w:rFonts w:eastAsiaTheme="minorEastAsia"/>
          <w:lang w:eastAsia="zh-CN"/>
        </w:rPr>
        <w:t xml:space="preserve">Two DRL algorithms—Proximal Policy Optimization (PPO) and Advantage Actor–Critic (A2C)—are implemented for three portfolio optimization objectives: Mean–Variance, </w:t>
      </w:r>
      <w:proofErr w:type="gramStart"/>
      <w:r w:rsidRPr="00500DA3">
        <w:rPr>
          <w:rFonts w:eastAsiaTheme="minorEastAsia"/>
          <w:lang w:eastAsia="zh-CN"/>
        </w:rPr>
        <w:t>Mean</w:t>
      </w:r>
      <w:proofErr w:type="gramEnd"/>
      <w:r w:rsidRPr="00500DA3">
        <w:rPr>
          <w:rFonts w:eastAsiaTheme="minorEastAsia"/>
          <w:lang w:eastAsia="zh-CN"/>
        </w:rPr>
        <w:t>–</w:t>
      </w:r>
      <w:proofErr w:type="spellStart"/>
      <w:r w:rsidR="008C5BB0" w:rsidRPr="00500DA3">
        <w:rPr>
          <w:rFonts w:eastAsiaTheme="minorEastAsia"/>
          <w:lang w:eastAsia="zh-CN"/>
        </w:rPr>
        <w:t>Semivariance</w:t>
      </w:r>
      <w:proofErr w:type="spellEnd"/>
      <w:r w:rsidRPr="00500DA3">
        <w:rPr>
          <w:rFonts w:eastAsiaTheme="minorEastAsia"/>
          <w:lang w:eastAsia="zh-CN"/>
        </w:rPr>
        <w:t>, and Mean–CVaR.</w:t>
      </w:r>
      <w:r w:rsidR="00FD5FE8" w:rsidRPr="00500DA3">
        <w:rPr>
          <w:rFonts w:eastAsiaTheme="minorEastAsia"/>
          <w:lang w:eastAsia="zh-CN"/>
        </w:rPr>
        <w:t xml:space="preserve"> </w:t>
      </w:r>
      <w:r w:rsidRPr="00500DA3">
        <w:rPr>
          <w:rFonts w:eastAsiaTheme="minorEastAsia"/>
          <w:lang w:eastAsia="zh-CN"/>
        </w:rPr>
        <w:t>The trained trading agents are then compared across two investment universes to examine how different learning algorithms and risk metrics perform within distinct market settings.</w:t>
      </w:r>
    </w:p>
    <w:p w14:paraId="352F2DF3" w14:textId="2D8B10FA" w:rsidR="003619E2" w:rsidRPr="00500DA3" w:rsidRDefault="003619E2" w:rsidP="003619E2">
      <w:pPr>
        <w:pStyle w:val="MDPI22heading2"/>
        <w:spacing w:before="240"/>
        <w:rPr>
          <w:noProof w:val="0"/>
        </w:rPr>
      </w:pPr>
      <w:r w:rsidRPr="00500DA3">
        <w:rPr>
          <w:noProof w:val="0"/>
        </w:rPr>
        <w:t>4.1. Data Collection</w:t>
      </w:r>
    </w:p>
    <w:p w14:paraId="6CDD913D" w14:textId="77777777" w:rsidR="00B8633B" w:rsidRPr="00500DA3" w:rsidRDefault="00B8633B" w:rsidP="00B72F95">
      <w:pPr>
        <w:pStyle w:val="MDPI31text"/>
      </w:pPr>
    </w:p>
    <w:p w14:paraId="7C2B10E0" w14:textId="4E632F45" w:rsidR="00D260CE" w:rsidRPr="00500DA3" w:rsidRDefault="00D260CE" w:rsidP="00D260CE">
      <w:pPr>
        <w:pStyle w:val="MDPI21heading1"/>
      </w:pPr>
      <w:r w:rsidRPr="00500DA3">
        <w:t>5. Conclusion</w:t>
      </w:r>
    </w:p>
    <w:p w14:paraId="07D6C526" w14:textId="261D218E" w:rsidR="00575420" w:rsidRPr="00500DA3" w:rsidRDefault="00575420" w:rsidP="00575420">
      <w:pPr>
        <w:pStyle w:val="MDPI31text"/>
        <w:spacing w:after="160" w:line="23" w:lineRule="atLeast"/>
      </w:pPr>
      <w:r w:rsidRPr="00500DA3">
        <w:t xml:space="preserve">This paper develops a dynamic portfolio optimization framework that integrates deep reinforcement learning (DRL) with classical mean–risk optimization. By combining Proximal Policy Optimization (PPO) and Advantage Actor–Critic (A2C) algorithms with Mean–Variance, </w:t>
      </w:r>
      <w:proofErr w:type="gramStart"/>
      <w:r w:rsidRPr="00500DA3">
        <w:t>Mean</w:t>
      </w:r>
      <w:proofErr w:type="gramEnd"/>
      <w:r w:rsidRPr="00500DA3">
        <w:t>–</w:t>
      </w:r>
      <w:proofErr w:type="spellStart"/>
      <w:r w:rsidRPr="00500DA3">
        <w:t>Semivariance</w:t>
      </w:r>
      <w:proofErr w:type="spellEnd"/>
      <w:r w:rsidRPr="00500DA3">
        <w:t>, and Mean–CVaR formulations, the framework enables portfolio rebalancing that adapts endogenously to evolving market conditions.</w:t>
      </w:r>
    </w:p>
    <w:p w14:paraId="160AC6DE" w14:textId="396208A8" w:rsidR="002C4E57" w:rsidRPr="00500DA3" w:rsidRDefault="002C4E57" w:rsidP="002C4E57">
      <w:pPr>
        <w:pStyle w:val="MDPI62backmatter"/>
      </w:pPr>
      <w:r w:rsidRPr="00500DA3">
        <w:rPr>
          <w:b/>
        </w:rPr>
        <w:t>Author Contributions:</w:t>
      </w:r>
      <w:r w:rsidRPr="00500DA3">
        <w:t xml:space="preserve"> Conceptualization, </w:t>
      </w:r>
      <w:r w:rsidR="00F643CC" w:rsidRPr="00500DA3">
        <w:t>J.Y.</w:t>
      </w:r>
      <w:r w:rsidRPr="00500DA3">
        <w:t xml:space="preserve"> and </w:t>
      </w:r>
      <w:r w:rsidR="00F643CC" w:rsidRPr="00500DA3">
        <w:t>K.C.</w:t>
      </w:r>
      <w:r w:rsidRPr="00500DA3">
        <w:t xml:space="preserve">; methodology, </w:t>
      </w:r>
      <w:r w:rsidR="00F643CC" w:rsidRPr="00500DA3">
        <w:t>J.Y. and K.C.</w:t>
      </w:r>
      <w:r w:rsidRPr="00500DA3">
        <w:t xml:space="preserve">; validation, </w:t>
      </w:r>
      <w:r w:rsidR="00F643CC" w:rsidRPr="00500DA3">
        <w:t>J.Y. and K.C</w:t>
      </w:r>
      <w:r w:rsidRPr="00500DA3">
        <w:t xml:space="preserve">.; formal analysis, </w:t>
      </w:r>
      <w:r w:rsidR="00F643CC" w:rsidRPr="00500DA3">
        <w:t>J.Y. and K.C.</w:t>
      </w:r>
      <w:r w:rsidRPr="00500DA3">
        <w:t xml:space="preserve">; data curation, </w:t>
      </w:r>
      <w:r w:rsidR="00F643CC" w:rsidRPr="00500DA3">
        <w:t>J.Y.</w:t>
      </w:r>
      <w:r w:rsidRPr="00500DA3">
        <w:t xml:space="preserve">; writing—original draft preparation, </w:t>
      </w:r>
      <w:r w:rsidR="00F643CC" w:rsidRPr="00500DA3">
        <w:t>J.Y.</w:t>
      </w:r>
      <w:r w:rsidRPr="00500DA3">
        <w:t xml:space="preserve">; writing—review and editing, </w:t>
      </w:r>
      <w:r w:rsidR="00F643CC" w:rsidRPr="00500DA3">
        <w:t>K.C.</w:t>
      </w:r>
      <w:r w:rsidRPr="00500DA3">
        <w:t xml:space="preserve">; visualization, </w:t>
      </w:r>
      <w:r w:rsidR="00F643CC" w:rsidRPr="00500DA3">
        <w:t>J.Y.</w:t>
      </w:r>
      <w:r w:rsidRPr="00500DA3">
        <w:t xml:space="preserve">; supervision, </w:t>
      </w:r>
      <w:r w:rsidR="00F643CC" w:rsidRPr="00500DA3">
        <w:t>K.C.</w:t>
      </w:r>
      <w:r w:rsidRPr="00500DA3">
        <w:t>; All authors have read and agreed to the published version of the manuscript.</w:t>
      </w:r>
    </w:p>
    <w:p w14:paraId="367BE05B" w14:textId="6088FE0C" w:rsidR="002C4E57" w:rsidRPr="00500DA3" w:rsidRDefault="002C4E57" w:rsidP="002C4E57">
      <w:pPr>
        <w:pStyle w:val="MDPI62backmatter"/>
        <w:rPr>
          <w:rFonts w:eastAsiaTheme="minorEastAsia"/>
          <w:lang w:eastAsia="zh-CN"/>
        </w:rPr>
      </w:pPr>
      <w:r w:rsidRPr="00500DA3">
        <w:rPr>
          <w:b/>
        </w:rPr>
        <w:t>Funding:</w:t>
      </w:r>
      <w:r w:rsidRPr="00500DA3">
        <w:t xml:space="preserve"> This research received no external funding</w:t>
      </w:r>
      <w:r w:rsidR="00B42395" w:rsidRPr="00500DA3">
        <w:t>.</w:t>
      </w:r>
    </w:p>
    <w:p w14:paraId="0E0D60D6" w14:textId="30081A1C" w:rsidR="002C4E57" w:rsidRPr="00500DA3" w:rsidRDefault="002C4E57" w:rsidP="002C4E57">
      <w:pPr>
        <w:pStyle w:val="MDPI62backmatter"/>
      </w:pPr>
      <w:r w:rsidRPr="00500DA3">
        <w:rPr>
          <w:b/>
        </w:rPr>
        <w:t>Acknowledgments:</w:t>
      </w:r>
      <w:r w:rsidRPr="00500DA3">
        <w:t xml:space="preserve"> During the preparation of this manuscript, the author(s) used </w:t>
      </w:r>
      <w:r w:rsidR="00B42395" w:rsidRPr="00500DA3">
        <w:t xml:space="preserve">ChatGPT 4.0 </w:t>
      </w:r>
      <w:r w:rsidR="00815649" w:rsidRPr="00500DA3">
        <w:t>to</w:t>
      </w:r>
      <w:r w:rsidRPr="00500DA3">
        <w:t xml:space="preserve"> </w:t>
      </w:r>
      <w:r w:rsidR="00815649" w:rsidRPr="00500DA3">
        <w:t>assist with wording and language refinement</w:t>
      </w:r>
      <w:r w:rsidR="00B42395" w:rsidRPr="00500DA3">
        <w:t xml:space="preserve">. </w:t>
      </w:r>
      <w:r w:rsidRPr="00500DA3">
        <w:t>The authors have reviewed and edited the output and take full responsibility for the content of this publication.</w:t>
      </w:r>
    </w:p>
    <w:p w14:paraId="3248B57B" w14:textId="53A19B87" w:rsidR="002C4E57" w:rsidRPr="00500DA3" w:rsidRDefault="002C4E57" w:rsidP="002C4E57">
      <w:pPr>
        <w:pStyle w:val="MDPI62backmatter"/>
      </w:pPr>
      <w:r w:rsidRPr="00500DA3">
        <w:rPr>
          <w:b/>
        </w:rPr>
        <w:t>Conflicts of Interest:</w:t>
      </w:r>
      <w:r w:rsidRPr="00500DA3">
        <w:t xml:space="preserve"> The authors declare no conflicts of interest.</w:t>
      </w:r>
    </w:p>
    <w:p w14:paraId="5FF8F828" w14:textId="6E27464B" w:rsidR="00AD653F" w:rsidRPr="00500DA3" w:rsidRDefault="00AD653F" w:rsidP="00AD653F">
      <w:pPr>
        <w:pStyle w:val="MDPI21heading1"/>
      </w:pPr>
      <w:r w:rsidRPr="00500DA3">
        <w:rPr>
          <w:szCs w:val="24"/>
        </w:rPr>
        <w:lastRenderedPageBreak/>
        <w:t>Appendix</w:t>
      </w:r>
      <w:r w:rsidRPr="00500DA3">
        <w:t xml:space="preserve"> A</w:t>
      </w:r>
    </w:p>
    <w:p w14:paraId="6D54FE9B" w14:textId="542EE256" w:rsidR="00AD653F" w:rsidRPr="00500DA3" w:rsidRDefault="00AD653F" w:rsidP="00AD653F">
      <w:pPr>
        <w:pStyle w:val="MDPI22heading2"/>
        <w:rPr>
          <w:rFonts w:eastAsia="URWPalladioL-Ital"/>
          <w:noProof w:val="0"/>
        </w:rPr>
      </w:pPr>
      <w:r w:rsidRPr="00500DA3">
        <w:rPr>
          <w:rFonts w:eastAsia="URWPalladioL-Ital"/>
          <w:noProof w:val="0"/>
        </w:rPr>
        <w:t>Appendix A.1 Historical Price for Sector ETFs And Dow Jones Industrial Index Constituents</w:t>
      </w:r>
      <w:r w:rsidR="00DD0AC4" w:rsidRPr="00500DA3">
        <w:rPr>
          <w:rStyle w:val="FootnoteReference"/>
          <w:rFonts w:eastAsia="URWPalladioL-Ital"/>
        </w:rPr>
        <w:footnoteReference w:id="1"/>
      </w:r>
    </w:p>
    <w:p w14:paraId="47F9F93B" w14:textId="47C01AD0" w:rsidR="008D7D17" w:rsidRPr="00500DA3" w:rsidRDefault="008D7D17" w:rsidP="00B72F95">
      <w:pPr>
        <w:pStyle w:val="MDPI31text"/>
        <w:ind w:left="0"/>
        <w:jc w:val="center"/>
        <w:rPr>
          <w:rFonts w:eastAsia="URWPalladioL-Ital"/>
          <w:lang w:val="en-GB"/>
        </w:rPr>
      </w:pPr>
    </w:p>
    <w:p w14:paraId="309B61D6" w14:textId="1AFC933D" w:rsidR="00AD653F" w:rsidRPr="00500DA3" w:rsidRDefault="00AD653F" w:rsidP="00B72F95">
      <w:pPr>
        <w:pStyle w:val="MDPI22heading2"/>
        <w:ind w:left="0"/>
        <w:jc w:val="center"/>
      </w:pPr>
    </w:p>
    <w:p w14:paraId="54052C07" w14:textId="0CDCD3C3" w:rsidR="00AD653F" w:rsidRPr="00500DA3" w:rsidRDefault="00AD653F" w:rsidP="00AD653F">
      <w:pPr>
        <w:ind w:firstLine="432"/>
        <w:jc w:val="center"/>
      </w:pPr>
    </w:p>
    <w:p w14:paraId="15E31FA0" w14:textId="1D68C4DF" w:rsidR="00622707" w:rsidRPr="00500DA3" w:rsidRDefault="00622707" w:rsidP="00622707">
      <w:pPr>
        <w:pStyle w:val="MDPI21heading1"/>
      </w:pPr>
      <w:r w:rsidRPr="00500DA3">
        <w:rPr>
          <w:szCs w:val="24"/>
        </w:rPr>
        <w:t>Appendix</w:t>
      </w:r>
      <w:r w:rsidRPr="00500DA3">
        <w:t xml:space="preserve"> </w:t>
      </w:r>
      <w:r w:rsidR="00107366" w:rsidRPr="00500DA3">
        <w:t>B</w:t>
      </w:r>
    </w:p>
    <w:p w14:paraId="4540F71F" w14:textId="55A3FCEA" w:rsidR="00622707" w:rsidRPr="00500DA3" w:rsidRDefault="00622707" w:rsidP="00622707">
      <w:pPr>
        <w:pStyle w:val="MDPI22heading2"/>
        <w:rPr>
          <w:noProof w:val="0"/>
        </w:rPr>
      </w:pPr>
      <w:r w:rsidRPr="00500DA3">
        <w:rPr>
          <w:rFonts w:eastAsia="URWPalladioL-Ital"/>
          <w:noProof w:val="0"/>
        </w:rPr>
        <w:t xml:space="preserve">Appendix </w:t>
      </w:r>
      <w:r w:rsidR="00107366" w:rsidRPr="00500DA3">
        <w:rPr>
          <w:rFonts w:eastAsia="URWPalladioL-Ital"/>
          <w:noProof w:val="0"/>
        </w:rPr>
        <w:t>B</w:t>
      </w:r>
      <w:r w:rsidRPr="00500DA3">
        <w:rPr>
          <w:rFonts w:eastAsia="URWPalladioL-Ital"/>
          <w:noProof w:val="0"/>
        </w:rPr>
        <w:t xml:space="preserve">.1 </w:t>
      </w:r>
      <w:r w:rsidR="00665237" w:rsidRPr="00500DA3">
        <w:rPr>
          <w:rFonts w:eastAsia="URWPalladioL-Ital"/>
          <w:noProof w:val="0"/>
        </w:rPr>
        <w:t>Technical Indicator Feature Definitions</w:t>
      </w:r>
    </w:p>
    <w:p w14:paraId="542B1CB0" w14:textId="1E58E488" w:rsidR="005C01D3" w:rsidRPr="00500DA3" w:rsidRDefault="005C01D3" w:rsidP="002E5C16">
      <w:pPr>
        <w:pStyle w:val="MDPI31text"/>
      </w:pPr>
      <w:r w:rsidRPr="00500DA3">
        <w:t>This appendix details the 34 technical indicators and derived features that constitute the observation space for the DRL trading agents (Table 2). All indicators are computed from daily adjusted-close p</w:t>
      </w:r>
    </w:p>
    <w:p w14:paraId="39F4EB25" w14:textId="573B654D" w:rsidR="005C6495" w:rsidRPr="00500DA3" w:rsidRDefault="005C6495" w:rsidP="00107366">
      <w:pPr>
        <w:pStyle w:val="MDPI31text"/>
      </w:pPr>
    </w:p>
    <w:p w14:paraId="41987044" w14:textId="77777777" w:rsidR="00AD6DE3" w:rsidRPr="00500DA3" w:rsidRDefault="00AD6DE3" w:rsidP="00B72F95">
      <w:pPr>
        <w:pStyle w:val="MDPI31text"/>
      </w:pPr>
    </w:p>
    <w:p w14:paraId="04C2F66B" w14:textId="1CAA20CD" w:rsidR="00AD653F" w:rsidRPr="00500DA3" w:rsidRDefault="00AD653F" w:rsidP="00AD653F">
      <w:pPr>
        <w:pStyle w:val="MDPI21heading1"/>
      </w:pPr>
      <w:r w:rsidRPr="00500DA3">
        <w:rPr>
          <w:szCs w:val="24"/>
        </w:rPr>
        <w:t>Appendix</w:t>
      </w:r>
      <w:r w:rsidRPr="00500DA3">
        <w:t xml:space="preserve"> </w:t>
      </w:r>
      <w:r w:rsidR="00622707" w:rsidRPr="00500DA3">
        <w:t>C</w:t>
      </w:r>
    </w:p>
    <w:p w14:paraId="4674152D" w14:textId="45B92C8B" w:rsidR="00AD653F" w:rsidRPr="00500DA3" w:rsidRDefault="00AD653F" w:rsidP="00AD653F">
      <w:pPr>
        <w:pStyle w:val="MDPI22heading2"/>
        <w:rPr>
          <w:noProof w:val="0"/>
        </w:rPr>
      </w:pPr>
      <w:r w:rsidRPr="00500DA3">
        <w:rPr>
          <w:rFonts w:eastAsia="URWPalladioL-Ital"/>
          <w:noProof w:val="0"/>
        </w:rPr>
        <w:t xml:space="preserve">Appendix </w:t>
      </w:r>
      <w:r w:rsidR="00622707" w:rsidRPr="00500DA3">
        <w:rPr>
          <w:rFonts w:eastAsia="URWPalladioL-Ital"/>
          <w:noProof w:val="0"/>
        </w:rPr>
        <w:t>C</w:t>
      </w:r>
      <w:r w:rsidRPr="00500DA3">
        <w:rPr>
          <w:rFonts w:eastAsia="URWPalladioL-Ital"/>
          <w:noProof w:val="0"/>
        </w:rPr>
        <w:t xml:space="preserve">.1 </w:t>
      </w:r>
      <w:r w:rsidR="008A1AD5" w:rsidRPr="00500DA3">
        <w:rPr>
          <w:rFonts w:eastAsia="URWPalladioL-Ital"/>
          <w:noProof w:val="0"/>
        </w:rPr>
        <w:t>Best Strategy Portfolio Out-of-Sample Metrics</w:t>
      </w:r>
    </w:p>
    <w:p w14:paraId="67362BA9" w14:textId="041EBECE" w:rsidR="00772A25" w:rsidRPr="00500DA3" w:rsidRDefault="00772A25" w:rsidP="00772A25">
      <w:pPr>
        <w:pStyle w:val="MDPI31text"/>
        <w:spacing w:after="160" w:line="23" w:lineRule="atLeast"/>
      </w:pPr>
      <w:r w:rsidRPr="00500DA3">
        <w:t xml:space="preserve">The following charts illustrate the out-of-sample dynamics of the best-performing DRL-based strategies identified for each investment universe. </w:t>
      </w:r>
      <w:r w:rsidR="008016AF" w:rsidRPr="00500DA3">
        <w:t xml:space="preserve">Each figure visualizes how </w:t>
      </w:r>
      <w:r w:rsidRPr="00500DA3">
        <w:t>the trained agents adjust their portfolio allocations and decision variables over time in response to evolving market conditions.</w:t>
      </w:r>
    </w:p>
    <w:p w14:paraId="07F388F9" w14:textId="77777777" w:rsidR="00BF463E" w:rsidRPr="00500DA3" w:rsidRDefault="00BF463E" w:rsidP="00101E07">
      <w:pPr>
        <w:pStyle w:val="MDPI21heading1"/>
        <w:ind w:left="0"/>
      </w:pPr>
      <w:r w:rsidRPr="00500DA3">
        <w:t>References</w:t>
      </w:r>
    </w:p>
    <w:p w14:paraId="18CC7471" w14:textId="472789EA" w:rsidR="002C4E57" w:rsidRDefault="002C4E57" w:rsidP="00876640">
      <w:pPr>
        <w:pStyle w:val="MDPI81references"/>
        <w:numPr>
          <w:ilvl w:val="0"/>
          <w:numId w:val="0"/>
        </w:numPr>
        <w:spacing w:line="240" w:lineRule="auto"/>
        <w:ind w:left="425" w:hanging="425"/>
        <w:rPr>
          <w:rFonts w:eastAsia="TimesNewRomanPSMT"/>
          <w:color w:val="auto"/>
        </w:rPr>
      </w:pPr>
    </w:p>
    <w:p w14:paraId="770F8535" w14:textId="77777777" w:rsidR="00832CD2" w:rsidRDefault="00832CD2" w:rsidP="00876640">
      <w:pPr>
        <w:pStyle w:val="MDPI81references"/>
        <w:numPr>
          <w:ilvl w:val="0"/>
          <w:numId w:val="0"/>
        </w:numPr>
        <w:spacing w:line="240" w:lineRule="auto"/>
        <w:ind w:left="425" w:hanging="425"/>
        <w:rPr>
          <w:rFonts w:eastAsia="TimesNewRomanPSMT"/>
          <w:color w:val="auto"/>
        </w:rPr>
      </w:pPr>
    </w:p>
    <w:p w14:paraId="63836731" w14:textId="77777777" w:rsidR="00EA3DB3" w:rsidRPr="00500DA3" w:rsidRDefault="00EA3DB3" w:rsidP="00876640">
      <w:pPr>
        <w:pStyle w:val="MDPI81references"/>
        <w:numPr>
          <w:ilvl w:val="0"/>
          <w:numId w:val="0"/>
        </w:numPr>
        <w:spacing w:line="240" w:lineRule="auto"/>
        <w:ind w:left="425" w:hanging="425"/>
        <w:rPr>
          <w:rFonts w:eastAsia="TimesNewRomanPSMT"/>
          <w:color w:val="auto"/>
        </w:rPr>
      </w:pPr>
    </w:p>
    <w:p w14:paraId="280F9098" w14:textId="77777777" w:rsidR="00500D94" w:rsidRPr="00025209" w:rsidRDefault="00025209" w:rsidP="00101E07">
      <w:pPr>
        <w:pStyle w:val="MDPI63notes"/>
      </w:pPr>
      <w:r w:rsidRPr="00500DA3">
        <w:rPr>
          <w:b/>
        </w:rPr>
        <w:t>Disclaimer/Publisher’s Note:</w:t>
      </w:r>
      <w:r w:rsidRPr="00500DA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500D94" w:rsidRPr="00025209" w:rsidSect="00101E07">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22D50" w14:textId="77777777" w:rsidR="00E07257" w:rsidRPr="000804F3" w:rsidRDefault="00E07257">
      <w:pPr>
        <w:spacing w:line="240" w:lineRule="auto"/>
      </w:pPr>
      <w:r w:rsidRPr="000804F3">
        <w:separator/>
      </w:r>
    </w:p>
  </w:endnote>
  <w:endnote w:type="continuationSeparator" w:id="0">
    <w:p w14:paraId="46382013" w14:textId="77777777" w:rsidR="00E07257" w:rsidRPr="000804F3" w:rsidRDefault="00E07257">
      <w:pPr>
        <w:spacing w:line="240" w:lineRule="auto"/>
      </w:pPr>
      <w:r w:rsidRPr="000804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URWPalladioL-Ital">
    <w:altName w:val="Yu Gothic"/>
    <w:panose1 w:val="00000000000000000000"/>
    <w:charset w:val="80"/>
    <w:family w:val="auto"/>
    <w:notTrueType/>
    <w:pitch w:val="default"/>
    <w:sig w:usb0="00000001" w:usb1="08070000" w:usb2="00000010" w:usb3="00000000" w:csb0="00020000" w:csb1="00000000"/>
  </w:font>
  <w:font w:name="TimesNewRomanPSMT">
    <w:altName w:val="Microsoft YaHei"/>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2B326" w14:textId="77777777" w:rsidR="003233D3" w:rsidRPr="000804F3" w:rsidRDefault="003233D3" w:rsidP="003233D3">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8C3C" w14:textId="77777777" w:rsidR="009364E6" w:rsidRPr="000804F3" w:rsidRDefault="009364E6" w:rsidP="00B1140A">
    <w:pPr>
      <w:pBdr>
        <w:top w:val="single" w:sz="4" w:space="0" w:color="000000"/>
      </w:pBdr>
      <w:tabs>
        <w:tab w:val="right" w:pos="8844"/>
      </w:tabs>
      <w:adjustRightInd w:val="0"/>
      <w:snapToGrid w:val="0"/>
      <w:spacing w:before="480" w:line="100" w:lineRule="exact"/>
      <w:jc w:val="left"/>
      <w:rPr>
        <w:i/>
        <w:sz w:val="16"/>
        <w:szCs w:val="16"/>
      </w:rPr>
    </w:pPr>
  </w:p>
  <w:p w14:paraId="67B3E097" w14:textId="77777777" w:rsidR="003233D3" w:rsidRPr="000804F3" w:rsidRDefault="003233D3" w:rsidP="007D10A3">
    <w:pPr>
      <w:tabs>
        <w:tab w:val="right" w:pos="10466"/>
      </w:tabs>
      <w:adjustRightInd w:val="0"/>
      <w:snapToGrid w:val="0"/>
      <w:spacing w:line="240" w:lineRule="auto"/>
      <w:rPr>
        <w:sz w:val="16"/>
        <w:szCs w:val="16"/>
      </w:rPr>
    </w:pPr>
    <w:r w:rsidRPr="000804F3">
      <w:rPr>
        <w:i/>
        <w:sz w:val="16"/>
        <w:szCs w:val="16"/>
      </w:rPr>
      <w:t xml:space="preserve">Int. J. Financial Stud. </w:t>
    </w:r>
    <w:r w:rsidR="00101E07" w:rsidRPr="000804F3">
      <w:rPr>
        <w:b/>
        <w:bCs/>
        <w:iCs/>
        <w:sz w:val="16"/>
        <w:szCs w:val="16"/>
      </w:rPr>
      <w:t>2025</w:t>
    </w:r>
    <w:r w:rsidR="00FD2302" w:rsidRPr="000804F3">
      <w:rPr>
        <w:bCs/>
        <w:iCs/>
        <w:sz w:val="16"/>
        <w:szCs w:val="16"/>
      </w:rPr>
      <w:t>,</w:t>
    </w:r>
    <w:r w:rsidR="00101E07" w:rsidRPr="000804F3">
      <w:rPr>
        <w:bCs/>
        <w:i/>
        <w:iCs/>
        <w:sz w:val="16"/>
        <w:szCs w:val="16"/>
      </w:rPr>
      <w:t xml:space="preserve"> 13</w:t>
    </w:r>
    <w:r w:rsidR="00FD2302" w:rsidRPr="000804F3">
      <w:rPr>
        <w:bCs/>
        <w:iCs/>
        <w:sz w:val="16"/>
        <w:szCs w:val="16"/>
      </w:rPr>
      <w:t xml:space="preserve">, </w:t>
    </w:r>
    <w:r w:rsidR="00C36002" w:rsidRPr="000804F3">
      <w:rPr>
        <w:bCs/>
        <w:iCs/>
        <w:sz w:val="16"/>
        <w:szCs w:val="16"/>
      </w:rPr>
      <w:t>x</w:t>
    </w:r>
    <w:r w:rsidR="007D10A3" w:rsidRPr="000804F3">
      <w:rPr>
        <w:sz w:val="16"/>
        <w:szCs w:val="16"/>
      </w:rPr>
      <w:tab/>
    </w:r>
    <w:r w:rsidR="00101E07" w:rsidRPr="000804F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881BB" w14:textId="77777777" w:rsidR="00E07257" w:rsidRPr="000804F3" w:rsidRDefault="00E07257">
      <w:pPr>
        <w:spacing w:line="240" w:lineRule="auto"/>
      </w:pPr>
      <w:r w:rsidRPr="000804F3">
        <w:separator/>
      </w:r>
    </w:p>
  </w:footnote>
  <w:footnote w:type="continuationSeparator" w:id="0">
    <w:p w14:paraId="5654BE38" w14:textId="77777777" w:rsidR="00E07257" w:rsidRPr="000804F3" w:rsidRDefault="00E07257">
      <w:pPr>
        <w:spacing w:line="240" w:lineRule="auto"/>
      </w:pPr>
      <w:r w:rsidRPr="000804F3">
        <w:continuationSeparator/>
      </w:r>
    </w:p>
  </w:footnote>
  <w:footnote w:id="1">
    <w:p w14:paraId="25ADED69" w14:textId="22532DCA" w:rsidR="00DD0AC4" w:rsidRDefault="00DD0AC4">
      <w:pPr>
        <w:pStyle w:val="FootnoteText"/>
      </w:pPr>
      <w:r w:rsidRPr="00874E96">
        <w:rPr>
          <w:rStyle w:val="FootnoteReference"/>
        </w:rPr>
        <w:footnoteRef/>
      </w:r>
      <w:r>
        <w:t xml:space="preserve"> </w:t>
      </w:r>
      <w:r w:rsidRPr="00DD0AC4">
        <w:t xml:space="preserve">The </w:t>
      </w:r>
      <w:r w:rsidRPr="00B72F95">
        <w:t>adjusted close price</w:t>
      </w:r>
      <w:r w:rsidRPr="00DD0AC4">
        <w:t xml:space="preserve"> is used throughout the analysis as it accounts for corporate actions such as stock splits, dividends, and distributions, providing a more accurate measure of total return than the raw </w:t>
      </w:r>
      <w:r w:rsidRPr="00B72F95">
        <w:t>close price</w:t>
      </w:r>
      <w:r w:rsidRPr="00DD0AC4">
        <w:t>.</w:t>
      </w:r>
      <w:r>
        <w:t xml:space="preserve"> The adjusted close price is </w:t>
      </w:r>
      <w:r w:rsidR="00F068C8">
        <w:t>retrieved from Yahoo! Finance.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38CA" w14:textId="77777777" w:rsidR="003233D3" w:rsidRPr="000804F3" w:rsidRDefault="003233D3" w:rsidP="003233D3">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AB0A" w14:textId="77777777" w:rsidR="009364E6" w:rsidRPr="000804F3" w:rsidRDefault="003233D3" w:rsidP="007D10A3">
    <w:pPr>
      <w:tabs>
        <w:tab w:val="right" w:pos="10466"/>
      </w:tabs>
      <w:adjustRightInd w:val="0"/>
      <w:snapToGrid w:val="0"/>
      <w:spacing w:line="240" w:lineRule="auto"/>
      <w:rPr>
        <w:sz w:val="16"/>
      </w:rPr>
    </w:pPr>
    <w:r w:rsidRPr="000804F3">
      <w:rPr>
        <w:i/>
        <w:sz w:val="16"/>
      </w:rPr>
      <w:t xml:space="preserve">Int. J. Financial Stud. </w:t>
    </w:r>
    <w:r w:rsidR="00101E07" w:rsidRPr="000804F3">
      <w:rPr>
        <w:b/>
        <w:sz w:val="16"/>
      </w:rPr>
      <w:t>2025</w:t>
    </w:r>
    <w:r w:rsidR="00FD2302" w:rsidRPr="000804F3">
      <w:rPr>
        <w:sz w:val="16"/>
      </w:rPr>
      <w:t>,</w:t>
    </w:r>
    <w:r w:rsidR="00101E07" w:rsidRPr="000804F3">
      <w:rPr>
        <w:i/>
        <w:sz w:val="16"/>
      </w:rPr>
      <w:t xml:space="preserve"> 13</w:t>
    </w:r>
    <w:r w:rsidR="00C36002" w:rsidRPr="000804F3">
      <w:rPr>
        <w:sz w:val="16"/>
      </w:rPr>
      <w:t xml:space="preserve">, x </w:t>
    </w:r>
    <w:r w:rsidR="00101E07" w:rsidRPr="000804F3">
      <w:rPr>
        <w:sz w:val="16"/>
      </w:rPr>
      <w:t>FOR PEER REVIEW</w:t>
    </w:r>
    <w:r w:rsidR="00101E07" w:rsidRPr="000804F3">
      <w:rPr>
        <w:sz w:val="16"/>
      </w:rPr>
      <w:ptab w:relativeTo="margin" w:alignment="right" w:leader="none"/>
    </w:r>
    <w:r w:rsidR="00101E07" w:rsidRPr="000804F3">
      <w:rPr>
        <w:sz w:val="16"/>
      </w:rPr>
      <w:fldChar w:fldCharType="begin"/>
    </w:r>
    <w:r w:rsidR="00101E07" w:rsidRPr="000804F3">
      <w:rPr>
        <w:sz w:val="16"/>
      </w:rPr>
      <w:instrText xml:space="preserve"> PAGE   \* MERGEFORMAT </w:instrText>
    </w:r>
    <w:r w:rsidR="00101E07" w:rsidRPr="000804F3">
      <w:rPr>
        <w:sz w:val="16"/>
      </w:rPr>
      <w:fldChar w:fldCharType="separate"/>
    </w:r>
    <w:r w:rsidR="00101E07" w:rsidRPr="000804F3">
      <w:rPr>
        <w:sz w:val="16"/>
      </w:rPr>
      <w:t>2</w:t>
    </w:r>
    <w:r w:rsidR="00101E07" w:rsidRPr="000804F3">
      <w:rPr>
        <w:sz w:val="16"/>
      </w:rPr>
      <w:fldChar w:fldCharType="end"/>
    </w:r>
    <w:r w:rsidR="00101E07" w:rsidRPr="000804F3">
      <w:rPr>
        <w:sz w:val="16"/>
      </w:rPr>
      <w:t xml:space="preserve"> of </w:t>
    </w:r>
    <w:r w:rsidR="00101E07" w:rsidRPr="000804F3">
      <w:rPr>
        <w:sz w:val="16"/>
      </w:rPr>
      <w:fldChar w:fldCharType="begin"/>
    </w:r>
    <w:r w:rsidR="00101E07" w:rsidRPr="000804F3">
      <w:rPr>
        <w:sz w:val="16"/>
      </w:rPr>
      <w:instrText xml:space="preserve"> NUMPAGES   \* MERGEFORMAT </w:instrText>
    </w:r>
    <w:r w:rsidR="00101E07" w:rsidRPr="000804F3">
      <w:rPr>
        <w:sz w:val="16"/>
      </w:rPr>
      <w:fldChar w:fldCharType="separate"/>
    </w:r>
    <w:r w:rsidR="00101E07" w:rsidRPr="000804F3">
      <w:rPr>
        <w:sz w:val="16"/>
      </w:rPr>
      <w:t>7</w:t>
    </w:r>
    <w:r w:rsidR="00101E07" w:rsidRPr="000804F3">
      <w:rPr>
        <w:sz w:val="16"/>
      </w:rPr>
      <w:fldChar w:fldCharType="end"/>
    </w:r>
  </w:p>
  <w:p w14:paraId="4CBC5E3F" w14:textId="77777777" w:rsidR="003233D3" w:rsidRPr="000804F3" w:rsidRDefault="003233D3" w:rsidP="00B1140A">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9364E6" w:rsidRPr="000804F3" w14:paraId="5345D29D" w14:textId="77777777" w:rsidTr="00BE100B">
      <w:trPr>
        <w:trHeight w:val="686"/>
      </w:trPr>
      <w:tc>
        <w:tcPr>
          <w:tcW w:w="3679" w:type="dxa"/>
          <w:vAlign w:val="center"/>
        </w:tcPr>
        <w:p w14:paraId="2E67C535" w14:textId="77777777" w:rsidR="009364E6" w:rsidRPr="000804F3" w:rsidRDefault="00985ACF" w:rsidP="007D10A3">
          <w:pPr>
            <w:pStyle w:val="Header"/>
            <w:pBdr>
              <w:bottom w:val="none" w:sz="0" w:space="0" w:color="auto"/>
            </w:pBdr>
            <w:jc w:val="left"/>
            <w:rPr>
              <w:rFonts w:eastAsia="DengXian"/>
              <w:b/>
              <w:bCs/>
            </w:rPr>
          </w:pPr>
          <w:r w:rsidRPr="000804F3">
            <w:rPr>
              <w:rFonts w:eastAsia="DengXian"/>
              <w:b/>
              <w:bCs/>
              <w:noProof/>
            </w:rPr>
            <w:drawing>
              <wp:inline distT="0" distB="0" distL="0" distR="0" wp14:anchorId="1D82797D" wp14:editId="317B611D">
                <wp:extent cx="1724958" cy="432000"/>
                <wp:effectExtent l="0" t="0" r="8890" b="6350"/>
                <wp:docPr id="153464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48208" name=""/>
                        <pic:cNvPicPr/>
                      </pic:nvPicPr>
                      <pic:blipFill>
                        <a:blip r:embed="rId1"/>
                        <a:stretch>
                          <a:fillRect/>
                        </a:stretch>
                      </pic:blipFill>
                      <pic:spPr>
                        <a:xfrm>
                          <a:off x="0" y="0"/>
                          <a:ext cx="1724958" cy="432000"/>
                        </a:xfrm>
                        <a:prstGeom prst="rect">
                          <a:avLst/>
                        </a:prstGeom>
                      </pic:spPr>
                    </pic:pic>
                  </a:graphicData>
                </a:graphic>
              </wp:inline>
            </w:drawing>
          </w:r>
        </w:p>
      </w:tc>
      <w:tc>
        <w:tcPr>
          <w:tcW w:w="4535" w:type="dxa"/>
          <w:vAlign w:val="center"/>
        </w:tcPr>
        <w:p w14:paraId="5E0549A9" w14:textId="77777777" w:rsidR="009364E6" w:rsidRPr="000804F3" w:rsidRDefault="009364E6" w:rsidP="007D10A3">
          <w:pPr>
            <w:pStyle w:val="Header"/>
            <w:pBdr>
              <w:bottom w:val="none" w:sz="0" w:space="0" w:color="auto"/>
            </w:pBdr>
            <w:rPr>
              <w:rFonts w:eastAsia="DengXian"/>
              <w:b/>
              <w:bCs/>
            </w:rPr>
          </w:pPr>
        </w:p>
      </w:tc>
      <w:tc>
        <w:tcPr>
          <w:tcW w:w="2273" w:type="dxa"/>
          <w:vAlign w:val="center"/>
        </w:tcPr>
        <w:p w14:paraId="0BE7B635" w14:textId="77777777" w:rsidR="009364E6" w:rsidRPr="000804F3" w:rsidRDefault="00BE100B" w:rsidP="00BE100B">
          <w:pPr>
            <w:pStyle w:val="Header"/>
            <w:pBdr>
              <w:bottom w:val="none" w:sz="0" w:space="0" w:color="auto"/>
            </w:pBdr>
            <w:jc w:val="right"/>
            <w:rPr>
              <w:rFonts w:eastAsia="DengXian"/>
              <w:b/>
              <w:bCs/>
            </w:rPr>
          </w:pPr>
          <w:r w:rsidRPr="000804F3">
            <w:rPr>
              <w:rFonts w:eastAsia="DengXian"/>
              <w:b/>
              <w:bCs/>
              <w:noProof/>
            </w:rPr>
            <w:drawing>
              <wp:inline distT="0" distB="0" distL="0" distR="0" wp14:anchorId="654971EB" wp14:editId="4DA44326">
                <wp:extent cx="540000" cy="360000"/>
                <wp:effectExtent l="0" t="0" r="0" b="2540"/>
                <wp:docPr id="765510876" name="Picture 1"/>
                <wp:cNvGraphicFramePr/>
                <a:graphic xmlns:a="http://schemas.openxmlformats.org/drawingml/2006/main">
                  <a:graphicData uri="http://schemas.openxmlformats.org/drawingml/2006/picture">
                    <pic:pic xmlns:pic="http://schemas.openxmlformats.org/drawingml/2006/picture">
                      <pic:nvPicPr>
                        <pic:cNvPr id="765510876" name=""/>
                        <pic:cNvPicPr/>
                      </pic:nvPicPr>
                      <pic:blipFill>
                        <a:blip r:embed="rId2"/>
                        <a:stretch>
                          <a:fillRect/>
                        </a:stretch>
                      </pic:blipFill>
                      <pic:spPr>
                        <a:xfrm>
                          <a:off x="0" y="0"/>
                          <a:ext cx="540000" cy="360000"/>
                        </a:xfrm>
                        <a:prstGeom prst="rect">
                          <a:avLst/>
                        </a:prstGeom>
                      </pic:spPr>
                    </pic:pic>
                  </a:graphicData>
                </a:graphic>
              </wp:inline>
            </w:drawing>
          </w:r>
        </w:p>
      </w:tc>
    </w:tr>
  </w:tbl>
  <w:p w14:paraId="38ADB630" w14:textId="77777777" w:rsidR="003233D3" w:rsidRPr="000804F3" w:rsidRDefault="003233D3" w:rsidP="00101E07">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3DA8"/>
    <w:multiLevelType w:val="hybridMultilevel"/>
    <w:tmpl w:val="E42E3AE8"/>
    <w:lvl w:ilvl="0" w:tplc="A38EFACA">
      <w:start w:val="1"/>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1" w15:restartNumberingAfterBreak="0">
    <w:nsid w:val="07766CB2"/>
    <w:multiLevelType w:val="hybridMultilevel"/>
    <w:tmpl w:val="5B4E52D6"/>
    <w:lvl w:ilvl="0" w:tplc="08090001">
      <w:start w:val="1"/>
      <w:numFmt w:val="bullet"/>
      <w:lvlText w:val=""/>
      <w:lvlJc w:val="left"/>
      <w:pPr>
        <w:ind w:left="3420" w:hanging="360"/>
      </w:pPr>
      <w:rPr>
        <w:rFonts w:ascii="Symbol" w:hAnsi="Symbol" w:hint="default"/>
      </w:rPr>
    </w:lvl>
    <w:lvl w:ilvl="1" w:tplc="08090003" w:tentative="1">
      <w:start w:val="1"/>
      <w:numFmt w:val="bullet"/>
      <w:lvlText w:val="o"/>
      <w:lvlJc w:val="left"/>
      <w:pPr>
        <w:ind w:left="4140" w:hanging="360"/>
      </w:pPr>
      <w:rPr>
        <w:rFonts w:ascii="Courier New" w:hAnsi="Courier New" w:cs="Courier New" w:hint="default"/>
      </w:rPr>
    </w:lvl>
    <w:lvl w:ilvl="2" w:tplc="08090005" w:tentative="1">
      <w:start w:val="1"/>
      <w:numFmt w:val="bullet"/>
      <w:lvlText w:val=""/>
      <w:lvlJc w:val="left"/>
      <w:pPr>
        <w:ind w:left="4860" w:hanging="360"/>
      </w:pPr>
      <w:rPr>
        <w:rFonts w:ascii="Wingdings" w:hAnsi="Wingdings" w:hint="default"/>
      </w:rPr>
    </w:lvl>
    <w:lvl w:ilvl="3" w:tplc="08090001" w:tentative="1">
      <w:start w:val="1"/>
      <w:numFmt w:val="bullet"/>
      <w:lvlText w:val=""/>
      <w:lvlJc w:val="left"/>
      <w:pPr>
        <w:ind w:left="5580" w:hanging="360"/>
      </w:pPr>
      <w:rPr>
        <w:rFonts w:ascii="Symbol" w:hAnsi="Symbol" w:hint="default"/>
      </w:rPr>
    </w:lvl>
    <w:lvl w:ilvl="4" w:tplc="08090003" w:tentative="1">
      <w:start w:val="1"/>
      <w:numFmt w:val="bullet"/>
      <w:lvlText w:val="o"/>
      <w:lvlJc w:val="left"/>
      <w:pPr>
        <w:ind w:left="6300" w:hanging="360"/>
      </w:pPr>
      <w:rPr>
        <w:rFonts w:ascii="Courier New" w:hAnsi="Courier New" w:cs="Courier New" w:hint="default"/>
      </w:rPr>
    </w:lvl>
    <w:lvl w:ilvl="5" w:tplc="08090005" w:tentative="1">
      <w:start w:val="1"/>
      <w:numFmt w:val="bullet"/>
      <w:lvlText w:val=""/>
      <w:lvlJc w:val="left"/>
      <w:pPr>
        <w:ind w:left="7020" w:hanging="360"/>
      </w:pPr>
      <w:rPr>
        <w:rFonts w:ascii="Wingdings" w:hAnsi="Wingdings" w:hint="default"/>
      </w:rPr>
    </w:lvl>
    <w:lvl w:ilvl="6" w:tplc="08090001" w:tentative="1">
      <w:start w:val="1"/>
      <w:numFmt w:val="bullet"/>
      <w:lvlText w:val=""/>
      <w:lvlJc w:val="left"/>
      <w:pPr>
        <w:ind w:left="7740" w:hanging="360"/>
      </w:pPr>
      <w:rPr>
        <w:rFonts w:ascii="Symbol" w:hAnsi="Symbol" w:hint="default"/>
      </w:rPr>
    </w:lvl>
    <w:lvl w:ilvl="7" w:tplc="08090003" w:tentative="1">
      <w:start w:val="1"/>
      <w:numFmt w:val="bullet"/>
      <w:lvlText w:val="o"/>
      <w:lvlJc w:val="left"/>
      <w:pPr>
        <w:ind w:left="8460" w:hanging="360"/>
      </w:pPr>
      <w:rPr>
        <w:rFonts w:ascii="Courier New" w:hAnsi="Courier New" w:cs="Courier New" w:hint="default"/>
      </w:rPr>
    </w:lvl>
    <w:lvl w:ilvl="8" w:tplc="08090005" w:tentative="1">
      <w:start w:val="1"/>
      <w:numFmt w:val="bullet"/>
      <w:lvlText w:val=""/>
      <w:lvlJc w:val="left"/>
      <w:pPr>
        <w:ind w:left="9180" w:hanging="360"/>
      </w:pPr>
      <w:rPr>
        <w:rFonts w:ascii="Wingdings" w:hAnsi="Wingdings" w:hint="default"/>
      </w:rPr>
    </w:lvl>
  </w:abstractNum>
  <w:abstractNum w:abstractNumId="2" w15:restartNumberingAfterBreak="0">
    <w:nsid w:val="0CF013E5"/>
    <w:multiLevelType w:val="hybridMultilevel"/>
    <w:tmpl w:val="AC223C34"/>
    <w:lvl w:ilvl="0" w:tplc="E6526D6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97D3E"/>
    <w:multiLevelType w:val="hybridMultilevel"/>
    <w:tmpl w:val="1436D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E67C28"/>
    <w:multiLevelType w:val="hybridMultilevel"/>
    <w:tmpl w:val="A5CAAC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B468F5"/>
    <w:multiLevelType w:val="hybridMultilevel"/>
    <w:tmpl w:val="AAD07410"/>
    <w:lvl w:ilvl="0" w:tplc="EA4CF0C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E1666F"/>
    <w:multiLevelType w:val="hybridMultilevel"/>
    <w:tmpl w:val="7CDA3D4A"/>
    <w:lvl w:ilvl="0" w:tplc="9A2025AA">
      <w:start w:val="1"/>
      <w:numFmt w:val="decimal"/>
      <w:lvlText w:val="%1."/>
      <w:lvlJc w:val="left"/>
      <w:pPr>
        <w:ind w:left="288" w:hanging="288"/>
      </w:pPr>
      <w:rPr>
        <w:rFonts w:hint="default"/>
      </w:rPr>
    </w:lvl>
    <w:lvl w:ilvl="1" w:tplc="08090019" w:tentative="1">
      <w:start w:val="1"/>
      <w:numFmt w:val="lowerLetter"/>
      <w:lvlText w:val="%2."/>
      <w:lvlJc w:val="left"/>
      <w:pPr>
        <w:ind w:left="432" w:hanging="360"/>
      </w:pPr>
    </w:lvl>
    <w:lvl w:ilvl="2" w:tplc="0809001B" w:tentative="1">
      <w:start w:val="1"/>
      <w:numFmt w:val="lowerRoman"/>
      <w:lvlText w:val="%3."/>
      <w:lvlJc w:val="right"/>
      <w:pPr>
        <w:ind w:left="1152" w:hanging="180"/>
      </w:pPr>
    </w:lvl>
    <w:lvl w:ilvl="3" w:tplc="0809000F" w:tentative="1">
      <w:start w:val="1"/>
      <w:numFmt w:val="decimal"/>
      <w:lvlText w:val="%4."/>
      <w:lvlJc w:val="left"/>
      <w:pPr>
        <w:ind w:left="1872" w:hanging="360"/>
      </w:pPr>
    </w:lvl>
    <w:lvl w:ilvl="4" w:tplc="08090019" w:tentative="1">
      <w:start w:val="1"/>
      <w:numFmt w:val="lowerLetter"/>
      <w:lvlText w:val="%5."/>
      <w:lvlJc w:val="left"/>
      <w:pPr>
        <w:ind w:left="2592" w:hanging="360"/>
      </w:pPr>
    </w:lvl>
    <w:lvl w:ilvl="5" w:tplc="0809001B" w:tentative="1">
      <w:start w:val="1"/>
      <w:numFmt w:val="lowerRoman"/>
      <w:lvlText w:val="%6."/>
      <w:lvlJc w:val="right"/>
      <w:pPr>
        <w:ind w:left="3312" w:hanging="180"/>
      </w:pPr>
    </w:lvl>
    <w:lvl w:ilvl="6" w:tplc="0809000F" w:tentative="1">
      <w:start w:val="1"/>
      <w:numFmt w:val="decimal"/>
      <w:lvlText w:val="%7."/>
      <w:lvlJc w:val="left"/>
      <w:pPr>
        <w:ind w:left="4032" w:hanging="360"/>
      </w:pPr>
    </w:lvl>
    <w:lvl w:ilvl="7" w:tplc="08090019" w:tentative="1">
      <w:start w:val="1"/>
      <w:numFmt w:val="lowerLetter"/>
      <w:lvlText w:val="%8."/>
      <w:lvlJc w:val="left"/>
      <w:pPr>
        <w:ind w:left="4752" w:hanging="360"/>
      </w:pPr>
    </w:lvl>
    <w:lvl w:ilvl="8" w:tplc="0809001B" w:tentative="1">
      <w:start w:val="1"/>
      <w:numFmt w:val="lowerRoman"/>
      <w:lvlText w:val="%9."/>
      <w:lvlJc w:val="right"/>
      <w:pPr>
        <w:ind w:left="5472" w:hanging="180"/>
      </w:pPr>
    </w:lvl>
  </w:abstractNum>
  <w:abstractNum w:abstractNumId="7" w15:restartNumberingAfterBreak="0">
    <w:nsid w:val="1C663CDE"/>
    <w:multiLevelType w:val="hybridMultilevel"/>
    <w:tmpl w:val="C20A92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0C6F5D"/>
    <w:multiLevelType w:val="hybridMultilevel"/>
    <w:tmpl w:val="407080C8"/>
    <w:lvl w:ilvl="0" w:tplc="9B8606EE">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DC72F9"/>
    <w:multiLevelType w:val="multilevel"/>
    <w:tmpl w:val="6EEE0ABA"/>
    <w:lvl w:ilvl="0">
      <w:start w:val="1"/>
      <w:numFmt w:val="decimal"/>
      <w:lvlText w:val="%1)"/>
      <w:lvlJc w:val="left"/>
      <w:pPr>
        <w:ind w:left="360" w:hanging="360"/>
      </w:pPr>
      <w:rPr>
        <w:rFonts w:hint="default"/>
      </w:rPr>
    </w:lvl>
    <w:lvl w:ilvl="1">
      <w:start w:val="1"/>
      <w:numFmt w:val="lowerLetter"/>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74A7CC3"/>
    <w:multiLevelType w:val="hybridMultilevel"/>
    <w:tmpl w:val="C20A92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3"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0D4207"/>
    <w:multiLevelType w:val="hybridMultilevel"/>
    <w:tmpl w:val="234EBF9C"/>
    <w:lvl w:ilvl="0" w:tplc="0809000F">
      <w:start w:val="1"/>
      <w:numFmt w:val="decimal"/>
      <w:lvlText w:val="%1."/>
      <w:lvlJc w:val="left"/>
      <w:pPr>
        <w:ind w:left="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5" w15:restartNumberingAfterBreak="0">
    <w:nsid w:val="35082820"/>
    <w:multiLevelType w:val="hybridMultilevel"/>
    <w:tmpl w:val="B2F87452"/>
    <w:lvl w:ilvl="0" w:tplc="2B04C51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7" w15:restartNumberingAfterBreak="0">
    <w:nsid w:val="418C5410"/>
    <w:multiLevelType w:val="hybridMultilevel"/>
    <w:tmpl w:val="9E7C8DC2"/>
    <w:lvl w:ilvl="0" w:tplc="1B5AA03C">
      <w:start w:val="1"/>
      <w:numFmt w:val="decimal"/>
      <w:lvlText w:val="%1."/>
      <w:lvlJc w:val="left"/>
      <w:pPr>
        <w:ind w:left="785" w:hanging="360"/>
      </w:pPr>
      <w:rPr>
        <w:rFonts w:eastAsiaTheme="minorEastAsia" w:hint="default"/>
        <w:b w:val="0"/>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D14356"/>
    <w:multiLevelType w:val="hybridMultilevel"/>
    <w:tmpl w:val="F90AA7D6"/>
    <w:lvl w:ilvl="0" w:tplc="2ABE16EC">
      <w:start w:val="1"/>
      <w:numFmt w:val="bullet"/>
      <w:lvlText w:val=""/>
      <w:lvlJc w:val="left"/>
      <w:pPr>
        <w:tabs>
          <w:tab w:val="num" w:pos="1080"/>
        </w:tabs>
        <w:ind w:left="720" w:hanging="360"/>
      </w:pPr>
      <w:rPr>
        <w:rFonts w:ascii="Symbol" w:hAnsi="Symbol" w:hint="default"/>
      </w:rPr>
    </w:lvl>
    <w:lvl w:ilvl="1" w:tplc="A63E3B0E">
      <w:numFmt w:val="decimal"/>
      <w:lvlText w:val=""/>
      <w:lvlJc w:val="left"/>
    </w:lvl>
    <w:lvl w:ilvl="2" w:tplc="EE0AB788">
      <w:numFmt w:val="decimal"/>
      <w:lvlText w:val=""/>
      <w:lvlJc w:val="left"/>
    </w:lvl>
    <w:lvl w:ilvl="3" w:tplc="722681FC">
      <w:numFmt w:val="decimal"/>
      <w:lvlText w:val=""/>
      <w:lvlJc w:val="left"/>
    </w:lvl>
    <w:lvl w:ilvl="4" w:tplc="1B6EC748">
      <w:numFmt w:val="decimal"/>
      <w:lvlText w:val=""/>
      <w:lvlJc w:val="left"/>
    </w:lvl>
    <w:lvl w:ilvl="5" w:tplc="A13608BC">
      <w:numFmt w:val="decimal"/>
      <w:lvlText w:val=""/>
      <w:lvlJc w:val="left"/>
    </w:lvl>
    <w:lvl w:ilvl="6" w:tplc="62BC5B7C">
      <w:numFmt w:val="decimal"/>
      <w:lvlText w:val=""/>
      <w:lvlJc w:val="left"/>
    </w:lvl>
    <w:lvl w:ilvl="7" w:tplc="39EC5B94">
      <w:numFmt w:val="decimal"/>
      <w:lvlText w:val=""/>
      <w:lvlJc w:val="left"/>
    </w:lvl>
    <w:lvl w:ilvl="8" w:tplc="D00AB732">
      <w:numFmt w:val="decimal"/>
      <w:lvlText w:val=""/>
      <w:lvlJc w:val="left"/>
    </w:lvl>
  </w:abstractNum>
  <w:abstractNum w:abstractNumId="2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1" w15:restartNumberingAfterBreak="0">
    <w:nsid w:val="542D1388"/>
    <w:multiLevelType w:val="multilevel"/>
    <w:tmpl w:val="67A0CBC0"/>
    <w:lvl w:ilvl="0">
      <w:start w:val="1"/>
      <w:numFmt w:val="upperRoman"/>
      <w:lvlText w:val="%1."/>
      <w:lvlJc w:val="left"/>
      <w:pPr>
        <w:ind w:left="1080" w:hanging="72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275" w:hanging="72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1765" w:hanging="1080"/>
      </w:pPr>
      <w:rPr>
        <w:rFonts w:hint="default"/>
      </w:rPr>
    </w:lvl>
    <w:lvl w:ilvl="6">
      <w:start w:val="1"/>
      <w:numFmt w:val="decimal"/>
      <w:isLgl/>
      <w:lvlText w:val="%1.%2.%3.%4.%5.%6.%7."/>
      <w:lvlJc w:val="left"/>
      <w:pPr>
        <w:ind w:left="1830" w:hanging="1080"/>
      </w:pPr>
      <w:rPr>
        <w:rFonts w:hint="default"/>
      </w:rPr>
    </w:lvl>
    <w:lvl w:ilvl="7">
      <w:start w:val="1"/>
      <w:numFmt w:val="decimal"/>
      <w:isLgl/>
      <w:lvlText w:val="%1.%2.%3.%4.%5.%6.%7.%8."/>
      <w:lvlJc w:val="left"/>
      <w:pPr>
        <w:ind w:left="2255" w:hanging="1440"/>
      </w:pPr>
      <w:rPr>
        <w:rFonts w:hint="default"/>
      </w:rPr>
    </w:lvl>
    <w:lvl w:ilvl="8">
      <w:start w:val="1"/>
      <w:numFmt w:val="decimal"/>
      <w:isLgl/>
      <w:lvlText w:val="%1.%2.%3.%4.%5.%6.%7.%8.%9."/>
      <w:lvlJc w:val="left"/>
      <w:pPr>
        <w:ind w:left="2320" w:hanging="1440"/>
      </w:pPr>
      <w:rPr>
        <w:rFonts w:hint="default"/>
      </w:rPr>
    </w:lvl>
  </w:abstractNum>
  <w:abstractNum w:abstractNumId="22"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7E0976"/>
    <w:multiLevelType w:val="hybridMultilevel"/>
    <w:tmpl w:val="D792A732"/>
    <w:lvl w:ilvl="0" w:tplc="B2C0E36A">
      <w:start w:val="1"/>
      <w:numFmt w:val="upperRoman"/>
      <w:lvlText w:val="%1."/>
      <w:lvlJc w:val="left"/>
      <w:pPr>
        <w:ind w:left="0" w:hanging="720"/>
      </w:pPr>
      <w:rPr>
        <w:rFonts w:hint="default"/>
      </w:r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24" w15:restartNumberingAfterBreak="0">
    <w:nsid w:val="5993374C"/>
    <w:multiLevelType w:val="hybridMultilevel"/>
    <w:tmpl w:val="C20A92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DFD525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8828C2"/>
    <w:multiLevelType w:val="hybridMultilevel"/>
    <w:tmpl w:val="AFFC08D4"/>
    <w:lvl w:ilvl="0" w:tplc="FEEEB996">
      <w:start w:val="1"/>
      <w:numFmt w:val="bullet"/>
      <w:lvlText w:val=""/>
      <w:lvlJc w:val="left"/>
      <w:pPr>
        <w:tabs>
          <w:tab w:val="num" w:pos="1080"/>
        </w:tabs>
        <w:ind w:left="720" w:hanging="360"/>
      </w:pPr>
      <w:rPr>
        <w:rFonts w:ascii="Symbol" w:hAnsi="Symbol" w:hint="default"/>
      </w:rPr>
    </w:lvl>
    <w:lvl w:ilvl="1" w:tplc="59989540">
      <w:numFmt w:val="decimal"/>
      <w:lvlText w:val=""/>
      <w:lvlJc w:val="left"/>
    </w:lvl>
    <w:lvl w:ilvl="2" w:tplc="3D46F830">
      <w:numFmt w:val="decimal"/>
      <w:lvlText w:val=""/>
      <w:lvlJc w:val="left"/>
    </w:lvl>
    <w:lvl w:ilvl="3" w:tplc="DE5ABEF0">
      <w:numFmt w:val="decimal"/>
      <w:lvlText w:val=""/>
      <w:lvlJc w:val="left"/>
    </w:lvl>
    <w:lvl w:ilvl="4" w:tplc="B0CE81BC">
      <w:numFmt w:val="decimal"/>
      <w:lvlText w:val=""/>
      <w:lvlJc w:val="left"/>
    </w:lvl>
    <w:lvl w:ilvl="5" w:tplc="8966B910">
      <w:numFmt w:val="decimal"/>
      <w:lvlText w:val=""/>
      <w:lvlJc w:val="left"/>
    </w:lvl>
    <w:lvl w:ilvl="6" w:tplc="25B60330">
      <w:numFmt w:val="decimal"/>
      <w:lvlText w:val=""/>
      <w:lvlJc w:val="left"/>
    </w:lvl>
    <w:lvl w:ilvl="7" w:tplc="B1965144">
      <w:numFmt w:val="decimal"/>
      <w:lvlText w:val=""/>
      <w:lvlJc w:val="left"/>
    </w:lvl>
    <w:lvl w:ilvl="8" w:tplc="ECE6E132">
      <w:numFmt w:val="decimal"/>
      <w:lvlText w:val=""/>
      <w:lvlJc w:val="left"/>
    </w:lvl>
  </w:abstractNum>
  <w:abstractNum w:abstractNumId="28" w15:restartNumberingAfterBreak="0">
    <w:nsid w:val="7C3F416E"/>
    <w:multiLevelType w:val="multilevel"/>
    <w:tmpl w:val="108E5512"/>
    <w:lvl w:ilvl="0">
      <w:start w:val="1"/>
      <w:numFmt w:val="decimal"/>
      <w:lvlText w:val="%1."/>
      <w:lvlJc w:val="left"/>
      <w:pPr>
        <w:ind w:left="288" w:hanging="288"/>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995" w:hanging="720"/>
      </w:pPr>
      <w:rPr>
        <w:rFonts w:hint="default"/>
      </w:rPr>
    </w:lvl>
    <w:lvl w:ilvl="4">
      <w:start w:val="1"/>
      <w:numFmt w:val="decimal"/>
      <w:isLgl/>
      <w:lvlText w:val="%1.%2.%3.%4.%5."/>
      <w:lvlJc w:val="left"/>
      <w:pPr>
        <w:ind w:left="2780" w:hanging="1080"/>
      </w:pPr>
      <w:rPr>
        <w:rFonts w:hint="default"/>
      </w:rPr>
    </w:lvl>
    <w:lvl w:ilvl="5">
      <w:start w:val="1"/>
      <w:numFmt w:val="decimal"/>
      <w:isLgl/>
      <w:lvlText w:val="%1.%2.%3.%4.%5.%6."/>
      <w:lvlJc w:val="left"/>
      <w:pPr>
        <w:ind w:left="3205" w:hanging="1080"/>
      </w:pPr>
      <w:rPr>
        <w:rFonts w:hint="default"/>
      </w:rPr>
    </w:lvl>
    <w:lvl w:ilvl="6">
      <w:start w:val="1"/>
      <w:numFmt w:val="decimal"/>
      <w:isLgl/>
      <w:lvlText w:val="%1.%2.%3.%4.%5.%6.%7."/>
      <w:lvlJc w:val="left"/>
      <w:pPr>
        <w:ind w:left="3630" w:hanging="1080"/>
      </w:pPr>
      <w:rPr>
        <w:rFonts w:hint="default"/>
      </w:rPr>
    </w:lvl>
    <w:lvl w:ilvl="7">
      <w:start w:val="1"/>
      <w:numFmt w:val="decimal"/>
      <w:isLgl/>
      <w:lvlText w:val="%1.%2.%3.%4.%5.%6.%7.%8."/>
      <w:lvlJc w:val="left"/>
      <w:pPr>
        <w:ind w:left="4415" w:hanging="1440"/>
      </w:pPr>
      <w:rPr>
        <w:rFonts w:hint="default"/>
      </w:rPr>
    </w:lvl>
    <w:lvl w:ilvl="8">
      <w:start w:val="1"/>
      <w:numFmt w:val="decimal"/>
      <w:isLgl/>
      <w:lvlText w:val="%1.%2.%3.%4.%5.%6.%7.%8.%9."/>
      <w:lvlJc w:val="left"/>
      <w:pPr>
        <w:ind w:left="4840" w:hanging="1440"/>
      </w:pPr>
      <w:rPr>
        <w:rFonts w:hint="default"/>
      </w:rPr>
    </w:lvl>
  </w:abstractNum>
  <w:num w:numId="1" w16cid:durableId="1775661700">
    <w:abstractNumId w:val="12"/>
  </w:num>
  <w:num w:numId="2" w16cid:durableId="1315722086">
    <w:abstractNumId w:val="16"/>
  </w:num>
  <w:num w:numId="3" w16cid:durableId="852762690">
    <w:abstractNumId w:val="9"/>
  </w:num>
  <w:num w:numId="4" w16cid:durableId="204678841">
    <w:abstractNumId w:val="13"/>
  </w:num>
  <w:num w:numId="5" w16cid:durableId="1132289179">
    <w:abstractNumId w:val="20"/>
  </w:num>
  <w:num w:numId="6" w16cid:durableId="1477842830">
    <w:abstractNumId w:val="8"/>
  </w:num>
  <w:num w:numId="7" w16cid:durableId="521673592">
    <w:abstractNumId w:val="20"/>
  </w:num>
  <w:num w:numId="8" w16cid:durableId="62219340">
    <w:abstractNumId w:val="8"/>
  </w:num>
  <w:num w:numId="9" w16cid:durableId="636837826">
    <w:abstractNumId w:val="20"/>
  </w:num>
  <w:num w:numId="10" w16cid:durableId="694355747">
    <w:abstractNumId w:val="8"/>
  </w:num>
  <w:num w:numId="11" w16cid:durableId="2371814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21199428">
    <w:abstractNumId w:val="22"/>
  </w:num>
  <w:num w:numId="13" w16cid:durableId="530344685">
    <w:abstractNumId w:val="26"/>
  </w:num>
  <w:num w:numId="14" w16cid:durableId="898633069">
    <w:abstractNumId w:val="20"/>
  </w:num>
  <w:num w:numId="15" w16cid:durableId="1326276058">
    <w:abstractNumId w:val="8"/>
  </w:num>
  <w:num w:numId="16" w16cid:durableId="17217040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2660173">
    <w:abstractNumId w:val="8"/>
  </w:num>
  <w:num w:numId="18" w16cid:durableId="3832186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21888118">
    <w:abstractNumId w:val="5"/>
  </w:num>
  <w:num w:numId="20" w16cid:durableId="914360614">
    <w:abstractNumId w:val="18"/>
  </w:num>
  <w:num w:numId="21" w16cid:durableId="115561699">
    <w:abstractNumId w:val="2"/>
  </w:num>
  <w:num w:numId="22" w16cid:durableId="2032140748">
    <w:abstractNumId w:val="20"/>
  </w:num>
  <w:num w:numId="23" w16cid:durableId="747458400">
    <w:abstractNumId w:val="8"/>
  </w:num>
  <w:num w:numId="24" w16cid:durableId="592780568">
    <w:abstractNumId w:val="5"/>
  </w:num>
  <w:num w:numId="25" w16cid:durableId="1889879044">
    <w:abstractNumId w:val="15"/>
  </w:num>
  <w:num w:numId="26" w16cid:durableId="485780097">
    <w:abstractNumId w:val="2"/>
  </w:num>
  <w:num w:numId="27" w16cid:durableId="312100808">
    <w:abstractNumId w:val="6"/>
  </w:num>
  <w:num w:numId="28" w16cid:durableId="2121143070">
    <w:abstractNumId w:val="3"/>
  </w:num>
  <w:num w:numId="29" w16cid:durableId="1868711195">
    <w:abstractNumId w:val="23"/>
  </w:num>
  <w:num w:numId="30" w16cid:durableId="1284534062">
    <w:abstractNumId w:val="4"/>
  </w:num>
  <w:num w:numId="31" w16cid:durableId="658658542">
    <w:abstractNumId w:val="25"/>
  </w:num>
  <w:num w:numId="32" w16cid:durableId="370149199">
    <w:abstractNumId w:val="14"/>
  </w:num>
  <w:num w:numId="33" w16cid:durableId="1894385298">
    <w:abstractNumId w:val="21"/>
  </w:num>
  <w:num w:numId="34" w16cid:durableId="1622807138">
    <w:abstractNumId w:val="28"/>
  </w:num>
  <w:num w:numId="35" w16cid:durableId="1819034537">
    <w:abstractNumId w:val="10"/>
  </w:num>
  <w:num w:numId="36" w16cid:durableId="1031419857">
    <w:abstractNumId w:val="17"/>
  </w:num>
  <w:num w:numId="37" w16cid:durableId="79110701">
    <w:abstractNumId w:val="11"/>
  </w:num>
  <w:num w:numId="38" w16cid:durableId="1546794592">
    <w:abstractNumId w:val="0"/>
  </w:num>
  <w:num w:numId="39" w16cid:durableId="742725156">
    <w:abstractNumId w:val="24"/>
  </w:num>
  <w:num w:numId="40" w16cid:durableId="1292250217">
    <w:abstractNumId w:val="7"/>
  </w:num>
  <w:num w:numId="41" w16cid:durableId="1489639004">
    <w:abstractNumId w:val="1"/>
  </w:num>
  <w:num w:numId="42" w16cid:durableId="1994530382">
    <w:abstractNumId w:val="27"/>
  </w:num>
  <w:num w:numId="43" w16cid:durableId="10377012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657"/>
    <w:rsid w:val="0000084A"/>
    <w:rsid w:val="00001586"/>
    <w:rsid w:val="0000293E"/>
    <w:rsid w:val="00002A68"/>
    <w:rsid w:val="00006D78"/>
    <w:rsid w:val="00010D5D"/>
    <w:rsid w:val="00014535"/>
    <w:rsid w:val="00014586"/>
    <w:rsid w:val="0001472F"/>
    <w:rsid w:val="0002264E"/>
    <w:rsid w:val="00025209"/>
    <w:rsid w:val="000256C9"/>
    <w:rsid w:val="00026779"/>
    <w:rsid w:val="00027B1A"/>
    <w:rsid w:val="00036B52"/>
    <w:rsid w:val="00040F1A"/>
    <w:rsid w:val="00040F8C"/>
    <w:rsid w:val="000458B6"/>
    <w:rsid w:val="000475D9"/>
    <w:rsid w:val="000604F0"/>
    <w:rsid w:val="00060589"/>
    <w:rsid w:val="00062645"/>
    <w:rsid w:val="000643A3"/>
    <w:rsid w:val="00064D0F"/>
    <w:rsid w:val="00066173"/>
    <w:rsid w:val="00067BCA"/>
    <w:rsid w:val="000713FC"/>
    <w:rsid w:val="00075FD1"/>
    <w:rsid w:val="00076158"/>
    <w:rsid w:val="000804F3"/>
    <w:rsid w:val="000821D2"/>
    <w:rsid w:val="00095C0C"/>
    <w:rsid w:val="000A2062"/>
    <w:rsid w:val="000A70E1"/>
    <w:rsid w:val="000A777B"/>
    <w:rsid w:val="000B31AA"/>
    <w:rsid w:val="000B52D7"/>
    <w:rsid w:val="000B6355"/>
    <w:rsid w:val="000B7829"/>
    <w:rsid w:val="000C353A"/>
    <w:rsid w:val="000C451A"/>
    <w:rsid w:val="000D309B"/>
    <w:rsid w:val="000D6925"/>
    <w:rsid w:val="000E0FBB"/>
    <w:rsid w:val="000E3B18"/>
    <w:rsid w:val="000E4A57"/>
    <w:rsid w:val="000F0102"/>
    <w:rsid w:val="000F2037"/>
    <w:rsid w:val="000F37FC"/>
    <w:rsid w:val="000F4C09"/>
    <w:rsid w:val="000F6330"/>
    <w:rsid w:val="00101E07"/>
    <w:rsid w:val="00104172"/>
    <w:rsid w:val="001052C2"/>
    <w:rsid w:val="00107366"/>
    <w:rsid w:val="00114F1A"/>
    <w:rsid w:val="0012153D"/>
    <w:rsid w:val="00122839"/>
    <w:rsid w:val="0012463B"/>
    <w:rsid w:val="00130E66"/>
    <w:rsid w:val="0013261D"/>
    <w:rsid w:val="00133BD6"/>
    <w:rsid w:val="001354D6"/>
    <w:rsid w:val="00135A46"/>
    <w:rsid w:val="00137AEE"/>
    <w:rsid w:val="00137ED4"/>
    <w:rsid w:val="0014144B"/>
    <w:rsid w:val="001438AB"/>
    <w:rsid w:val="00144366"/>
    <w:rsid w:val="00145903"/>
    <w:rsid w:val="00146433"/>
    <w:rsid w:val="001474AC"/>
    <w:rsid w:val="00151E82"/>
    <w:rsid w:val="0015633A"/>
    <w:rsid w:val="00157350"/>
    <w:rsid w:val="00164995"/>
    <w:rsid w:val="00165A6F"/>
    <w:rsid w:val="00165B03"/>
    <w:rsid w:val="00167F4A"/>
    <w:rsid w:val="00171A5E"/>
    <w:rsid w:val="00176BF1"/>
    <w:rsid w:val="00185C91"/>
    <w:rsid w:val="001868E1"/>
    <w:rsid w:val="00186AB6"/>
    <w:rsid w:val="00190036"/>
    <w:rsid w:val="00191778"/>
    <w:rsid w:val="00194B51"/>
    <w:rsid w:val="001954A2"/>
    <w:rsid w:val="00197132"/>
    <w:rsid w:val="00197DC7"/>
    <w:rsid w:val="001A3B90"/>
    <w:rsid w:val="001B1E14"/>
    <w:rsid w:val="001B3ADA"/>
    <w:rsid w:val="001B4970"/>
    <w:rsid w:val="001B5A3B"/>
    <w:rsid w:val="001C59C5"/>
    <w:rsid w:val="001C6838"/>
    <w:rsid w:val="001C7C7C"/>
    <w:rsid w:val="001D5525"/>
    <w:rsid w:val="001D6474"/>
    <w:rsid w:val="001E0728"/>
    <w:rsid w:val="001E1D0E"/>
    <w:rsid w:val="001E25E6"/>
    <w:rsid w:val="001E2AEB"/>
    <w:rsid w:val="001E3350"/>
    <w:rsid w:val="001F106E"/>
    <w:rsid w:val="001F228E"/>
    <w:rsid w:val="001F2680"/>
    <w:rsid w:val="002019DA"/>
    <w:rsid w:val="00201F63"/>
    <w:rsid w:val="002041B3"/>
    <w:rsid w:val="002048B8"/>
    <w:rsid w:val="00205635"/>
    <w:rsid w:val="00206AFB"/>
    <w:rsid w:val="0021175C"/>
    <w:rsid w:val="00211953"/>
    <w:rsid w:val="00221E8E"/>
    <w:rsid w:val="0022204D"/>
    <w:rsid w:val="00222F87"/>
    <w:rsid w:val="00223C0A"/>
    <w:rsid w:val="002368E4"/>
    <w:rsid w:val="00243E91"/>
    <w:rsid w:val="002442FE"/>
    <w:rsid w:val="0024516A"/>
    <w:rsid w:val="002477AA"/>
    <w:rsid w:val="0025037A"/>
    <w:rsid w:val="0026006F"/>
    <w:rsid w:val="0027483F"/>
    <w:rsid w:val="00276B17"/>
    <w:rsid w:val="00282B38"/>
    <w:rsid w:val="0028639B"/>
    <w:rsid w:val="00290ABF"/>
    <w:rsid w:val="002924B7"/>
    <w:rsid w:val="002924F6"/>
    <w:rsid w:val="002939A6"/>
    <w:rsid w:val="00295161"/>
    <w:rsid w:val="002952A8"/>
    <w:rsid w:val="00295E4C"/>
    <w:rsid w:val="00296EE9"/>
    <w:rsid w:val="002A0759"/>
    <w:rsid w:val="002A23CE"/>
    <w:rsid w:val="002A25CA"/>
    <w:rsid w:val="002A6B94"/>
    <w:rsid w:val="002B0104"/>
    <w:rsid w:val="002B09E0"/>
    <w:rsid w:val="002B5CFF"/>
    <w:rsid w:val="002B7B91"/>
    <w:rsid w:val="002C2FD1"/>
    <w:rsid w:val="002C36F7"/>
    <w:rsid w:val="002C4E57"/>
    <w:rsid w:val="002C508E"/>
    <w:rsid w:val="002D657A"/>
    <w:rsid w:val="002D6BB5"/>
    <w:rsid w:val="002E4AE7"/>
    <w:rsid w:val="002E5C16"/>
    <w:rsid w:val="002E5F31"/>
    <w:rsid w:val="002E6380"/>
    <w:rsid w:val="002E7326"/>
    <w:rsid w:val="002E79D9"/>
    <w:rsid w:val="002F2CB8"/>
    <w:rsid w:val="002F4374"/>
    <w:rsid w:val="002F758A"/>
    <w:rsid w:val="00300B33"/>
    <w:rsid w:val="003045DB"/>
    <w:rsid w:val="00307477"/>
    <w:rsid w:val="003128E5"/>
    <w:rsid w:val="00313C67"/>
    <w:rsid w:val="00314EFD"/>
    <w:rsid w:val="00320608"/>
    <w:rsid w:val="00321A5A"/>
    <w:rsid w:val="00322824"/>
    <w:rsid w:val="003233D3"/>
    <w:rsid w:val="00326141"/>
    <w:rsid w:val="00327052"/>
    <w:rsid w:val="0032717F"/>
    <w:rsid w:val="00327D8B"/>
    <w:rsid w:val="00332CA8"/>
    <w:rsid w:val="00333A31"/>
    <w:rsid w:val="0033446F"/>
    <w:rsid w:val="00335E7E"/>
    <w:rsid w:val="00346E4C"/>
    <w:rsid w:val="003521DB"/>
    <w:rsid w:val="00354207"/>
    <w:rsid w:val="0035761F"/>
    <w:rsid w:val="003619E2"/>
    <w:rsid w:val="00364E58"/>
    <w:rsid w:val="003669B9"/>
    <w:rsid w:val="00370686"/>
    <w:rsid w:val="00375060"/>
    <w:rsid w:val="00377AB2"/>
    <w:rsid w:val="00382BBC"/>
    <w:rsid w:val="003871B1"/>
    <w:rsid w:val="00387A5D"/>
    <w:rsid w:val="00387CBB"/>
    <w:rsid w:val="0039394B"/>
    <w:rsid w:val="00396594"/>
    <w:rsid w:val="003A074A"/>
    <w:rsid w:val="003A21C1"/>
    <w:rsid w:val="003A3CC5"/>
    <w:rsid w:val="003A4D50"/>
    <w:rsid w:val="003A4F40"/>
    <w:rsid w:val="003A758F"/>
    <w:rsid w:val="003B04FD"/>
    <w:rsid w:val="003B200B"/>
    <w:rsid w:val="003B3B2C"/>
    <w:rsid w:val="003B3F38"/>
    <w:rsid w:val="003B47D3"/>
    <w:rsid w:val="003B68A8"/>
    <w:rsid w:val="003C0625"/>
    <w:rsid w:val="003C7CE8"/>
    <w:rsid w:val="003D14E6"/>
    <w:rsid w:val="003D22D4"/>
    <w:rsid w:val="003D2F4F"/>
    <w:rsid w:val="003D448F"/>
    <w:rsid w:val="003D61E3"/>
    <w:rsid w:val="003E29C8"/>
    <w:rsid w:val="003E74CF"/>
    <w:rsid w:val="003F0A88"/>
    <w:rsid w:val="003F3480"/>
    <w:rsid w:val="00401D30"/>
    <w:rsid w:val="00406015"/>
    <w:rsid w:val="0041244A"/>
    <w:rsid w:val="004127B4"/>
    <w:rsid w:val="00413834"/>
    <w:rsid w:val="00424F15"/>
    <w:rsid w:val="004260C7"/>
    <w:rsid w:val="004420E2"/>
    <w:rsid w:val="00442670"/>
    <w:rsid w:val="00443004"/>
    <w:rsid w:val="004435B0"/>
    <w:rsid w:val="00444DFA"/>
    <w:rsid w:val="00451369"/>
    <w:rsid w:val="0045174C"/>
    <w:rsid w:val="00451A9C"/>
    <w:rsid w:val="004527F6"/>
    <w:rsid w:val="00453E8C"/>
    <w:rsid w:val="00454A4A"/>
    <w:rsid w:val="004653FF"/>
    <w:rsid w:val="0046657F"/>
    <w:rsid w:val="004669B6"/>
    <w:rsid w:val="00471472"/>
    <w:rsid w:val="0047201E"/>
    <w:rsid w:val="004748A7"/>
    <w:rsid w:val="00475192"/>
    <w:rsid w:val="004770A4"/>
    <w:rsid w:val="00477F06"/>
    <w:rsid w:val="00480194"/>
    <w:rsid w:val="00487CC5"/>
    <w:rsid w:val="00494D58"/>
    <w:rsid w:val="004A28EE"/>
    <w:rsid w:val="004A4B37"/>
    <w:rsid w:val="004A60F2"/>
    <w:rsid w:val="004B167A"/>
    <w:rsid w:val="004B5884"/>
    <w:rsid w:val="004B6166"/>
    <w:rsid w:val="004C0668"/>
    <w:rsid w:val="004D1C5E"/>
    <w:rsid w:val="004D31DE"/>
    <w:rsid w:val="004D7ADD"/>
    <w:rsid w:val="004E130D"/>
    <w:rsid w:val="004E3CA5"/>
    <w:rsid w:val="004F137E"/>
    <w:rsid w:val="004F2330"/>
    <w:rsid w:val="004F4E72"/>
    <w:rsid w:val="004F530E"/>
    <w:rsid w:val="004F7FA7"/>
    <w:rsid w:val="00500D94"/>
    <w:rsid w:val="00500DA3"/>
    <w:rsid w:val="00501EAE"/>
    <w:rsid w:val="0050226B"/>
    <w:rsid w:val="005028D2"/>
    <w:rsid w:val="00505302"/>
    <w:rsid w:val="00506BED"/>
    <w:rsid w:val="00506CD8"/>
    <w:rsid w:val="00510AB3"/>
    <w:rsid w:val="00510C41"/>
    <w:rsid w:val="0051177D"/>
    <w:rsid w:val="005204F1"/>
    <w:rsid w:val="00520F56"/>
    <w:rsid w:val="005260D1"/>
    <w:rsid w:val="0052637C"/>
    <w:rsid w:val="00526A57"/>
    <w:rsid w:val="00526EA8"/>
    <w:rsid w:val="005341B6"/>
    <w:rsid w:val="00536CC0"/>
    <w:rsid w:val="00543636"/>
    <w:rsid w:val="00545B32"/>
    <w:rsid w:val="00546346"/>
    <w:rsid w:val="005467A0"/>
    <w:rsid w:val="00546E3F"/>
    <w:rsid w:val="00550823"/>
    <w:rsid w:val="0055142B"/>
    <w:rsid w:val="00551A53"/>
    <w:rsid w:val="00553823"/>
    <w:rsid w:val="00553F4D"/>
    <w:rsid w:val="00556376"/>
    <w:rsid w:val="0056052B"/>
    <w:rsid w:val="0056297B"/>
    <w:rsid w:val="005711CF"/>
    <w:rsid w:val="0057158A"/>
    <w:rsid w:val="00573871"/>
    <w:rsid w:val="00575420"/>
    <w:rsid w:val="0057639C"/>
    <w:rsid w:val="00577CB4"/>
    <w:rsid w:val="00581E32"/>
    <w:rsid w:val="00583F55"/>
    <w:rsid w:val="00586D65"/>
    <w:rsid w:val="00592DBF"/>
    <w:rsid w:val="00594CE4"/>
    <w:rsid w:val="0059607B"/>
    <w:rsid w:val="0059667F"/>
    <w:rsid w:val="005A64C9"/>
    <w:rsid w:val="005A723C"/>
    <w:rsid w:val="005B403D"/>
    <w:rsid w:val="005B46B8"/>
    <w:rsid w:val="005B5060"/>
    <w:rsid w:val="005B5AE7"/>
    <w:rsid w:val="005C01D3"/>
    <w:rsid w:val="005C4A49"/>
    <w:rsid w:val="005C61FD"/>
    <w:rsid w:val="005C6495"/>
    <w:rsid w:val="005D04FC"/>
    <w:rsid w:val="005D2FB5"/>
    <w:rsid w:val="005D423E"/>
    <w:rsid w:val="005D55C0"/>
    <w:rsid w:val="005D6795"/>
    <w:rsid w:val="005D743E"/>
    <w:rsid w:val="005E292B"/>
    <w:rsid w:val="005E29F9"/>
    <w:rsid w:val="005E52A0"/>
    <w:rsid w:val="005F0EC9"/>
    <w:rsid w:val="005F16CF"/>
    <w:rsid w:val="005F296B"/>
    <w:rsid w:val="005F636A"/>
    <w:rsid w:val="005F77D3"/>
    <w:rsid w:val="00606317"/>
    <w:rsid w:val="0061023C"/>
    <w:rsid w:val="006114F7"/>
    <w:rsid w:val="00612653"/>
    <w:rsid w:val="00612DFD"/>
    <w:rsid w:val="00615AA2"/>
    <w:rsid w:val="00616F9C"/>
    <w:rsid w:val="00617B4A"/>
    <w:rsid w:val="00621004"/>
    <w:rsid w:val="00622707"/>
    <w:rsid w:val="006228FC"/>
    <w:rsid w:val="00623EEF"/>
    <w:rsid w:val="006276E5"/>
    <w:rsid w:val="0063485F"/>
    <w:rsid w:val="00635052"/>
    <w:rsid w:val="00635456"/>
    <w:rsid w:val="00635718"/>
    <w:rsid w:val="00635A63"/>
    <w:rsid w:val="0063608D"/>
    <w:rsid w:val="00643923"/>
    <w:rsid w:val="0064570F"/>
    <w:rsid w:val="00645AE8"/>
    <w:rsid w:val="0065016C"/>
    <w:rsid w:val="00653BB1"/>
    <w:rsid w:val="0065416E"/>
    <w:rsid w:val="0065498E"/>
    <w:rsid w:val="00655BB0"/>
    <w:rsid w:val="006614FF"/>
    <w:rsid w:val="006622B2"/>
    <w:rsid w:val="00664DAF"/>
    <w:rsid w:val="00664E07"/>
    <w:rsid w:val="00665237"/>
    <w:rsid w:val="00665512"/>
    <w:rsid w:val="00665DCA"/>
    <w:rsid w:val="00672036"/>
    <w:rsid w:val="006726C0"/>
    <w:rsid w:val="00675297"/>
    <w:rsid w:val="00676650"/>
    <w:rsid w:val="00676DB3"/>
    <w:rsid w:val="00680770"/>
    <w:rsid w:val="006818C1"/>
    <w:rsid w:val="006864C4"/>
    <w:rsid w:val="00692393"/>
    <w:rsid w:val="006A26E2"/>
    <w:rsid w:val="006A3A6C"/>
    <w:rsid w:val="006A405F"/>
    <w:rsid w:val="006A549E"/>
    <w:rsid w:val="006A64C5"/>
    <w:rsid w:val="006B0ACD"/>
    <w:rsid w:val="006C0882"/>
    <w:rsid w:val="006C0E0D"/>
    <w:rsid w:val="006C62C9"/>
    <w:rsid w:val="006C7600"/>
    <w:rsid w:val="006D0503"/>
    <w:rsid w:val="006D3273"/>
    <w:rsid w:val="006D32B7"/>
    <w:rsid w:val="006D60EC"/>
    <w:rsid w:val="006D622E"/>
    <w:rsid w:val="006E2A5D"/>
    <w:rsid w:val="006E3FBF"/>
    <w:rsid w:val="006E6AE7"/>
    <w:rsid w:val="006F00A6"/>
    <w:rsid w:val="006F2AA8"/>
    <w:rsid w:val="006F5ACE"/>
    <w:rsid w:val="0070216F"/>
    <w:rsid w:val="00705BFC"/>
    <w:rsid w:val="007068FD"/>
    <w:rsid w:val="00706AD7"/>
    <w:rsid w:val="00706B05"/>
    <w:rsid w:val="00706BB1"/>
    <w:rsid w:val="0070767D"/>
    <w:rsid w:val="00713DDC"/>
    <w:rsid w:val="00715135"/>
    <w:rsid w:val="00716AF5"/>
    <w:rsid w:val="00721BBB"/>
    <w:rsid w:val="00726C3D"/>
    <w:rsid w:val="00730A22"/>
    <w:rsid w:val="0073179E"/>
    <w:rsid w:val="007360BB"/>
    <w:rsid w:val="007374DF"/>
    <w:rsid w:val="0074000F"/>
    <w:rsid w:val="00741574"/>
    <w:rsid w:val="007434E7"/>
    <w:rsid w:val="00743D86"/>
    <w:rsid w:val="00754185"/>
    <w:rsid w:val="00756727"/>
    <w:rsid w:val="00756EE2"/>
    <w:rsid w:val="007577F0"/>
    <w:rsid w:val="00757B6A"/>
    <w:rsid w:val="00761000"/>
    <w:rsid w:val="0076127A"/>
    <w:rsid w:val="007612AD"/>
    <w:rsid w:val="007614C9"/>
    <w:rsid w:val="00764545"/>
    <w:rsid w:val="007659BF"/>
    <w:rsid w:val="007704A8"/>
    <w:rsid w:val="00772A25"/>
    <w:rsid w:val="00776347"/>
    <w:rsid w:val="00781AA0"/>
    <w:rsid w:val="00781F45"/>
    <w:rsid w:val="00786429"/>
    <w:rsid w:val="00791121"/>
    <w:rsid w:val="00791D16"/>
    <w:rsid w:val="0079518F"/>
    <w:rsid w:val="00796577"/>
    <w:rsid w:val="007A000B"/>
    <w:rsid w:val="007A4B33"/>
    <w:rsid w:val="007A5CC2"/>
    <w:rsid w:val="007B03D9"/>
    <w:rsid w:val="007B2A77"/>
    <w:rsid w:val="007B46EC"/>
    <w:rsid w:val="007C0D1F"/>
    <w:rsid w:val="007C6620"/>
    <w:rsid w:val="007C6CA6"/>
    <w:rsid w:val="007D10A3"/>
    <w:rsid w:val="007D26C5"/>
    <w:rsid w:val="007D54DD"/>
    <w:rsid w:val="007D746A"/>
    <w:rsid w:val="007E1F68"/>
    <w:rsid w:val="007E320B"/>
    <w:rsid w:val="007E4125"/>
    <w:rsid w:val="007E4731"/>
    <w:rsid w:val="007E7F3C"/>
    <w:rsid w:val="007F0574"/>
    <w:rsid w:val="007F1E20"/>
    <w:rsid w:val="007F6451"/>
    <w:rsid w:val="007F6EF3"/>
    <w:rsid w:val="007F700C"/>
    <w:rsid w:val="007F7F0C"/>
    <w:rsid w:val="008016AF"/>
    <w:rsid w:val="00801757"/>
    <w:rsid w:val="00803BC9"/>
    <w:rsid w:val="00805BB6"/>
    <w:rsid w:val="00807871"/>
    <w:rsid w:val="0081348E"/>
    <w:rsid w:val="00815649"/>
    <w:rsid w:val="008161ED"/>
    <w:rsid w:val="00817C98"/>
    <w:rsid w:val="00822DBE"/>
    <w:rsid w:val="00832CD2"/>
    <w:rsid w:val="008349A0"/>
    <w:rsid w:val="00834BE4"/>
    <w:rsid w:val="00836C1E"/>
    <w:rsid w:val="008438FB"/>
    <w:rsid w:val="0085439D"/>
    <w:rsid w:val="00854A11"/>
    <w:rsid w:val="00856B85"/>
    <w:rsid w:val="00857945"/>
    <w:rsid w:val="00864E6E"/>
    <w:rsid w:val="00865AC6"/>
    <w:rsid w:val="0087226E"/>
    <w:rsid w:val="008735A3"/>
    <w:rsid w:val="0087386A"/>
    <w:rsid w:val="00874E96"/>
    <w:rsid w:val="00876640"/>
    <w:rsid w:val="0088472C"/>
    <w:rsid w:val="00884FDD"/>
    <w:rsid w:val="008863A2"/>
    <w:rsid w:val="00887912"/>
    <w:rsid w:val="00892843"/>
    <w:rsid w:val="008928EC"/>
    <w:rsid w:val="00892F4F"/>
    <w:rsid w:val="00895C94"/>
    <w:rsid w:val="008968BA"/>
    <w:rsid w:val="00897F57"/>
    <w:rsid w:val="008A1AD5"/>
    <w:rsid w:val="008A452F"/>
    <w:rsid w:val="008A65FA"/>
    <w:rsid w:val="008B006C"/>
    <w:rsid w:val="008B43C1"/>
    <w:rsid w:val="008B623F"/>
    <w:rsid w:val="008C20CB"/>
    <w:rsid w:val="008C2663"/>
    <w:rsid w:val="008C27F1"/>
    <w:rsid w:val="008C386E"/>
    <w:rsid w:val="008C3EE2"/>
    <w:rsid w:val="008C4FEE"/>
    <w:rsid w:val="008C5BB0"/>
    <w:rsid w:val="008C6A18"/>
    <w:rsid w:val="008D0953"/>
    <w:rsid w:val="008D1C15"/>
    <w:rsid w:val="008D7D17"/>
    <w:rsid w:val="008E0A26"/>
    <w:rsid w:val="008E1065"/>
    <w:rsid w:val="008E5673"/>
    <w:rsid w:val="008F2EAB"/>
    <w:rsid w:val="008F2F40"/>
    <w:rsid w:val="008F7CF9"/>
    <w:rsid w:val="00901ED6"/>
    <w:rsid w:val="009027A3"/>
    <w:rsid w:val="00902DE1"/>
    <w:rsid w:val="00905074"/>
    <w:rsid w:val="00905100"/>
    <w:rsid w:val="0090773E"/>
    <w:rsid w:val="009100A0"/>
    <w:rsid w:val="00910299"/>
    <w:rsid w:val="0091143F"/>
    <w:rsid w:val="00911A5F"/>
    <w:rsid w:val="009162E9"/>
    <w:rsid w:val="009167A9"/>
    <w:rsid w:val="00920C7E"/>
    <w:rsid w:val="00921587"/>
    <w:rsid w:val="00924ADC"/>
    <w:rsid w:val="00924FD9"/>
    <w:rsid w:val="009364E6"/>
    <w:rsid w:val="009368EF"/>
    <w:rsid w:val="009406B2"/>
    <w:rsid w:val="0094211F"/>
    <w:rsid w:val="00945EBA"/>
    <w:rsid w:val="00946F0E"/>
    <w:rsid w:val="00946F81"/>
    <w:rsid w:val="009520FE"/>
    <w:rsid w:val="00954613"/>
    <w:rsid w:val="009553FB"/>
    <w:rsid w:val="00955EE0"/>
    <w:rsid w:val="009610D6"/>
    <w:rsid w:val="0097097D"/>
    <w:rsid w:val="009725D9"/>
    <w:rsid w:val="009751D9"/>
    <w:rsid w:val="00982BE2"/>
    <w:rsid w:val="0098317A"/>
    <w:rsid w:val="009832AF"/>
    <w:rsid w:val="00985ACF"/>
    <w:rsid w:val="009866B9"/>
    <w:rsid w:val="00992DC3"/>
    <w:rsid w:val="00993DAE"/>
    <w:rsid w:val="00994F80"/>
    <w:rsid w:val="00996D31"/>
    <w:rsid w:val="009A041F"/>
    <w:rsid w:val="009A1B1E"/>
    <w:rsid w:val="009A1FE4"/>
    <w:rsid w:val="009A261C"/>
    <w:rsid w:val="009A3169"/>
    <w:rsid w:val="009A3B18"/>
    <w:rsid w:val="009B0AC6"/>
    <w:rsid w:val="009B1F76"/>
    <w:rsid w:val="009B499C"/>
    <w:rsid w:val="009B5D7D"/>
    <w:rsid w:val="009B7123"/>
    <w:rsid w:val="009C1DF0"/>
    <w:rsid w:val="009C4004"/>
    <w:rsid w:val="009D250B"/>
    <w:rsid w:val="009D256F"/>
    <w:rsid w:val="009D4C4D"/>
    <w:rsid w:val="009D69B0"/>
    <w:rsid w:val="009D7CD7"/>
    <w:rsid w:val="009E379C"/>
    <w:rsid w:val="009E586B"/>
    <w:rsid w:val="009F000A"/>
    <w:rsid w:val="009F002D"/>
    <w:rsid w:val="009F1695"/>
    <w:rsid w:val="009F5425"/>
    <w:rsid w:val="009F70E6"/>
    <w:rsid w:val="00A00EC3"/>
    <w:rsid w:val="00A0641B"/>
    <w:rsid w:val="00A105A9"/>
    <w:rsid w:val="00A10D43"/>
    <w:rsid w:val="00A112CC"/>
    <w:rsid w:val="00A12740"/>
    <w:rsid w:val="00A134DA"/>
    <w:rsid w:val="00A16097"/>
    <w:rsid w:val="00A2052A"/>
    <w:rsid w:val="00A20C36"/>
    <w:rsid w:val="00A26F7E"/>
    <w:rsid w:val="00A278B7"/>
    <w:rsid w:val="00A27DDA"/>
    <w:rsid w:val="00A3355F"/>
    <w:rsid w:val="00A3639D"/>
    <w:rsid w:val="00A36E57"/>
    <w:rsid w:val="00A42E13"/>
    <w:rsid w:val="00A43D3A"/>
    <w:rsid w:val="00A45B37"/>
    <w:rsid w:val="00A46CBB"/>
    <w:rsid w:val="00A473DC"/>
    <w:rsid w:val="00A507AB"/>
    <w:rsid w:val="00A533A5"/>
    <w:rsid w:val="00A5379F"/>
    <w:rsid w:val="00A54317"/>
    <w:rsid w:val="00A569F4"/>
    <w:rsid w:val="00A56C75"/>
    <w:rsid w:val="00A61188"/>
    <w:rsid w:val="00A62F3F"/>
    <w:rsid w:val="00A712D6"/>
    <w:rsid w:val="00A74A37"/>
    <w:rsid w:val="00A76035"/>
    <w:rsid w:val="00A808B6"/>
    <w:rsid w:val="00A808C6"/>
    <w:rsid w:val="00A80F5F"/>
    <w:rsid w:val="00A83D4B"/>
    <w:rsid w:val="00A85C8C"/>
    <w:rsid w:val="00A917A8"/>
    <w:rsid w:val="00A9312F"/>
    <w:rsid w:val="00AA3DD2"/>
    <w:rsid w:val="00AA5876"/>
    <w:rsid w:val="00AB2EDB"/>
    <w:rsid w:val="00AB31C6"/>
    <w:rsid w:val="00AB40B1"/>
    <w:rsid w:val="00AB48E9"/>
    <w:rsid w:val="00AB48ED"/>
    <w:rsid w:val="00AB4BD7"/>
    <w:rsid w:val="00AB5CE1"/>
    <w:rsid w:val="00AB6810"/>
    <w:rsid w:val="00AB6BFD"/>
    <w:rsid w:val="00AB72B5"/>
    <w:rsid w:val="00AB77D0"/>
    <w:rsid w:val="00AC34F1"/>
    <w:rsid w:val="00AC3FAE"/>
    <w:rsid w:val="00AC5D76"/>
    <w:rsid w:val="00AC6C90"/>
    <w:rsid w:val="00AC7CD5"/>
    <w:rsid w:val="00AD311D"/>
    <w:rsid w:val="00AD31F7"/>
    <w:rsid w:val="00AD394D"/>
    <w:rsid w:val="00AD4D6E"/>
    <w:rsid w:val="00AD653F"/>
    <w:rsid w:val="00AD6DE3"/>
    <w:rsid w:val="00AE00F5"/>
    <w:rsid w:val="00AE040A"/>
    <w:rsid w:val="00AE61C0"/>
    <w:rsid w:val="00AF118F"/>
    <w:rsid w:val="00AF1586"/>
    <w:rsid w:val="00AF20A7"/>
    <w:rsid w:val="00AF233D"/>
    <w:rsid w:val="00AF31D4"/>
    <w:rsid w:val="00AF4806"/>
    <w:rsid w:val="00B03B3A"/>
    <w:rsid w:val="00B0627D"/>
    <w:rsid w:val="00B0760A"/>
    <w:rsid w:val="00B1140A"/>
    <w:rsid w:val="00B138C7"/>
    <w:rsid w:val="00B16CDF"/>
    <w:rsid w:val="00B17654"/>
    <w:rsid w:val="00B20C40"/>
    <w:rsid w:val="00B26A0E"/>
    <w:rsid w:val="00B27555"/>
    <w:rsid w:val="00B30CDA"/>
    <w:rsid w:val="00B30E66"/>
    <w:rsid w:val="00B32487"/>
    <w:rsid w:val="00B32A2B"/>
    <w:rsid w:val="00B33091"/>
    <w:rsid w:val="00B335C9"/>
    <w:rsid w:val="00B42395"/>
    <w:rsid w:val="00B4277F"/>
    <w:rsid w:val="00B438AA"/>
    <w:rsid w:val="00B45C7D"/>
    <w:rsid w:val="00B45D62"/>
    <w:rsid w:val="00B503A5"/>
    <w:rsid w:val="00B545DF"/>
    <w:rsid w:val="00B54FBB"/>
    <w:rsid w:val="00B55E15"/>
    <w:rsid w:val="00B60BBB"/>
    <w:rsid w:val="00B617A4"/>
    <w:rsid w:val="00B61E04"/>
    <w:rsid w:val="00B70EF5"/>
    <w:rsid w:val="00B72013"/>
    <w:rsid w:val="00B72CF9"/>
    <w:rsid w:val="00B72F95"/>
    <w:rsid w:val="00B7363E"/>
    <w:rsid w:val="00B74F85"/>
    <w:rsid w:val="00B75DCF"/>
    <w:rsid w:val="00B77C53"/>
    <w:rsid w:val="00B82ECF"/>
    <w:rsid w:val="00B82F6B"/>
    <w:rsid w:val="00B8369D"/>
    <w:rsid w:val="00B85370"/>
    <w:rsid w:val="00B85CD5"/>
    <w:rsid w:val="00B8633B"/>
    <w:rsid w:val="00B871D1"/>
    <w:rsid w:val="00B91CAB"/>
    <w:rsid w:val="00B92427"/>
    <w:rsid w:val="00B929FA"/>
    <w:rsid w:val="00B94C82"/>
    <w:rsid w:val="00B95EA1"/>
    <w:rsid w:val="00B967C7"/>
    <w:rsid w:val="00BA1175"/>
    <w:rsid w:val="00BA2311"/>
    <w:rsid w:val="00BA3A78"/>
    <w:rsid w:val="00BA4A1E"/>
    <w:rsid w:val="00BB0EB8"/>
    <w:rsid w:val="00BB1338"/>
    <w:rsid w:val="00BB13BD"/>
    <w:rsid w:val="00BC2279"/>
    <w:rsid w:val="00BC2371"/>
    <w:rsid w:val="00BC56F6"/>
    <w:rsid w:val="00BC6EA3"/>
    <w:rsid w:val="00BD0FD8"/>
    <w:rsid w:val="00BD1156"/>
    <w:rsid w:val="00BD1AA4"/>
    <w:rsid w:val="00BD4ACC"/>
    <w:rsid w:val="00BD548E"/>
    <w:rsid w:val="00BD79CD"/>
    <w:rsid w:val="00BE100B"/>
    <w:rsid w:val="00BF120D"/>
    <w:rsid w:val="00BF15F1"/>
    <w:rsid w:val="00BF2AA1"/>
    <w:rsid w:val="00BF463E"/>
    <w:rsid w:val="00BF56B3"/>
    <w:rsid w:val="00BF672C"/>
    <w:rsid w:val="00C03709"/>
    <w:rsid w:val="00C03F59"/>
    <w:rsid w:val="00C04BA3"/>
    <w:rsid w:val="00C04BB2"/>
    <w:rsid w:val="00C050D7"/>
    <w:rsid w:val="00C055A6"/>
    <w:rsid w:val="00C05761"/>
    <w:rsid w:val="00C11923"/>
    <w:rsid w:val="00C119DA"/>
    <w:rsid w:val="00C17B27"/>
    <w:rsid w:val="00C31124"/>
    <w:rsid w:val="00C314F0"/>
    <w:rsid w:val="00C33BBE"/>
    <w:rsid w:val="00C36002"/>
    <w:rsid w:val="00C45D9E"/>
    <w:rsid w:val="00C46758"/>
    <w:rsid w:val="00C47392"/>
    <w:rsid w:val="00C554E6"/>
    <w:rsid w:val="00C5670C"/>
    <w:rsid w:val="00C61F03"/>
    <w:rsid w:val="00C64CD2"/>
    <w:rsid w:val="00C65AAB"/>
    <w:rsid w:val="00C66A66"/>
    <w:rsid w:val="00C7210E"/>
    <w:rsid w:val="00C740EE"/>
    <w:rsid w:val="00C7426F"/>
    <w:rsid w:val="00C846AA"/>
    <w:rsid w:val="00C84AA9"/>
    <w:rsid w:val="00C8576B"/>
    <w:rsid w:val="00C85F51"/>
    <w:rsid w:val="00C90291"/>
    <w:rsid w:val="00C91E77"/>
    <w:rsid w:val="00C96C2E"/>
    <w:rsid w:val="00C97700"/>
    <w:rsid w:val="00CA3B61"/>
    <w:rsid w:val="00CA6791"/>
    <w:rsid w:val="00CA687A"/>
    <w:rsid w:val="00CA7C02"/>
    <w:rsid w:val="00CB0A21"/>
    <w:rsid w:val="00CB10CD"/>
    <w:rsid w:val="00CB2218"/>
    <w:rsid w:val="00CB384F"/>
    <w:rsid w:val="00CB5F33"/>
    <w:rsid w:val="00CC3A32"/>
    <w:rsid w:val="00CC3E5F"/>
    <w:rsid w:val="00CD1397"/>
    <w:rsid w:val="00CD2362"/>
    <w:rsid w:val="00CD36AD"/>
    <w:rsid w:val="00CD56FE"/>
    <w:rsid w:val="00CD5956"/>
    <w:rsid w:val="00CD79CA"/>
    <w:rsid w:val="00CE03F4"/>
    <w:rsid w:val="00CE04DB"/>
    <w:rsid w:val="00CE0AAD"/>
    <w:rsid w:val="00CE2186"/>
    <w:rsid w:val="00CE3078"/>
    <w:rsid w:val="00CE36FA"/>
    <w:rsid w:val="00CE4087"/>
    <w:rsid w:val="00CF03BB"/>
    <w:rsid w:val="00CF1A80"/>
    <w:rsid w:val="00CF1FFA"/>
    <w:rsid w:val="00CF23AC"/>
    <w:rsid w:val="00CF45ED"/>
    <w:rsid w:val="00CF4F9D"/>
    <w:rsid w:val="00D0170B"/>
    <w:rsid w:val="00D01B03"/>
    <w:rsid w:val="00D02B7B"/>
    <w:rsid w:val="00D039E8"/>
    <w:rsid w:val="00D03B3F"/>
    <w:rsid w:val="00D03E57"/>
    <w:rsid w:val="00D1421E"/>
    <w:rsid w:val="00D14EC6"/>
    <w:rsid w:val="00D15E32"/>
    <w:rsid w:val="00D172B5"/>
    <w:rsid w:val="00D172EE"/>
    <w:rsid w:val="00D213E0"/>
    <w:rsid w:val="00D215EB"/>
    <w:rsid w:val="00D23F61"/>
    <w:rsid w:val="00D260CE"/>
    <w:rsid w:val="00D2733B"/>
    <w:rsid w:val="00D31843"/>
    <w:rsid w:val="00D31A92"/>
    <w:rsid w:val="00D32288"/>
    <w:rsid w:val="00D3344B"/>
    <w:rsid w:val="00D414B2"/>
    <w:rsid w:val="00D41BFC"/>
    <w:rsid w:val="00D423B4"/>
    <w:rsid w:val="00D46429"/>
    <w:rsid w:val="00D466D5"/>
    <w:rsid w:val="00D5018C"/>
    <w:rsid w:val="00D505C4"/>
    <w:rsid w:val="00D51BAB"/>
    <w:rsid w:val="00D530DC"/>
    <w:rsid w:val="00D53598"/>
    <w:rsid w:val="00D54483"/>
    <w:rsid w:val="00D55C8C"/>
    <w:rsid w:val="00D57DB2"/>
    <w:rsid w:val="00D60DC5"/>
    <w:rsid w:val="00D64119"/>
    <w:rsid w:val="00D66664"/>
    <w:rsid w:val="00D76CED"/>
    <w:rsid w:val="00D7703C"/>
    <w:rsid w:val="00D7746E"/>
    <w:rsid w:val="00D837B7"/>
    <w:rsid w:val="00D84283"/>
    <w:rsid w:val="00D84469"/>
    <w:rsid w:val="00D915E5"/>
    <w:rsid w:val="00D93163"/>
    <w:rsid w:val="00D9420F"/>
    <w:rsid w:val="00D954A6"/>
    <w:rsid w:val="00DA502B"/>
    <w:rsid w:val="00DA5E97"/>
    <w:rsid w:val="00DC09E5"/>
    <w:rsid w:val="00DC526B"/>
    <w:rsid w:val="00DC5334"/>
    <w:rsid w:val="00DD0AC4"/>
    <w:rsid w:val="00DD0B5A"/>
    <w:rsid w:val="00DD6741"/>
    <w:rsid w:val="00DE18CA"/>
    <w:rsid w:val="00DE6018"/>
    <w:rsid w:val="00DF19E7"/>
    <w:rsid w:val="00DF28D5"/>
    <w:rsid w:val="00DF35BC"/>
    <w:rsid w:val="00DF5D2F"/>
    <w:rsid w:val="00DF727D"/>
    <w:rsid w:val="00E00B48"/>
    <w:rsid w:val="00E01751"/>
    <w:rsid w:val="00E0429F"/>
    <w:rsid w:val="00E051B8"/>
    <w:rsid w:val="00E05221"/>
    <w:rsid w:val="00E05609"/>
    <w:rsid w:val="00E07257"/>
    <w:rsid w:val="00E11302"/>
    <w:rsid w:val="00E128C9"/>
    <w:rsid w:val="00E133CD"/>
    <w:rsid w:val="00E1400F"/>
    <w:rsid w:val="00E163B5"/>
    <w:rsid w:val="00E21421"/>
    <w:rsid w:val="00E2310D"/>
    <w:rsid w:val="00E25280"/>
    <w:rsid w:val="00E26AC6"/>
    <w:rsid w:val="00E27A15"/>
    <w:rsid w:val="00E30D34"/>
    <w:rsid w:val="00E30D67"/>
    <w:rsid w:val="00E3311A"/>
    <w:rsid w:val="00E342F9"/>
    <w:rsid w:val="00E345E3"/>
    <w:rsid w:val="00E34850"/>
    <w:rsid w:val="00E34E12"/>
    <w:rsid w:val="00E35586"/>
    <w:rsid w:val="00E35866"/>
    <w:rsid w:val="00E3641D"/>
    <w:rsid w:val="00E4094C"/>
    <w:rsid w:val="00E4153C"/>
    <w:rsid w:val="00E433EB"/>
    <w:rsid w:val="00E44815"/>
    <w:rsid w:val="00E45A62"/>
    <w:rsid w:val="00E47B11"/>
    <w:rsid w:val="00E506A5"/>
    <w:rsid w:val="00E51C31"/>
    <w:rsid w:val="00E51CDA"/>
    <w:rsid w:val="00E52855"/>
    <w:rsid w:val="00E541F6"/>
    <w:rsid w:val="00E5461D"/>
    <w:rsid w:val="00E62E54"/>
    <w:rsid w:val="00E75B6F"/>
    <w:rsid w:val="00E763AB"/>
    <w:rsid w:val="00E77244"/>
    <w:rsid w:val="00E77A26"/>
    <w:rsid w:val="00E77F05"/>
    <w:rsid w:val="00E80B90"/>
    <w:rsid w:val="00E8550C"/>
    <w:rsid w:val="00E869E9"/>
    <w:rsid w:val="00E86A2D"/>
    <w:rsid w:val="00E957DA"/>
    <w:rsid w:val="00E96858"/>
    <w:rsid w:val="00E96FD4"/>
    <w:rsid w:val="00EA0A0B"/>
    <w:rsid w:val="00EA2A03"/>
    <w:rsid w:val="00EA368D"/>
    <w:rsid w:val="00EA3DB3"/>
    <w:rsid w:val="00EA44DC"/>
    <w:rsid w:val="00EA68C7"/>
    <w:rsid w:val="00EB13CD"/>
    <w:rsid w:val="00EB1C1A"/>
    <w:rsid w:val="00EB671D"/>
    <w:rsid w:val="00EC02E0"/>
    <w:rsid w:val="00EC16CD"/>
    <w:rsid w:val="00EC3171"/>
    <w:rsid w:val="00EC335C"/>
    <w:rsid w:val="00EC3F3F"/>
    <w:rsid w:val="00EC4C84"/>
    <w:rsid w:val="00EC769F"/>
    <w:rsid w:val="00ED1657"/>
    <w:rsid w:val="00ED66E5"/>
    <w:rsid w:val="00EE0B0C"/>
    <w:rsid w:val="00EE1CFE"/>
    <w:rsid w:val="00EE25A6"/>
    <w:rsid w:val="00EF1554"/>
    <w:rsid w:val="00EF170F"/>
    <w:rsid w:val="00EF2F61"/>
    <w:rsid w:val="00EF5E24"/>
    <w:rsid w:val="00EF68A3"/>
    <w:rsid w:val="00EF6CF6"/>
    <w:rsid w:val="00EF6D3D"/>
    <w:rsid w:val="00EF7387"/>
    <w:rsid w:val="00F0008B"/>
    <w:rsid w:val="00F05ACE"/>
    <w:rsid w:val="00F06229"/>
    <w:rsid w:val="00F068C8"/>
    <w:rsid w:val="00F078CD"/>
    <w:rsid w:val="00F102C2"/>
    <w:rsid w:val="00F10D3E"/>
    <w:rsid w:val="00F169F2"/>
    <w:rsid w:val="00F1790C"/>
    <w:rsid w:val="00F26BA1"/>
    <w:rsid w:val="00F306CB"/>
    <w:rsid w:val="00F334FB"/>
    <w:rsid w:val="00F339F0"/>
    <w:rsid w:val="00F34FEE"/>
    <w:rsid w:val="00F3503A"/>
    <w:rsid w:val="00F367B9"/>
    <w:rsid w:val="00F37BF4"/>
    <w:rsid w:val="00F4088D"/>
    <w:rsid w:val="00F40DCC"/>
    <w:rsid w:val="00F643CC"/>
    <w:rsid w:val="00F66FC5"/>
    <w:rsid w:val="00F67D2C"/>
    <w:rsid w:val="00F710C7"/>
    <w:rsid w:val="00F725A0"/>
    <w:rsid w:val="00F72F26"/>
    <w:rsid w:val="00F7797B"/>
    <w:rsid w:val="00F82D99"/>
    <w:rsid w:val="00F87E77"/>
    <w:rsid w:val="00F94F0A"/>
    <w:rsid w:val="00FA328F"/>
    <w:rsid w:val="00FA7B24"/>
    <w:rsid w:val="00FB092A"/>
    <w:rsid w:val="00FB784E"/>
    <w:rsid w:val="00FC1B54"/>
    <w:rsid w:val="00FC4E89"/>
    <w:rsid w:val="00FD2302"/>
    <w:rsid w:val="00FD371D"/>
    <w:rsid w:val="00FD5A42"/>
    <w:rsid w:val="00FD5FE8"/>
    <w:rsid w:val="00FE1972"/>
    <w:rsid w:val="00FE42E3"/>
    <w:rsid w:val="00FE514E"/>
    <w:rsid w:val="00FF0F7B"/>
    <w:rsid w:val="00FF4C18"/>
    <w:rsid w:val="00FF5453"/>
    <w:rsid w:val="00FF70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E20F5E"/>
  <w15:chartTrackingRefBased/>
  <w15:docId w15:val="{A33BAC4E-07B9-41AA-B091-3B8D62CE3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6E5"/>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AB5CE1"/>
    <w:pPr>
      <w:keepNext/>
      <w:keepLines/>
      <w:spacing w:before="360" w:after="80" w:line="278" w:lineRule="auto"/>
      <w:jc w:val="left"/>
      <w:outlineLvl w:val="0"/>
    </w:pPr>
    <w:rPr>
      <w:rFonts w:asciiTheme="majorHAnsi" w:eastAsiaTheme="majorEastAsia" w:hAnsiTheme="majorHAnsi" w:cstheme="majorBidi"/>
      <w:color w:val="2F5496"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AB5CE1"/>
    <w:pPr>
      <w:keepNext/>
      <w:keepLines/>
      <w:spacing w:before="160" w:after="80" w:line="278" w:lineRule="auto"/>
      <w:jc w:val="left"/>
      <w:outlineLvl w:val="1"/>
    </w:pPr>
    <w:rPr>
      <w:rFonts w:asciiTheme="majorHAnsi" w:eastAsiaTheme="majorEastAsia" w:hAnsiTheme="majorHAnsi" w:cstheme="majorBidi"/>
      <w:color w:val="2F5496" w:themeColor="accent1" w:themeShade="BF"/>
      <w:kern w:val="2"/>
      <w:sz w:val="32"/>
      <w:szCs w:val="32"/>
      <w:lang w:val="en-GB"/>
      <w14:ligatures w14:val="standardContextual"/>
    </w:rPr>
  </w:style>
  <w:style w:type="paragraph" w:styleId="Heading3">
    <w:name w:val="heading 3"/>
    <w:basedOn w:val="Normal"/>
    <w:next w:val="Normal"/>
    <w:link w:val="Heading3Char"/>
    <w:uiPriority w:val="9"/>
    <w:unhideWhenUsed/>
    <w:qFormat/>
    <w:rsid w:val="00AB5CE1"/>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AB5CE1"/>
    <w:pPr>
      <w:keepNext/>
      <w:keepLines/>
      <w:spacing w:before="80" w:after="40" w:line="278" w:lineRule="auto"/>
      <w:jc w:val="left"/>
      <w:outlineLvl w:val="3"/>
    </w:pPr>
    <w:rPr>
      <w:rFonts w:asciiTheme="minorHAnsi" w:eastAsiaTheme="majorEastAsia" w:hAnsiTheme="minorHAnsi" w:cstheme="majorBidi"/>
      <w:i/>
      <w:iCs/>
      <w:color w:val="2F5496" w:themeColor="accent1" w:themeShade="BF"/>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AB5CE1"/>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AB5CE1"/>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lang w:val="en-GB"/>
      <w14:ligatures w14:val="standardContextual"/>
    </w:rPr>
  </w:style>
  <w:style w:type="paragraph" w:styleId="Heading7">
    <w:name w:val="heading 7"/>
    <w:basedOn w:val="Normal"/>
    <w:next w:val="Normal"/>
    <w:link w:val="Heading7Char"/>
    <w:uiPriority w:val="9"/>
    <w:semiHidden/>
    <w:unhideWhenUsed/>
    <w:qFormat/>
    <w:rsid w:val="00AB5CE1"/>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lang w:val="en-GB"/>
      <w14:ligatures w14:val="standardContextual"/>
    </w:rPr>
  </w:style>
  <w:style w:type="paragraph" w:styleId="Heading8">
    <w:name w:val="heading 8"/>
    <w:basedOn w:val="Normal"/>
    <w:next w:val="Normal"/>
    <w:link w:val="Heading8Char"/>
    <w:uiPriority w:val="9"/>
    <w:semiHidden/>
    <w:unhideWhenUsed/>
    <w:qFormat/>
    <w:rsid w:val="00AB5CE1"/>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lang w:val="en-GB"/>
      <w14:ligatures w14:val="standardContextual"/>
    </w:rPr>
  </w:style>
  <w:style w:type="paragraph" w:styleId="Heading9">
    <w:name w:val="heading 9"/>
    <w:basedOn w:val="Normal"/>
    <w:next w:val="Normal"/>
    <w:link w:val="Heading9Char"/>
    <w:uiPriority w:val="9"/>
    <w:semiHidden/>
    <w:unhideWhenUsed/>
    <w:qFormat/>
    <w:rsid w:val="00AB5CE1"/>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BF463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BF463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BF463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BF463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BF463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BF463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BF463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BF463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Footer">
    <w:name w:val="footer"/>
    <w:basedOn w:val="Normal"/>
    <w:link w:val="FooterChar"/>
    <w:uiPriority w:val="99"/>
    <w:rsid w:val="00BF463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BF463E"/>
    <w:rPr>
      <w:rFonts w:ascii="Palatino Linotype" w:hAnsi="Palatino Linotype"/>
      <w:noProof/>
      <w:color w:val="000000"/>
      <w:szCs w:val="18"/>
    </w:rPr>
  </w:style>
  <w:style w:type="paragraph" w:styleId="Header">
    <w:name w:val="header"/>
    <w:basedOn w:val="Normal"/>
    <w:link w:val="HeaderChar"/>
    <w:uiPriority w:val="99"/>
    <w:rsid w:val="00BF463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BF463E"/>
    <w:rPr>
      <w:rFonts w:ascii="Palatino Linotype" w:hAnsi="Palatino Linotype"/>
      <w:noProof/>
      <w:color w:val="000000"/>
      <w:szCs w:val="18"/>
    </w:rPr>
  </w:style>
  <w:style w:type="paragraph" w:customStyle="1" w:styleId="MDPI32textnoindent">
    <w:name w:val="MDPI_3.2_text_no_indent"/>
    <w:basedOn w:val="MDPI31text"/>
    <w:qFormat/>
    <w:rsid w:val="00BF463E"/>
    <w:pPr>
      <w:ind w:firstLine="0"/>
    </w:pPr>
  </w:style>
  <w:style w:type="paragraph" w:customStyle="1" w:styleId="MDPI31text">
    <w:name w:val="MDPI_3.1_text"/>
    <w:qFormat/>
    <w:rsid w:val="007B46E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BF463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BF463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BF463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BF463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F636A"/>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F636A"/>
    <w:pPr>
      <w:numPr>
        <w:numId w:val="2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BF463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BF463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BF463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D5018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BF463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BF463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BF463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BF463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BF463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BF463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BF463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BF463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D2FB5"/>
    <w:pPr>
      <w:numPr>
        <w:numId w:val="26"/>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BF463E"/>
    <w:rPr>
      <w:rFonts w:cs="Tahoma"/>
      <w:szCs w:val="18"/>
    </w:rPr>
  </w:style>
  <w:style w:type="character" w:customStyle="1" w:styleId="BalloonTextChar">
    <w:name w:val="Balloon Text Char"/>
    <w:link w:val="BalloonText"/>
    <w:uiPriority w:val="99"/>
    <w:rsid w:val="00BF463E"/>
    <w:rPr>
      <w:rFonts w:ascii="Palatino Linotype" w:hAnsi="Palatino Linotype" w:cs="Tahoma"/>
      <w:noProof/>
      <w:color w:val="000000"/>
      <w:szCs w:val="18"/>
    </w:rPr>
  </w:style>
  <w:style w:type="character" w:styleId="LineNumber">
    <w:name w:val="line number"/>
    <w:uiPriority w:val="99"/>
    <w:rsid w:val="00CD5956"/>
    <w:rPr>
      <w:rFonts w:ascii="Palatino Linotype" w:hAnsi="Palatino Linotype"/>
      <w:sz w:val="16"/>
    </w:rPr>
  </w:style>
  <w:style w:type="table" w:customStyle="1" w:styleId="MDPI41threelinetable">
    <w:name w:val="MDPI_4.1_three_line_table"/>
    <w:basedOn w:val="TableNormal"/>
    <w:uiPriority w:val="99"/>
    <w:rsid w:val="00BF463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BF463E"/>
    <w:rPr>
      <w:color w:val="0000FF"/>
      <w:u w:val="single"/>
    </w:rPr>
  </w:style>
  <w:style w:type="character" w:styleId="UnresolvedMention">
    <w:name w:val="Unresolved Mention"/>
    <w:uiPriority w:val="99"/>
    <w:semiHidden/>
    <w:unhideWhenUsed/>
    <w:rsid w:val="0076127A"/>
    <w:rPr>
      <w:color w:val="605E5C"/>
      <w:shd w:val="clear" w:color="auto" w:fill="E1DFDD"/>
    </w:rPr>
  </w:style>
  <w:style w:type="table" w:styleId="TableGrid">
    <w:name w:val="Table Grid"/>
    <w:basedOn w:val="TableNormal"/>
    <w:uiPriority w:val="59"/>
    <w:rsid w:val="00BF463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FD230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BF463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BF463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BF463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221E8E"/>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BF463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BF463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705BF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BF463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BF463E"/>
  </w:style>
  <w:style w:type="paragraph" w:styleId="Bibliography">
    <w:name w:val="Bibliography"/>
    <w:basedOn w:val="Normal"/>
    <w:next w:val="Normal"/>
    <w:uiPriority w:val="37"/>
    <w:unhideWhenUsed/>
    <w:rsid w:val="00BF463E"/>
    <w:pPr>
      <w:spacing w:after="240" w:line="240" w:lineRule="atLeast"/>
      <w:ind w:left="720" w:hanging="720"/>
    </w:pPr>
  </w:style>
  <w:style w:type="paragraph" w:styleId="BodyText">
    <w:name w:val="Body Text"/>
    <w:link w:val="BodyTextChar"/>
    <w:rsid w:val="00BF463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BF463E"/>
    <w:rPr>
      <w:rFonts w:ascii="Palatino Linotype" w:hAnsi="Palatino Linotype"/>
      <w:color w:val="000000"/>
      <w:sz w:val="24"/>
      <w:lang w:eastAsia="de-DE"/>
    </w:rPr>
  </w:style>
  <w:style w:type="character" w:styleId="CommentReference">
    <w:name w:val="annotation reference"/>
    <w:uiPriority w:val="99"/>
    <w:rsid w:val="00BF463E"/>
    <w:rPr>
      <w:sz w:val="21"/>
      <w:szCs w:val="21"/>
    </w:rPr>
  </w:style>
  <w:style w:type="paragraph" w:styleId="CommentText">
    <w:name w:val="annotation text"/>
    <w:basedOn w:val="Normal"/>
    <w:link w:val="CommentTextChar"/>
    <w:uiPriority w:val="99"/>
    <w:rsid w:val="00BF463E"/>
  </w:style>
  <w:style w:type="character" w:customStyle="1" w:styleId="CommentTextChar">
    <w:name w:val="Comment Text Char"/>
    <w:link w:val="CommentText"/>
    <w:uiPriority w:val="99"/>
    <w:rsid w:val="00BF463E"/>
    <w:rPr>
      <w:rFonts w:ascii="Palatino Linotype" w:hAnsi="Palatino Linotype"/>
      <w:noProof/>
      <w:color w:val="000000"/>
    </w:rPr>
  </w:style>
  <w:style w:type="paragraph" w:styleId="CommentSubject">
    <w:name w:val="annotation subject"/>
    <w:basedOn w:val="CommentText"/>
    <w:next w:val="CommentText"/>
    <w:link w:val="CommentSubjectChar"/>
    <w:rsid w:val="00BF463E"/>
    <w:rPr>
      <w:b/>
      <w:bCs/>
    </w:rPr>
  </w:style>
  <w:style w:type="character" w:customStyle="1" w:styleId="CommentSubjectChar">
    <w:name w:val="Comment Subject Char"/>
    <w:link w:val="CommentSubject"/>
    <w:rsid w:val="00BF463E"/>
    <w:rPr>
      <w:rFonts w:ascii="Palatino Linotype" w:hAnsi="Palatino Linotype"/>
      <w:b/>
      <w:bCs/>
      <w:noProof/>
      <w:color w:val="000000"/>
    </w:rPr>
  </w:style>
  <w:style w:type="character" w:styleId="EndnoteReference">
    <w:name w:val="endnote reference"/>
    <w:uiPriority w:val="99"/>
    <w:rsid w:val="00BF463E"/>
    <w:rPr>
      <w:vertAlign w:val="superscript"/>
    </w:rPr>
  </w:style>
  <w:style w:type="paragraph" w:styleId="EndnoteText">
    <w:name w:val="endnote text"/>
    <w:basedOn w:val="Normal"/>
    <w:link w:val="EndnoteTextChar"/>
    <w:semiHidden/>
    <w:unhideWhenUsed/>
    <w:rsid w:val="00BF463E"/>
    <w:pPr>
      <w:spacing w:line="240" w:lineRule="auto"/>
    </w:pPr>
  </w:style>
  <w:style w:type="character" w:customStyle="1" w:styleId="EndnoteTextChar">
    <w:name w:val="Endnote Text Char"/>
    <w:link w:val="EndnoteText"/>
    <w:semiHidden/>
    <w:rsid w:val="00BF463E"/>
    <w:rPr>
      <w:rFonts w:ascii="Palatino Linotype" w:hAnsi="Palatino Linotype"/>
      <w:noProof/>
      <w:color w:val="000000"/>
    </w:rPr>
  </w:style>
  <w:style w:type="character" w:styleId="FollowedHyperlink">
    <w:name w:val="FollowedHyperlink"/>
    <w:rsid w:val="00BF463E"/>
    <w:rPr>
      <w:color w:val="954F72"/>
      <w:u w:val="single"/>
    </w:rPr>
  </w:style>
  <w:style w:type="paragraph" w:styleId="FootnoteText">
    <w:name w:val="footnote text"/>
    <w:basedOn w:val="Normal"/>
    <w:link w:val="FootnoteTextChar"/>
    <w:uiPriority w:val="99"/>
    <w:semiHidden/>
    <w:unhideWhenUsed/>
    <w:rsid w:val="00BF463E"/>
    <w:pPr>
      <w:spacing w:line="240" w:lineRule="auto"/>
    </w:pPr>
  </w:style>
  <w:style w:type="character" w:customStyle="1" w:styleId="FootnoteTextChar">
    <w:name w:val="Footnote Text Char"/>
    <w:link w:val="FootnoteText"/>
    <w:uiPriority w:val="99"/>
    <w:semiHidden/>
    <w:rsid w:val="00BF463E"/>
    <w:rPr>
      <w:rFonts w:ascii="Palatino Linotype" w:hAnsi="Palatino Linotype"/>
      <w:noProof/>
      <w:color w:val="000000"/>
    </w:rPr>
  </w:style>
  <w:style w:type="paragraph" w:styleId="NormalWeb">
    <w:name w:val="Normal (Web)"/>
    <w:basedOn w:val="Normal"/>
    <w:uiPriority w:val="99"/>
    <w:rsid w:val="00BF463E"/>
    <w:rPr>
      <w:szCs w:val="24"/>
    </w:rPr>
  </w:style>
  <w:style w:type="paragraph" w:customStyle="1" w:styleId="MsoFootnoteText0">
    <w:name w:val="MsoFootnoteText"/>
    <w:basedOn w:val="NormalWeb"/>
    <w:qFormat/>
    <w:rsid w:val="00BF463E"/>
    <w:rPr>
      <w:rFonts w:ascii="Times New Roman" w:hAnsi="Times New Roman"/>
    </w:rPr>
  </w:style>
  <w:style w:type="character" w:styleId="PageNumber">
    <w:name w:val="page number"/>
    <w:uiPriority w:val="99"/>
    <w:rsid w:val="00BF463E"/>
  </w:style>
  <w:style w:type="character" w:styleId="PlaceholderText">
    <w:name w:val="Placeholder Text"/>
    <w:uiPriority w:val="99"/>
    <w:semiHidden/>
    <w:rsid w:val="00BF463E"/>
    <w:rPr>
      <w:color w:val="808080"/>
    </w:rPr>
  </w:style>
  <w:style w:type="paragraph" w:customStyle="1" w:styleId="MDPI71footnotes">
    <w:name w:val="MDPI_7.1_footnotes"/>
    <w:qFormat/>
    <w:rsid w:val="00B30E66"/>
    <w:pPr>
      <w:numPr>
        <w:numId w:val="23"/>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0D309B"/>
    <w:rPr>
      <w:b/>
      <w:bCs/>
    </w:rPr>
  </w:style>
  <w:style w:type="character" w:customStyle="1" w:styleId="katex-mathml">
    <w:name w:val="katex-mathml"/>
    <w:basedOn w:val="DefaultParagraphFont"/>
    <w:rsid w:val="00730A22"/>
  </w:style>
  <w:style w:type="character" w:customStyle="1" w:styleId="mord">
    <w:name w:val="mord"/>
    <w:basedOn w:val="DefaultParagraphFont"/>
    <w:rsid w:val="00730A22"/>
  </w:style>
  <w:style w:type="character" w:customStyle="1" w:styleId="Heading1Char">
    <w:name w:val="Heading 1 Char"/>
    <w:basedOn w:val="DefaultParagraphFont"/>
    <w:link w:val="Heading1"/>
    <w:uiPriority w:val="9"/>
    <w:rsid w:val="00AB5CE1"/>
    <w:rPr>
      <w:rFonts w:asciiTheme="majorHAnsi" w:eastAsiaTheme="majorEastAsia" w:hAnsiTheme="majorHAnsi" w:cstheme="majorBidi"/>
      <w:color w:val="2F5496" w:themeColor="accent1" w:themeShade="BF"/>
      <w:kern w:val="2"/>
      <w:sz w:val="40"/>
      <w:szCs w:val="40"/>
      <w:lang w:val="en-GB"/>
      <w14:ligatures w14:val="standardContextual"/>
    </w:rPr>
  </w:style>
  <w:style w:type="character" w:customStyle="1" w:styleId="Heading2Char">
    <w:name w:val="Heading 2 Char"/>
    <w:basedOn w:val="DefaultParagraphFont"/>
    <w:link w:val="Heading2"/>
    <w:uiPriority w:val="9"/>
    <w:rsid w:val="00AB5CE1"/>
    <w:rPr>
      <w:rFonts w:asciiTheme="majorHAnsi" w:eastAsiaTheme="majorEastAsia" w:hAnsiTheme="majorHAnsi" w:cstheme="majorBidi"/>
      <w:color w:val="2F5496" w:themeColor="accent1" w:themeShade="BF"/>
      <w:kern w:val="2"/>
      <w:sz w:val="32"/>
      <w:szCs w:val="32"/>
      <w:lang w:val="en-GB"/>
      <w14:ligatures w14:val="standardContextual"/>
    </w:rPr>
  </w:style>
  <w:style w:type="character" w:customStyle="1" w:styleId="Heading3Char">
    <w:name w:val="Heading 3 Char"/>
    <w:basedOn w:val="DefaultParagraphFont"/>
    <w:link w:val="Heading3"/>
    <w:uiPriority w:val="9"/>
    <w:rsid w:val="00AB5CE1"/>
    <w:rPr>
      <w:rFonts w:asciiTheme="minorHAnsi" w:eastAsiaTheme="majorEastAsia" w:hAnsiTheme="minorHAnsi" w:cstheme="majorBidi"/>
      <w:color w:val="2F5496" w:themeColor="accent1" w:themeShade="BF"/>
      <w:kern w:val="2"/>
      <w:sz w:val="28"/>
      <w:szCs w:val="28"/>
      <w:lang w:val="en-GB"/>
      <w14:ligatures w14:val="standardContextual"/>
    </w:rPr>
  </w:style>
  <w:style w:type="character" w:customStyle="1" w:styleId="Heading4Char">
    <w:name w:val="Heading 4 Char"/>
    <w:basedOn w:val="DefaultParagraphFont"/>
    <w:link w:val="Heading4"/>
    <w:uiPriority w:val="9"/>
    <w:semiHidden/>
    <w:rsid w:val="00AB5CE1"/>
    <w:rPr>
      <w:rFonts w:asciiTheme="minorHAnsi" w:eastAsiaTheme="majorEastAsia" w:hAnsiTheme="minorHAnsi" w:cstheme="majorBidi"/>
      <w:i/>
      <w:iCs/>
      <w:color w:val="2F5496" w:themeColor="accent1" w:themeShade="BF"/>
      <w:kern w:val="2"/>
      <w:sz w:val="24"/>
      <w:szCs w:val="24"/>
      <w:lang w:val="en-GB"/>
      <w14:ligatures w14:val="standardContextual"/>
    </w:rPr>
  </w:style>
  <w:style w:type="character" w:customStyle="1" w:styleId="Heading5Char">
    <w:name w:val="Heading 5 Char"/>
    <w:basedOn w:val="DefaultParagraphFont"/>
    <w:link w:val="Heading5"/>
    <w:uiPriority w:val="9"/>
    <w:semiHidden/>
    <w:rsid w:val="00AB5CE1"/>
    <w:rPr>
      <w:rFonts w:asciiTheme="minorHAnsi" w:eastAsiaTheme="majorEastAsia" w:hAnsiTheme="minorHAnsi" w:cstheme="majorBidi"/>
      <w:color w:val="2F5496" w:themeColor="accent1" w:themeShade="BF"/>
      <w:kern w:val="2"/>
      <w:sz w:val="24"/>
      <w:szCs w:val="24"/>
      <w:lang w:val="en-GB"/>
      <w14:ligatures w14:val="standardContextual"/>
    </w:rPr>
  </w:style>
  <w:style w:type="character" w:customStyle="1" w:styleId="Heading6Char">
    <w:name w:val="Heading 6 Char"/>
    <w:basedOn w:val="DefaultParagraphFont"/>
    <w:link w:val="Heading6"/>
    <w:uiPriority w:val="9"/>
    <w:semiHidden/>
    <w:rsid w:val="00AB5CE1"/>
    <w:rPr>
      <w:rFonts w:asciiTheme="minorHAnsi" w:eastAsiaTheme="majorEastAsia" w:hAnsiTheme="minorHAnsi" w:cstheme="majorBidi"/>
      <w:i/>
      <w:iCs/>
      <w:color w:val="595959" w:themeColor="text1" w:themeTint="A6"/>
      <w:kern w:val="2"/>
      <w:sz w:val="24"/>
      <w:szCs w:val="24"/>
      <w:lang w:val="en-GB"/>
      <w14:ligatures w14:val="standardContextual"/>
    </w:rPr>
  </w:style>
  <w:style w:type="character" w:customStyle="1" w:styleId="Heading7Char">
    <w:name w:val="Heading 7 Char"/>
    <w:basedOn w:val="DefaultParagraphFont"/>
    <w:link w:val="Heading7"/>
    <w:uiPriority w:val="9"/>
    <w:semiHidden/>
    <w:rsid w:val="00AB5CE1"/>
    <w:rPr>
      <w:rFonts w:asciiTheme="minorHAnsi" w:eastAsiaTheme="majorEastAsia" w:hAnsiTheme="minorHAnsi" w:cstheme="majorBidi"/>
      <w:color w:val="595959" w:themeColor="text1" w:themeTint="A6"/>
      <w:kern w:val="2"/>
      <w:sz w:val="24"/>
      <w:szCs w:val="24"/>
      <w:lang w:val="en-GB"/>
      <w14:ligatures w14:val="standardContextual"/>
    </w:rPr>
  </w:style>
  <w:style w:type="character" w:customStyle="1" w:styleId="Heading8Char">
    <w:name w:val="Heading 8 Char"/>
    <w:basedOn w:val="DefaultParagraphFont"/>
    <w:link w:val="Heading8"/>
    <w:uiPriority w:val="9"/>
    <w:semiHidden/>
    <w:rsid w:val="00AB5CE1"/>
    <w:rPr>
      <w:rFonts w:asciiTheme="minorHAnsi" w:eastAsiaTheme="majorEastAsia" w:hAnsiTheme="minorHAnsi" w:cstheme="majorBidi"/>
      <w:i/>
      <w:iCs/>
      <w:color w:val="272727" w:themeColor="text1" w:themeTint="D8"/>
      <w:kern w:val="2"/>
      <w:sz w:val="24"/>
      <w:szCs w:val="24"/>
      <w:lang w:val="en-GB"/>
      <w14:ligatures w14:val="standardContextual"/>
    </w:rPr>
  </w:style>
  <w:style w:type="character" w:customStyle="1" w:styleId="Heading9Char">
    <w:name w:val="Heading 9 Char"/>
    <w:basedOn w:val="DefaultParagraphFont"/>
    <w:link w:val="Heading9"/>
    <w:uiPriority w:val="9"/>
    <w:semiHidden/>
    <w:rsid w:val="00AB5CE1"/>
    <w:rPr>
      <w:rFonts w:asciiTheme="minorHAnsi" w:eastAsiaTheme="majorEastAsia" w:hAnsiTheme="minorHAnsi" w:cstheme="majorBidi"/>
      <w:color w:val="272727" w:themeColor="text1" w:themeTint="D8"/>
      <w:kern w:val="2"/>
      <w:sz w:val="24"/>
      <w:szCs w:val="24"/>
      <w:lang w:val="en-GB"/>
      <w14:ligatures w14:val="standardContextual"/>
    </w:rPr>
  </w:style>
  <w:style w:type="paragraph" w:styleId="Title">
    <w:name w:val="Title"/>
    <w:basedOn w:val="Normal"/>
    <w:next w:val="Normal"/>
    <w:link w:val="TitleChar"/>
    <w:uiPriority w:val="10"/>
    <w:qFormat/>
    <w:rsid w:val="00AB5CE1"/>
    <w:pPr>
      <w:spacing w:after="80" w:line="240" w:lineRule="auto"/>
      <w:contextualSpacing/>
      <w:jc w:val="left"/>
    </w:pPr>
    <w:rPr>
      <w:rFonts w:asciiTheme="majorHAnsi" w:eastAsiaTheme="majorEastAsia" w:hAnsiTheme="majorHAnsi" w:cstheme="majorBidi"/>
      <w:color w:val="auto"/>
      <w:spacing w:val="-10"/>
      <w:kern w:val="28"/>
      <w:sz w:val="56"/>
      <w:szCs w:val="56"/>
      <w:lang w:val="en-GB"/>
      <w14:ligatures w14:val="standardContextual"/>
    </w:rPr>
  </w:style>
  <w:style w:type="character" w:customStyle="1" w:styleId="TitleChar">
    <w:name w:val="Title Char"/>
    <w:basedOn w:val="DefaultParagraphFont"/>
    <w:link w:val="Title"/>
    <w:uiPriority w:val="10"/>
    <w:rsid w:val="00AB5CE1"/>
    <w:rPr>
      <w:rFonts w:asciiTheme="majorHAnsi" w:eastAsiaTheme="majorEastAsia" w:hAnsiTheme="majorHAnsi" w:cstheme="majorBidi"/>
      <w:spacing w:val="-10"/>
      <w:kern w:val="28"/>
      <w:sz w:val="56"/>
      <w:szCs w:val="56"/>
      <w:lang w:val="en-GB"/>
      <w14:ligatures w14:val="standardContextual"/>
    </w:rPr>
  </w:style>
  <w:style w:type="paragraph" w:styleId="Subtitle">
    <w:name w:val="Subtitle"/>
    <w:basedOn w:val="Normal"/>
    <w:next w:val="Normal"/>
    <w:link w:val="SubtitleChar"/>
    <w:uiPriority w:val="11"/>
    <w:qFormat/>
    <w:rsid w:val="00AB5CE1"/>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AB5CE1"/>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paragraph" w:styleId="Quote">
    <w:name w:val="Quote"/>
    <w:basedOn w:val="Normal"/>
    <w:next w:val="Normal"/>
    <w:link w:val="QuoteChar"/>
    <w:uiPriority w:val="29"/>
    <w:qFormat/>
    <w:rsid w:val="00AB5CE1"/>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AB5CE1"/>
    <w:rPr>
      <w:rFonts w:asciiTheme="minorHAnsi" w:eastAsiaTheme="minorEastAsia" w:hAnsiTheme="minorHAnsi" w:cstheme="minorBidi"/>
      <w:i/>
      <w:iCs/>
      <w:color w:val="404040" w:themeColor="text1" w:themeTint="BF"/>
      <w:kern w:val="2"/>
      <w:sz w:val="24"/>
      <w:szCs w:val="24"/>
      <w:lang w:val="en-GB"/>
      <w14:ligatures w14:val="standardContextual"/>
    </w:rPr>
  </w:style>
  <w:style w:type="paragraph" w:styleId="ListParagraph">
    <w:name w:val="List Paragraph"/>
    <w:basedOn w:val="Normal"/>
    <w:uiPriority w:val="34"/>
    <w:qFormat/>
    <w:rsid w:val="00AB5CE1"/>
    <w:pPr>
      <w:spacing w:after="160" w:line="278" w:lineRule="auto"/>
      <w:ind w:left="720"/>
      <w:contextualSpacing/>
      <w:jc w:val="left"/>
    </w:pPr>
    <w:rPr>
      <w:rFonts w:asciiTheme="minorHAnsi" w:eastAsiaTheme="minorEastAsia" w:hAnsiTheme="minorHAnsi" w:cstheme="minorBidi"/>
      <w:color w:val="auto"/>
      <w:kern w:val="2"/>
      <w:sz w:val="24"/>
      <w:szCs w:val="24"/>
      <w:lang w:val="en-GB"/>
      <w14:ligatures w14:val="standardContextual"/>
    </w:rPr>
  </w:style>
  <w:style w:type="character" w:styleId="IntenseEmphasis">
    <w:name w:val="Intense Emphasis"/>
    <w:basedOn w:val="DefaultParagraphFont"/>
    <w:uiPriority w:val="21"/>
    <w:qFormat/>
    <w:rsid w:val="00AB5CE1"/>
    <w:rPr>
      <w:i/>
      <w:iCs/>
      <w:color w:val="2F5496" w:themeColor="accent1" w:themeShade="BF"/>
    </w:rPr>
  </w:style>
  <w:style w:type="paragraph" w:styleId="IntenseQuote">
    <w:name w:val="Intense Quote"/>
    <w:basedOn w:val="Normal"/>
    <w:next w:val="Normal"/>
    <w:link w:val="IntenseQuoteChar"/>
    <w:uiPriority w:val="30"/>
    <w:qFormat/>
    <w:rsid w:val="00AB5CE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AB5CE1"/>
    <w:rPr>
      <w:rFonts w:asciiTheme="minorHAnsi" w:eastAsiaTheme="minorEastAsia" w:hAnsiTheme="minorHAnsi" w:cstheme="minorBidi"/>
      <w:i/>
      <w:iCs/>
      <w:color w:val="2F5496" w:themeColor="accent1" w:themeShade="BF"/>
      <w:kern w:val="2"/>
      <w:sz w:val="24"/>
      <w:szCs w:val="24"/>
      <w:lang w:val="en-GB"/>
      <w14:ligatures w14:val="standardContextual"/>
    </w:rPr>
  </w:style>
  <w:style w:type="character" w:styleId="IntenseReference">
    <w:name w:val="Intense Reference"/>
    <w:basedOn w:val="DefaultParagraphFont"/>
    <w:uiPriority w:val="32"/>
    <w:qFormat/>
    <w:rsid w:val="00AB5CE1"/>
    <w:rPr>
      <w:b/>
      <w:bCs/>
      <w:smallCaps/>
      <w:color w:val="2F5496" w:themeColor="accent1" w:themeShade="BF"/>
      <w:spacing w:val="5"/>
    </w:rPr>
  </w:style>
  <w:style w:type="character" w:customStyle="1" w:styleId="vlist-s">
    <w:name w:val="vlist-s"/>
    <w:basedOn w:val="DefaultParagraphFont"/>
    <w:rsid w:val="00AB5CE1"/>
  </w:style>
  <w:style w:type="character" w:customStyle="1" w:styleId="mrel">
    <w:name w:val="mrel"/>
    <w:basedOn w:val="DefaultParagraphFont"/>
    <w:rsid w:val="00AB5CE1"/>
  </w:style>
  <w:style w:type="character" w:customStyle="1" w:styleId="mopen">
    <w:name w:val="mopen"/>
    <w:basedOn w:val="DefaultParagraphFont"/>
    <w:rsid w:val="00AB5CE1"/>
  </w:style>
  <w:style w:type="character" w:customStyle="1" w:styleId="mclose">
    <w:name w:val="mclose"/>
    <w:basedOn w:val="DefaultParagraphFont"/>
    <w:rsid w:val="00AB5CE1"/>
  </w:style>
  <w:style w:type="character" w:customStyle="1" w:styleId="mop">
    <w:name w:val="mop"/>
    <w:basedOn w:val="DefaultParagraphFont"/>
    <w:rsid w:val="00AB5CE1"/>
  </w:style>
  <w:style w:type="character" w:customStyle="1" w:styleId="mpunct">
    <w:name w:val="mpunct"/>
    <w:basedOn w:val="DefaultParagraphFont"/>
    <w:rsid w:val="00AB5CE1"/>
  </w:style>
  <w:style w:type="character" w:customStyle="1" w:styleId="mbin">
    <w:name w:val="mbin"/>
    <w:basedOn w:val="DefaultParagraphFont"/>
    <w:rsid w:val="00AB5CE1"/>
  </w:style>
  <w:style w:type="character" w:styleId="HTMLCode">
    <w:name w:val="HTML Code"/>
    <w:basedOn w:val="DefaultParagraphFont"/>
    <w:uiPriority w:val="99"/>
    <w:semiHidden/>
    <w:unhideWhenUsed/>
    <w:rsid w:val="00AB5CE1"/>
    <w:rPr>
      <w:rFonts w:ascii="Courier New" w:eastAsia="Times New Roman" w:hAnsi="Courier New" w:cs="Courier New"/>
      <w:sz w:val="20"/>
      <w:szCs w:val="20"/>
    </w:rPr>
  </w:style>
  <w:style w:type="character" w:customStyle="1" w:styleId="delimsizing">
    <w:name w:val="delimsizing"/>
    <w:basedOn w:val="DefaultParagraphFont"/>
    <w:rsid w:val="00AB5CE1"/>
  </w:style>
  <w:style w:type="paragraph" w:styleId="Revision">
    <w:name w:val="Revision"/>
    <w:hidden/>
    <w:uiPriority w:val="99"/>
    <w:semiHidden/>
    <w:rsid w:val="00AB5CE1"/>
    <w:rPr>
      <w:rFonts w:asciiTheme="minorHAnsi" w:eastAsiaTheme="minorEastAsia" w:hAnsiTheme="minorHAnsi" w:cstheme="minorBidi"/>
      <w:kern w:val="2"/>
      <w:sz w:val="24"/>
      <w:szCs w:val="24"/>
      <w:lang w:val="en-GB"/>
      <w14:ligatures w14:val="standardContextual"/>
    </w:rPr>
  </w:style>
  <w:style w:type="character" w:styleId="FootnoteReference">
    <w:name w:val="footnote reference"/>
    <w:basedOn w:val="DefaultParagraphFont"/>
    <w:uiPriority w:val="99"/>
    <w:semiHidden/>
    <w:unhideWhenUsed/>
    <w:rsid w:val="00AB5CE1"/>
    <w:rPr>
      <w:vertAlign w:val="superscript"/>
    </w:rPr>
  </w:style>
  <w:style w:type="table" w:styleId="PlainTable3">
    <w:name w:val="Plain Table 3"/>
    <w:basedOn w:val="TableNormal"/>
    <w:uiPriority w:val="43"/>
    <w:rsid w:val="003074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0747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E75B6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055A6"/>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C055A6"/>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
    <w:name w:val="Grid Table 1 Light"/>
    <w:basedOn w:val="TableNormal"/>
    <w:uiPriority w:val="46"/>
    <w:rsid w:val="004B588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4610">
      <w:bodyDiv w:val="1"/>
      <w:marLeft w:val="0"/>
      <w:marRight w:val="0"/>
      <w:marTop w:val="0"/>
      <w:marBottom w:val="0"/>
      <w:divBdr>
        <w:top w:val="none" w:sz="0" w:space="0" w:color="auto"/>
        <w:left w:val="none" w:sz="0" w:space="0" w:color="auto"/>
        <w:bottom w:val="none" w:sz="0" w:space="0" w:color="auto"/>
        <w:right w:val="none" w:sz="0" w:space="0" w:color="auto"/>
      </w:divBdr>
    </w:div>
    <w:div w:id="1495952773">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ayang\Downloads\ijf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43350e4-b813-47b3-8d27-34635847265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A27A1C385D3774DACBD87001E0A0716" ma:contentTypeVersion="13" ma:contentTypeDescription="Create a new document." ma:contentTypeScope="" ma:versionID="0f57a9e8dcd995511480e79222323d8a">
  <xsd:schema xmlns:xsd="http://www.w3.org/2001/XMLSchema" xmlns:xs="http://www.w3.org/2001/XMLSchema" xmlns:p="http://schemas.microsoft.com/office/2006/metadata/properties" xmlns:ns3="743350e4-b813-47b3-8d27-346358472654" targetNamespace="http://schemas.microsoft.com/office/2006/metadata/properties" ma:root="true" ma:fieldsID="631933b5650c7b8eb010c0cc04c6ef0d" ns3:_="">
    <xsd:import namespace="743350e4-b813-47b3-8d27-34635847265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GenerationTime" minOccurs="0"/>
                <xsd:element ref="ns3:MediaServiceEventHashCode" minOccurs="0"/>
                <xsd:element ref="ns3:MediaServiceDateTaken"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3350e4-b813-47b3-8d27-346358472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AAC1DD-D294-487F-9E14-9E49EEC6DDF0}">
  <ds:schemaRefs>
    <ds:schemaRef ds:uri="http://schemas.openxmlformats.org/officeDocument/2006/bibliography"/>
  </ds:schemaRefs>
</ds:datastoreItem>
</file>

<file path=customXml/itemProps2.xml><?xml version="1.0" encoding="utf-8"?>
<ds:datastoreItem xmlns:ds="http://schemas.openxmlformats.org/officeDocument/2006/customXml" ds:itemID="{C3361238-B350-43F4-9405-58718198E330}">
  <ds:schemaRefs>
    <ds:schemaRef ds:uri="http://schemas.microsoft.com/office/2006/metadata/properties"/>
    <ds:schemaRef ds:uri="http://schemas.microsoft.com/office/infopath/2007/PartnerControls"/>
    <ds:schemaRef ds:uri="743350e4-b813-47b3-8d27-346358472654"/>
  </ds:schemaRefs>
</ds:datastoreItem>
</file>

<file path=customXml/itemProps3.xml><?xml version="1.0" encoding="utf-8"?>
<ds:datastoreItem xmlns:ds="http://schemas.openxmlformats.org/officeDocument/2006/customXml" ds:itemID="{46D270E5-3014-420F-8E00-B3A1F7631071}">
  <ds:schemaRefs>
    <ds:schemaRef ds:uri="http://schemas.microsoft.com/sharepoint/v3/contenttype/forms"/>
  </ds:schemaRefs>
</ds:datastoreItem>
</file>

<file path=customXml/itemProps4.xml><?xml version="1.0" encoding="utf-8"?>
<ds:datastoreItem xmlns:ds="http://schemas.openxmlformats.org/officeDocument/2006/customXml" ds:itemID="{16077030-4917-4E97-B992-D0645ED6A3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3350e4-b813-47b3-8d27-346358472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ijfs-template.dot</Template>
  <TotalTime>5257</TotalTime>
  <Pages>14</Pages>
  <Words>23184</Words>
  <Characters>148380</Characters>
  <Application>Microsoft Office Word</Application>
  <DocSecurity>0</DocSecurity>
  <Lines>2393</Lines>
  <Paragraphs>670</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170894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Jiayang</dc:creator>
  <cp:keywords/>
  <dc:description/>
  <cp:lastModifiedBy>Jiayang Yu</cp:lastModifiedBy>
  <cp:revision>38</cp:revision>
  <dcterms:created xsi:type="dcterms:W3CDTF">2025-11-17T00:57:00Z</dcterms:created>
  <dcterms:modified xsi:type="dcterms:W3CDTF">2025-11-30T04:48:00Z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9c1d7b77-989a-44ae-86d9-aeacd5bc9011</vt:lpwstr>
  </property>
  <property fmtid="{D5CDD505-2E9C-101B-9397-08002B2CF9AE}" pid="3" name="ZOTERO_PREF_1">
    <vt:lpwstr>&lt;data data-version="3" zotero-version="7.0.27"&gt;&lt;session id="inJ8LS6n"/&gt;&lt;style id="http://www.zotero.org/styles/apa" locale="en-GB" hasBibliography="1" bibliographyStyleHasBeenSet="0"/&gt;&lt;prefs&gt;&lt;pref name="fieldType" value="Field"/&gt;&lt;pref name="dontAskDelayCi</vt:lpwstr>
  </property>
  <property fmtid="{D5CDD505-2E9C-101B-9397-08002B2CF9AE}" pid="4" name="ZOTERO_PREF_2">
    <vt:lpwstr>tationUpdates" value="true"/&gt;&lt;/prefs&gt;&lt;/data&gt;</vt:lpwstr>
  </property>
  <property fmtid="{D5CDD505-2E9C-101B-9397-08002B2CF9AE}" pid="5" name="ContentTypeId">
    <vt:lpwstr>0x0101007A27A1C385D3774DACBD87001E0A0716</vt:lpwstr>
  </property>
</Properties>
</file>