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1F2B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1. Enrich the feature and model architecture</w:t>
      </w:r>
    </w:p>
    <w:p w14:paraId="1AE09D99" w14:textId="77777777" w:rsidR="00F45CF0" w:rsidRPr="00F45CF0" w:rsidRDefault="00F45CF0" w:rsidP="00F45CF0">
      <w:r w:rsidRPr="00F45CF0">
        <w:rPr>
          <w:b/>
          <w:bCs/>
        </w:rPr>
        <w:t>Use deeper, sequence</w:t>
      </w:r>
      <w:r w:rsidRPr="00F45CF0">
        <w:rPr>
          <w:b/>
          <w:bCs/>
        </w:rPr>
        <w:noBreakHyphen/>
        <w:t>aware feature extractors.</w:t>
      </w:r>
      <w:r w:rsidRPr="00F45CF0">
        <w:br/>
        <w:t xml:space="preserve">Your current environment flattens a short lookback window (10 days) and passes it to an MLP. A systematic study of RL agents for portfolio optimization found that </w:t>
      </w:r>
      <w:r w:rsidRPr="00F45CF0">
        <w:rPr>
          <w:i/>
          <w:iCs/>
        </w:rPr>
        <w:t>CNN</w:t>
      </w:r>
      <w:r w:rsidRPr="00F45CF0">
        <w:rPr>
          <w:i/>
          <w:iCs/>
        </w:rPr>
        <w:noBreakHyphen/>
        <w:t>based feature extractors with longer lookback windows significantly outperformed MLPs</w:t>
      </w:r>
      <w:r w:rsidRPr="00F45CF0">
        <w:t xml:space="preserve"> in terms of risk</w:t>
      </w:r>
      <w:r w:rsidRPr="00F45CF0">
        <w:noBreakHyphen/>
        <w:t>adjusted returns</w:t>
      </w:r>
      <w:hyperlink r:id="rId5" w:anchor=":~:text=the%20core%20instruments,advancements%20in%20financial%20machine%20learning" w:tgtFrame="_blank" w:history="1">
        <w:r w:rsidRPr="00F45CF0">
          <w:rPr>
            <w:rStyle w:val="Hyperlink"/>
          </w:rPr>
          <w:t>mdpi.com</w:t>
        </w:r>
      </w:hyperlink>
      <w:r w:rsidRPr="00F45CF0">
        <w:t>. CNNs excel at capturing local temporal patterns in price series and interactions across instruments</w:t>
      </w:r>
      <w:hyperlink r:id="rId6" w:anchor=":~:text=of%20annualized%20return%20and%20risk,whether%20the%20primary%20focus%20is" w:tgtFrame="_blank" w:history="1">
        <w:r w:rsidRPr="00F45CF0">
          <w:rPr>
            <w:rStyle w:val="Hyperlink"/>
          </w:rPr>
          <w:t>mdpi.com</w:t>
        </w:r>
      </w:hyperlink>
      <w:r w:rsidRPr="00F45CF0">
        <w:t>. Long Short</w:t>
      </w:r>
      <w:r w:rsidRPr="00F45CF0">
        <w:noBreakHyphen/>
        <w:t>Term Memory (LSTM) or Transformer models can also capture long</w:t>
      </w:r>
      <w:r w:rsidRPr="00F45CF0">
        <w:noBreakHyphen/>
        <w:t>term dependencies. In stable</w:t>
      </w:r>
      <w:r w:rsidRPr="00F45CF0">
        <w:noBreakHyphen/>
        <w:t>baselines3 you can either:</w:t>
      </w:r>
    </w:p>
    <w:p w14:paraId="360ABC6B" w14:textId="77777777" w:rsidR="00F45CF0" w:rsidRPr="00F45CF0" w:rsidRDefault="00F45CF0" w:rsidP="00F45CF0">
      <w:pPr>
        <w:numPr>
          <w:ilvl w:val="0"/>
          <w:numId w:val="1"/>
        </w:numPr>
      </w:pPr>
      <w:r w:rsidRPr="00F45CF0">
        <w:t>Switch to CnnPolicy or implement a custom CNN encoder that reshapes the state into a multi</w:t>
      </w:r>
      <w:r w:rsidRPr="00F45CF0">
        <w:noBreakHyphen/>
        <w:t>channel tensor (e.g., each technical indicator is a channel, days are the spatial dimension)</w:t>
      </w:r>
      <w:hyperlink r:id="rId7" w:anchor=":~:text=of%20annualized%20return%20and%20risk,whether%20the%20primary%20focus%20is" w:tgtFrame="_blank" w:history="1">
        <w:r w:rsidRPr="00F45CF0">
          <w:rPr>
            <w:rStyle w:val="Hyperlink"/>
          </w:rPr>
          <w:t>mdpi.com</w:t>
        </w:r>
      </w:hyperlink>
      <w:r w:rsidRPr="00F45CF0">
        <w:t>.</w:t>
      </w:r>
    </w:p>
    <w:p w14:paraId="54EB136F" w14:textId="77777777" w:rsidR="00F45CF0" w:rsidRPr="00F45CF0" w:rsidRDefault="00F45CF0" w:rsidP="00F45CF0">
      <w:pPr>
        <w:numPr>
          <w:ilvl w:val="0"/>
          <w:numId w:val="1"/>
        </w:numPr>
      </w:pPr>
      <w:r w:rsidRPr="00F45CF0">
        <w:t>Increase the lookback_period from 10 days to 20–30 days; the MDPI study reports better risk</w:t>
      </w:r>
      <w:r w:rsidRPr="00F45CF0">
        <w:noBreakHyphen/>
        <w:t>adjusted performance with longer lookbacks</w:t>
      </w:r>
      <w:hyperlink r:id="rId8" w:anchor=":~:text=the%20core%20instruments,advancements%20in%20financial%20machine%20learning" w:tgtFrame="_blank" w:history="1">
        <w:r w:rsidRPr="00F45CF0">
          <w:rPr>
            <w:rStyle w:val="Hyperlink"/>
          </w:rPr>
          <w:t>mdpi.com</w:t>
        </w:r>
      </w:hyperlink>
      <w:r w:rsidRPr="00F45CF0">
        <w:t>.</w:t>
      </w:r>
    </w:p>
    <w:p w14:paraId="59557CDD" w14:textId="77777777" w:rsidR="00F45CF0" w:rsidRPr="00F45CF0" w:rsidRDefault="00F45CF0" w:rsidP="00F45CF0">
      <w:pPr>
        <w:numPr>
          <w:ilvl w:val="0"/>
          <w:numId w:val="1"/>
        </w:numPr>
      </w:pPr>
      <w:r w:rsidRPr="00F45CF0">
        <w:t>Alternatively, preprocess the data with an autoencoder or LSTM outside the RL model and feed compressed state vectors to the agent.</w:t>
      </w:r>
    </w:p>
    <w:p w14:paraId="3FA40792" w14:textId="77777777" w:rsidR="00F45CF0" w:rsidRPr="00F45CF0" w:rsidRDefault="00F45CF0" w:rsidP="00F45CF0">
      <w:r w:rsidRPr="00F45CF0">
        <w:rPr>
          <w:b/>
          <w:bCs/>
        </w:rPr>
        <w:t>Experiment with other RL algorithms.</w:t>
      </w:r>
      <w:r w:rsidRPr="00F45CF0">
        <w:br/>
        <w:t xml:space="preserve">Proximal Policy Optimization (PPO) is stable but can be conservative. The same MDPI study observed that </w:t>
      </w:r>
      <w:r w:rsidRPr="00F45CF0">
        <w:rPr>
          <w:i/>
          <w:iCs/>
        </w:rPr>
        <w:t>DQN and DDPG agents consistently outperformed market benchmarks such as the S&amp;P</w:t>
      </w:r>
      <w:r w:rsidRPr="00F45CF0">
        <w:rPr>
          <w:rFonts w:ascii="Arial" w:hAnsi="Arial" w:cs="Arial"/>
          <w:i/>
          <w:iCs/>
        </w:rPr>
        <w:t> </w:t>
      </w:r>
      <w:r w:rsidRPr="00F45CF0">
        <w:rPr>
          <w:i/>
          <w:iCs/>
        </w:rPr>
        <w:t>500</w:t>
      </w:r>
      <w:hyperlink r:id="rId9" w:anchor=":~:text=the%20core%20instruments,advancements%20in%20financial%20machine%20learning" w:tgtFrame="_blank" w:history="1">
        <w:r w:rsidRPr="00F45CF0">
          <w:rPr>
            <w:rStyle w:val="Hyperlink"/>
          </w:rPr>
          <w:t>mdpi.com</w:t>
        </w:r>
      </w:hyperlink>
      <w:r w:rsidRPr="00F45CF0">
        <w:t xml:space="preserve"> and that DDPG showed the best trade</w:t>
      </w:r>
      <w:r w:rsidRPr="00F45CF0">
        <w:noBreakHyphen/>
        <w:t>off between return and risk</w:t>
      </w:r>
      <w:hyperlink r:id="rId10" w:anchor=":~:text=of%20annualized%20return%20and%20risk,maximizing%20returns%20or%20minimizing%20risk" w:tgtFrame="_blank" w:history="1">
        <w:r w:rsidRPr="00F45CF0">
          <w:rPr>
            <w:rStyle w:val="Hyperlink"/>
          </w:rPr>
          <w:t>mdpi.com</w:t>
        </w:r>
      </w:hyperlink>
      <w:r w:rsidRPr="00F45CF0">
        <w:t>. Stable</w:t>
      </w:r>
      <w:r w:rsidRPr="00F45CF0">
        <w:noBreakHyphen/>
        <w:t>baselines3 supports DDPG, TD3 and SAC. DDPG operates in continuous action space and can learn finer weight adjustments; TD3 adds target</w:t>
      </w:r>
      <w:r w:rsidRPr="00F45CF0">
        <w:noBreakHyphen/>
        <w:t>policy smoothing, which reduces overestimation bias. Running a few of these algorithms and comparing them to PPO may reveal a better fit for your data.</w:t>
      </w:r>
    </w:p>
    <w:p w14:paraId="12C34B5A" w14:textId="77777777" w:rsidR="00F45CF0" w:rsidRPr="00F45CF0" w:rsidRDefault="00F45CF0" w:rsidP="00F45CF0">
      <w:r w:rsidRPr="00F45CF0">
        <w:pict w14:anchorId="6516D887">
          <v:rect id="_x0000_i1061" style="width:0;height:1.5pt" o:hralign="center" o:hrstd="t" o:hr="t" fillcolor="#a0a0a0" stroked="f"/>
        </w:pict>
      </w:r>
    </w:p>
    <w:p w14:paraId="692E70F8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2. Adjust the rebalancing schedule and include transaction costs</w:t>
      </w:r>
    </w:p>
    <w:p w14:paraId="35B0B98E" w14:textId="77777777" w:rsidR="00F45CF0" w:rsidRPr="00F45CF0" w:rsidRDefault="00F45CF0" w:rsidP="00F45CF0">
      <w:r w:rsidRPr="00F45CF0">
        <w:rPr>
          <w:b/>
          <w:bCs/>
        </w:rPr>
        <w:t>Rebalance less frequently and penalize turnover.</w:t>
      </w:r>
      <w:r w:rsidRPr="00F45CF0">
        <w:br/>
        <w:t xml:space="preserve">Continuous daily rebalancing increases transaction costs and can erode returns. The MDPI paper found that </w:t>
      </w:r>
      <w:r w:rsidRPr="00F45CF0">
        <w:rPr>
          <w:i/>
          <w:iCs/>
        </w:rPr>
        <w:t>periodic rebalancing (e.g., every 10–20 days) was more efficient than continuous rebalancing because it reduced slippage and transaction costs</w:t>
      </w:r>
      <w:hyperlink r:id="rId11" w:anchor=":~:text=the%20core%20instruments,RL%20agents%20to%20dynamic%20market" w:tgtFrame="_blank" w:history="1">
        <w:r w:rsidRPr="00F45CF0">
          <w:rPr>
            <w:rStyle w:val="Hyperlink"/>
          </w:rPr>
          <w:t>mdpi.com</w:t>
        </w:r>
      </w:hyperlink>
      <w:r w:rsidRPr="00F45CF0">
        <w:t>. Your current rebalance_period of 10 days is reasonable, but you might experiment with 21</w:t>
      </w:r>
      <w:r w:rsidRPr="00F45CF0">
        <w:noBreakHyphen/>
        <w:t>day (monthly) or 63</w:t>
      </w:r>
      <w:r w:rsidRPr="00F45CF0">
        <w:noBreakHyphen/>
        <w:t>day (quarterly) rebalancing.</w:t>
      </w:r>
    </w:p>
    <w:p w14:paraId="57CB3FCC" w14:textId="77777777" w:rsidR="00F45CF0" w:rsidRPr="00F45CF0" w:rsidRDefault="00F45CF0" w:rsidP="00F45CF0">
      <w:r w:rsidRPr="00F45CF0">
        <w:rPr>
          <w:b/>
          <w:bCs/>
        </w:rPr>
        <w:t>Model transaction costs and slippage.</w:t>
      </w:r>
      <w:r w:rsidRPr="00F45CF0">
        <w:br/>
        <w:t>Real</w:t>
      </w:r>
      <w:r w:rsidRPr="00F45CF0">
        <w:noBreakHyphen/>
        <w:t>world trading incurs costs. You can approximate this by deducting a fixed fraction (e.g., 5–10</w:t>
      </w:r>
      <w:r w:rsidRPr="00F45CF0">
        <w:rPr>
          <w:rFonts w:ascii="Arial" w:hAnsi="Arial" w:cs="Arial"/>
        </w:rPr>
        <w:t> </w:t>
      </w:r>
      <w:r w:rsidRPr="00F45CF0">
        <w:t>bp) of trade value whenever the weights change. In the MDPI study, transaction costs and slippage were set at 5</w:t>
      </w:r>
      <w:r w:rsidRPr="00F45CF0">
        <w:rPr>
          <w:rFonts w:ascii="Arial" w:hAnsi="Arial" w:cs="Arial"/>
        </w:rPr>
        <w:t> </w:t>
      </w:r>
      <w:r w:rsidRPr="00F45CF0">
        <w:t>bp and 2</w:t>
      </w:r>
      <w:r w:rsidRPr="00F45CF0">
        <w:rPr>
          <w:rFonts w:ascii="Arial" w:hAnsi="Arial" w:cs="Arial"/>
        </w:rPr>
        <w:t> </w:t>
      </w:r>
      <w:r w:rsidRPr="00F45CF0">
        <w:t>bp respectively</w:t>
      </w:r>
      <w:hyperlink r:id="rId12" w:anchor=":~:text=One%20of%20the%20central%20challenges,essential%20in%20rapidly%20changing%20market" w:tgtFrame="_blank" w:history="1">
        <w:r w:rsidRPr="00F45CF0">
          <w:rPr>
            <w:rStyle w:val="Hyperlink"/>
          </w:rPr>
          <w:t>mdpi.com</w:t>
        </w:r>
      </w:hyperlink>
      <w:r w:rsidRPr="00F45CF0">
        <w:t xml:space="preserve">, and including them changed the optimal rebalancing frequency. In your environment’s step() </w:t>
      </w:r>
      <w:r w:rsidRPr="00F45CF0">
        <w:lastRenderedPageBreak/>
        <w:t>method, subtract a cost proportional to the L1 change in weights since the previous step. This discourages unnecessary turnover and may produce more realistic, risk</w:t>
      </w:r>
      <w:r w:rsidRPr="00F45CF0">
        <w:noBreakHyphen/>
        <w:t>adjusted returns.</w:t>
      </w:r>
    </w:p>
    <w:p w14:paraId="2B5B4C54" w14:textId="77777777" w:rsidR="00F45CF0" w:rsidRPr="00F45CF0" w:rsidRDefault="00F45CF0" w:rsidP="00F45CF0">
      <w:r w:rsidRPr="00F45CF0">
        <w:pict w14:anchorId="387DA5C2">
          <v:rect id="_x0000_i1062" style="width:0;height:1.5pt" o:hralign="center" o:hrstd="t" o:hr="t" fillcolor="#a0a0a0" stroked="f"/>
        </w:pict>
      </w:r>
    </w:p>
    <w:p w14:paraId="688BF679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3. Improve reward functions and risk management</w:t>
      </w:r>
    </w:p>
    <w:p w14:paraId="5C7B767E" w14:textId="77777777" w:rsidR="00F45CF0" w:rsidRPr="00F45CF0" w:rsidRDefault="00F45CF0" w:rsidP="00F45CF0">
      <w:r w:rsidRPr="00F45CF0">
        <w:rPr>
          <w:b/>
          <w:bCs/>
        </w:rPr>
        <w:t>Explore risk</w:t>
      </w:r>
      <w:r w:rsidRPr="00F45CF0">
        <w:rPr>
          <w:b/>
          <w:bCs/>
        </w:rPr>
        <w:noBreakHyphen/>
        <w:t>adjusted objectives.</w:t>
      </w:r>
      <w:r w:rsidRPr="00F45CF0">
        <w:br/>
        <w:t>Your environment currently uses “mean</w:t>
      </w:r>
      <w:r w:rsidRPr="00F45CF0">
        <w:noBreakHyphen/>
        <w:t>CVaR,” which penalizes the conditional tail loss. Research shows that different reward formulations can materially change performance. For example, a KTH thesis tested daily return, Sharpe ratio and Value</w:t>
      </w:r>
      <w:r w:rsidRPr="00F45CF0">
        <w:noBreakHyphen/>
        <w:t>at</w:t>
      </w:r>
      <w:r w:rsidRPr="00F45CF0">
        <w:noBreakHyphen/>
        <w:t>Risk (VaR) rewards; each reward outperformed the benchmark in one market regime but not another</w:t>
      </w:r>
      <w:hyperlink r:id="rId13" w:anchor=":~:text=%E2%80%A2%20and%20the%20trade,05%2023" w:tgtFrame="_blank" w:history="1">
        <w:r w:rsidRPr="00F45CF0">
          <w:rPr>
            <w:rStyle w:val="Hyperlink"/>
          </w:rPr>
          <w:t>diva-portal.org</w:t>
        </w:r>
      </w:hyperlink>
      <w:r w:rsidRPr="00F45CF0">
        <w:t>. Consider:</w:t>
      </w:r>
    </w:p>
    <w:p w14:paraId="077DA741" w14:textId="77777777" w:rsidR="00F45CF0" w:rsidRPr="00F45CF0" w:rsidRDefault="00F45CF0" w:rsidP="00F45CF0">
      <w:pPr>
        <w:numPr>
          <w:ilvl w:val="0"/>
          <w:numId w:val="2"/>
        </w:numPr>
      </w:pPr>
      <w:r w:rsidRPr="00F45CF0">
        <w:rPr>
          <w:b/>
          <w:bCs/>
        </w:rPr>
        <w:t>Sharpe</w:t>
      </w:r>
      <w:r w:rsidRPr="00F45CF0">
        <w:rPr>
          <w:b/>
          <w:bCs/>
        </w:rPr>
        <w:noBreakHyphen/>
        <w:t>ratio</w:t>
      </w:r>
      <w:r w:rsidRPr="00F45CF0">
        <w:rPr>
          <w:b/>
          <w:bCs/>
        </w:rPr>
        <w:noBreakHyphen/>
        <w:t>based reward:</w:t>
      </w:r>
      <w:r w:rsidRPr="00F45CF0">
        <w:t xml:space="preserve"> reward = (return – risk</w:t>
      </w:r>
      <w:r w:rsidRPr="00F45CF0">
        <w:noBreakHyphen/>
        <w:t>free) / portfolio standard deviation. You can approximate standard deviation using an exponential moving variance.</w:t>
      </w:r>
    </w:p>
    <w:p w14:paraId="7A86162B" w14:textId="77777777" w:rsidR="00F45CF0" w:rsidRPr="00F45CF0" w:rsidRDefault="00F45CF0" w:rsidP="00F45CF0">
      <w:pPr>
        <w:numPr>
          <w:ilvl w:val="0"/>
          <w:numId w:val="2"/>
        </w:numPr>
      </w:pPr>
      <w:r w:rsidRPr="00F45CF0">
        <w:rPr>
          <w:b/>
          <w:bCs/>
        </w:rPr>
        <w:t>Log</w:t>
      </w:r>
      <w:r w:rsidRPr="00F45CF0">
        <w:rPr>
          <w:b/>
          <w:bCs/>
        </w:rPr>
        <w:noBreakHyphen/>
        <w:t>utility reward:</w:t>
      </w:r>
      <w:r w:rsidRPr="00F45CF0">
        <w:t xml:space="preserve"> reward = log(1</w:t>
      </w:r>
      <w:r w:rsidRPr="00F45CF0">
        <w:rPr>
          <w:rFonts w:ascii="Arial" w:hAnsi="Arial" w:cs="Arial"/>
        </w:rPr>
        <w:t> </w:t>
      </w:r>
      <w:r w:rsidRPr="00F45CF0">
        <w:t>+</w:t>
      </w:r>
      <w:r w:rsidRPr="00F45CF0">
        <w:rPr>
          <w:rFonts w:ascii="Arial" w:hAnsi="Arial" w:cs="Arial"/>
        </w:rPr>
        <w:t> </w:t>
      </w:r>
      <w:r w:rsidRPr="00F45CF0">
        <w:t>portfolio_return), which naturally penalizes large drawdowns.</w:t>
      </w:r>
    </w:p>
    <w:p w14:paraId="050D5A3F" w14:textId="77777777" w:rsidR="00F45CF0" w:rsidRPr="00F45CF0" w:rsidRDefault="00F45CF0" w:rsidP="00F45CF0">
      <w:pPr>
        <w:numPr>
          <w:ilvl w:val="0"/>
          <w:numId w:val="2"/>
        </w:numPr>
      </w:pPr>
      <w:r w:rsidRPr="00F45CF0">
        <w:rPr>
          <w:b/>
          <w:bCs/>
        </w:rPr>
        <w:t>Probabilistic Sharpe ratio:</w:t>
      </w:r>
      <w:r w:rsidRPr="00F45CF0">
        <w:t xml:space="preserve"> the working paper on RL allocation suggests evaluating significance using the probabilistic Sharpe ratio to account for estimation error</w:t>
      </w:r>
      <w:hyperlink r:id="rId14" w:anchor=":~:text=variance%20approaches,the%20use%20of%20RL%20systems" w:tgtFrame="_blank" w:history="1">
        <w:r w:rsidRPr="00F45CF0">
          <w:rPr>
            <w:rStyle w:val="Hyperlink"/>
          </w:rPr>
          <w:t>econstor.eu</w:t>
        </w:r>
      </w:hyperlink>
      <w:r w:rsidRPr="00F45CF0">
        <w:t>. This can help you avoid overfitting to spurious high Sharpe ratios.</w:t>
      </w:r>
    </w:p>
    <w:p w14:paraId="6C4BE8A5" w14:textId="77777777" w:rsidR="00F45CF0" w:rsidRPr="00F45CF0" w:rsidRDefault="00F45CF0" w:rsidP="00F45CF0">
      <w:r w:rsidRPr="00F45CF0">
        <w:t>Tune the risk coefficient (risk_coefficient) and the alpha level for CVaR (e.g., 0.01 vs 0.05) to see how strongly the agent penalizes tail risk; the literature finds that RL agents can reduce left</w:t>
      </w:r>
      <w:r w:rsidRPr="00F45CF0">
        <w:noBreakHyphen/>
        <w:t>tail risk even when outperformance isn’t universal</w:t>
      </w:r>
      <w:hyperlink r:id="rId15" w:anchor=":~:text=variance%20approaches,the%20use%20of%20RL%20systems" w:tgtFrame="_blank" w:history="1">
        <w:r w:rsidRPr="00F45CF0">
          <w:rPr>
            <w:rStyle w:val="Hyperlink"/>
          </w:rPr>
          <w:t>econstor.eu</w:t>
        </w:r>
      </w:hyperlink>
      <w:r w:rsidRPr="00F45CF0">
        <w:t>.</w:t>
      </w:r>
    </w:p>
    <w:p w14:paraId="3728DFE7" w14:textId="77777777" w:rsidR="00F45CF0" w:rsidRPr="00F45CF0" w:rsidRDefault="00F45CF0" w:rsidP="00F45CF0">
      <w:r w:rsidRPr="00F45CF0">
        <w:pict w14:anchorId="474CE0D6">
          <v:rect id="_x0000_i1063" style="width:0;height:1.5pt" o:hralign="center" o:hrstd="t" o:hr="t" fillcolor="#a0a0a0" stroked="f"/>
        </w:pict>
      </w:r>
    </w:p>
    <w:p w14:paraId="3622725E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4. Enhance feature engineering</w:t>
      </w:r>
    </w:p>
    <w:p w14:paraId="628A44A2" w14:textId="77777777" w:rsidR="00F45CF0" w:rsidRPr="00F45CF0" w:rsidRDefault="00F45CF0" w:rsidP="00F45CF0">
      <w:r w:rsidRPr="00F45CF0">
        <w:rPr>
          <w:b/>
          <w:bCs/>
        </w:rPr>
        <w:t>Add macro and cross</w:t>
      </w:r>
      <w:r w:rsidRPr="00F45CF0">
        <w:rPr>
          <w:b/>
          <w:bCs/>
        </w:rPr>
        <w:noBreakHyphen/>
        <w:t>sectional features.</w:t>
      </w:r>
      <w:r w:rsidRPr="00F45CF0">
        <w:br/>
        <w:t>At present, you compute volatility, momentum and moving averages from ETF prices. The MDPI study notes that adding technical indicators provided marginal improvements</w:t>
      </w:r>
      <w:hyperlink r:id="rId16" w:anchor=":~:text=the%20core%20instruments,advancements%20in%20financial%20machine%20learning" w:tgtFrame="_blank" w:history="1">
        <w:r w:rsidRPr="00F45CF0">
          <w:rPr>
            <w:rStyle w:val="Hyperlink"/>
          </w:rPr>
          <w:t>mdpi.com</w:t>
        </w:r>
      </w:hyperlink>
      <w:r w:rsidRPr="00F45CF0">
        <w:t>. Try adding:</w:t>
      </w:r>
    </w:p>
    <w:p w14:paraId="6D77D570" w14:textId="77777777" w:rsidR="00F45CF0" w:rsidRPr="00F45CF0" w:rsidRDefault="00F45CF0" w:rsidP="00F45CF0">
      <w:pPr>
        <w:numPr>
          <w:ilvl w:val="0"/>
          <w:numId w:val="3"/>
        </w:numPr>
      </w:pPr>
      <w:r w:rsidRPr="00F45CF0">
        <w:t>Factor exposures (e.g., Fama–French factors, sector indicators, or macro variables like interest rates and VIX).</w:t>
      </w:r>
    </w:p>
    <w:p w14:paraId="29441AAE" w14:textId="77777777" w:rsidR="00F45CF0" w:rsidRPr="00F45CF0" w:rsidRDefault="00F45CF0" w:rsidP="00F45CF0">
      <w:pPr>
        <w:numPr>
          <w:ilvl w:val="0"/>
          <w:numId w:val="3"/>
        </w:numPr>
      </w:pPr>
      <w:r w:rsidRPr="00F45CF0">
        <w:t>Cross</w:t>
      </w:r>
      <w:r w:rsidRPr="00F45CF0">
        <w:noBreakHyphen/>
        <w:t>sectional rankings (e.g., each ETF’s momentum relative to the group).</w:t>
      </w:r>
    </w:p>
    <w:p w14:paraId="34C05BC1" w14:textId="77777777" w:rsidR="00F45CF0" w:rsidRPr="00F45CF0" w:rsidRDefault="00F45CF0" w:rsidP="00F45CF0">
      <w:pPr>
        <w:numPr>
          <w:ilvl w:val="0"/>
          <w:numId w:val="3"/>
        </w:numPr>
      </w:pPr>
      <w:r w:rsidRPr="00F45CF0">
        <w:t>Measures of drawdown, skewness or realized volatility.</w:t>
      </w:r>
    </w:p>
    <w:p w14:paraId="528CCD16" w14:textId="77777777" w:rsidR="00F45CF0" w:rsidRPr="00F45CF0" w:rsidRDefault="00F45CF0" w:rsidP="00F45CF0">
      <w:r w:rsidRPr="00F45CF0">
        <w:lastRenderedPageBreak/>
        <w:t>A richer state space may allow the agent to detect patterns not captured by simple moving averages.</w:t>
      </w:r>
    </w:p>
    <w:p w14:paraId="7EA493E3" w14:textId="77777777" w:rsidR="00F45CF0" w:rsidRPr="00F45CF0" w:rsidRDefault="00F45CF0" w:rsidP="00F45CF0">
      <w:r w:rsidRPr="00F45CF0">
        <w:rPr>
          <w:b/>
          <w:bCs/>
        </w:rPr>
        <w:t>Standardize across cross</w:t>
      </w:r>
      <w:r w:rsidRPr="00F45CF0">
        <w:rPr>
          <w:b/>
          <w:bCs/>
        </w:rPr>
        <w:noBreakHyphen/>
        <w:t>sections.</w:t>
      </w:r>
      <w:r w:rsidRPr="00F45CF0">
        <w:br/>
        <w:t>You standardize each window separately. Ensure there’s no look</w:t>
      </w:r>
      <w:r w:rsidRPr="00F45CF0">
        <w:noBreakHyphen/>
        <w:t>ahead bias: fit the StandardScaler only on the training set and apply it to validation/prediction. Also consider using robust scaling (median/IQR) if your features contain outliers.</w:t>
      </w:r>
    </w:p>
    <w:p w14:paraId="0ACA75F0" w14:textId="77777777" w:rsidR="00F45CF0" w:rsidRPr="00F45CF0" w:rsidRDefault="00F45CF0" w:rsidP="00F45CF0">
      <w:r w:rsidRPr="00F45CF0">
        <w:pict w14:anchorId="6B5A5804">
          <v:rect id="_x0000_i1064" style="width:0;height:1.5pt" o:hralign="center" o:hrstd="t" o:hr="t" fillcolor="#a0a0a0" stroked="f"/>
        </w:pict>
      </w:r>
    </w:p>
    <w:p w14:paraId="141B1F14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5. Refine the network and hyperparameter search</w:t>
      </w:r>
    </w:p>
    <w:p w14:paraId="6F840027" w14:textId="77777777" w:rsidR="00F45CF0" w:rsidRPr="00F45CF0" w:rsidRDefault="00F45CF0" w:rsidP="00F45CF0">
      <w:pPr>
        <w:numPr>
          <w:ilvl w:val="0"/>
          <w:numId w:val="4"/>
        </w:numPr>
      </w:pPr>
      <w:r w:rsidRPr="00F45CF0">
        <w:rPr>
          <w:b/>
          <w:bCs/>
        </w:rPr>
        <w:t>Increase network depth and width.</w:t>
      </w:r>
      <w:r w:rsidRPr="00F45CF0">
        <w:t xml:space="preserve"> A two</w:t>
      </w:r>
      <w:r w:rsidRPr="00F45CF0">
        <w:noBreakHyphen/>
        <w:t>layer 256</w:t>
      </w:r>
      <w:r w:rsidRPr="00F45CF0">
        <w:noBreakHyphen/>
        <w:t>unit MLP may be insufficient. The MDPI article suggests that deeper networks (three to four layers) with more units improved performance for CNN and MLP extractors</w:t>
      </w:r>
      <w:hyperlink r:id="rId17" w:anchor=":~:text=the%20core%20instruments,advancements%20in%20financial%20machine%20learning" w:tgtFrame="_blank" w:history="1">
        <w:r w:rsidRPr="00F45CF0">
          <w:rPr>
            <w:rStyle w:val="Hyperlink"/>
          </w:rPr>
          <w:t>mdpi.com</w:t>
        </w:r>
      </w:hyperlink>
      <w:r w:rsidRPr="00F45CF0">
        <w:t>. Try architectures like (512, 256, 128) with dropout and layer normalization.</w:t>
      </w:r>
    </w:p>
    <w:p w14:paraId="3606D9B8" w14:textId="77777777" w:rsidR="00F45CF0" w:rsidRPr="00F45CF0" w:rsidRDefault="00F45CF0" w:rsidP="00F45CF0">
      <w:pPr>
        <w:numPr>
          <w:ilvl w:val="0"/>
          <w:numId w:val="4"/>
        </w:numPr>
      </w:pPr>
      <w:r w:rsidRPr="00F45CF0">
        <w:rPr>
          <w:b/>
          <w:bCs/>
        </w:rPr>
        <w:t>Use Optuna for hyperparameter tuning.</w:t>
      </w:r>
      <w:r w:rsidRPr="00F45CF0">
        <w:t xml:space="preserve"> Random sampling is coarse. Libraries like Optuna can search learning rate, batch size, n_steps, discount factor gamma, entropy coefficient, and clipping range. Explore more seeds and iterations to reduce variance.</w:t>
      </w:r>
    </w:p>
    <w:p w14:paraId="3FDB43EE" w14:textId="77777777" w:rsidR="00F45CF0" w:rsidRPr="00F45CF0" w:rsidRDefault="00F45CF0" w:rsidP="00F45CF0">
      <w:pPr>
        <w:numPr>
          <w:ilvl w:val="0"/>
          <w:numId w:val="4"/>
        </w:numPr>
      </w:pPr>
      <w:r w:rsidRPr="00F45CF0">
        <w:rPr>
          <w:b/>
          <w:bCs/>
        </w:rPr>
        <w:t>Parallelize environments.</w:t>
      </w:r>
      <w:r w:rsidRPr="00F45CF0">
        <w:t xml:space="preserve"> PPO benefits from multiple parallel environments (e.g., 4–8) to stabilize gradient estimates. Use make_vec_env with n_envs &gt; 1 to speed up training and improve sample diversity.</w:t>
      </w:r>
    </w:p>
    <w:p w14:paraId="59C9E45D" w14:textId="77777777" w:rsidR="00F45CF0" w:rsidRPr="00F45CF0" w:rsidRDefault="00F45CF0" w:rsidP="00F45CF0">
      <w:r w:rsidRPr="00F45CF0">
        <w:pict w14:anchorId="03EF8F56">
          <v:rect id="_x0000_i1065" style="width:0;height:1.5pt" o:hralign="center" o:hrstd="t" o:hr="t" fillcolor="#a0a0a0" stroked="f"/>
        </w:pict>
      </w:r>
    </w:p>
    <w:p w14:paraId="314ABAFF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6. Rethink action constraints and baseline integration</w:t>
      </w:r>
    </w:p>
    <w:p w14:paraId="1AF4A21B" w14:textId="77777777" w:rsidR="00F45CF0" w:rsidRPr="00F45CF0" w:rsidRDefault="00F45CF0" w:rsidP="00F45CF0">
      <w:pPr>
        <w:numPr>
          <w:ilvl w:val="0"/>
          <w:numId w:val="5"/>
        </w:numPr>
      </w:pPr>
      <w:r w:rsidRPr="00F45CF0">
        <w:rPr>
          <w:b/>
          <w:bCs/>
        </w:rPr>
        <w:t>Relax weight clipping and long–short limits.</w:t>
      </w:r>
      <w:r w:rsidRPr="00F45CF0">
        <w:t xml:space="preserve"> The environment clamps weights to [–0.2,</w:t>
      </w:r>
      <w:r w:rsidRPr="00F45CF0">
        <w:rPr>
          <w:rFonts w:ascii="Arial" w:hAnsi="Arial" w:cs="Arial"/>
        </w:rPr>
        <w:t> </w:t>
      </w:r>
      <w:r w:rsidRPr="00F45CF0">
        <w:t xml:space="preserve">0.8] per asset and imposes a 1.20/0.20 long/short split. Such tight bounds may force the agent toward equal weights. Experiment with broader limits (e.g., </w:t>
      </w:r>
      <w:r w:rsidRPr="00F45CF0">
        <w:rPr>
          <w:rFonts w:ascii="Aptos" w:hAnsi="Aptos" w:cs="Aptos"/>
        </w:rPr>
        <w:t>–</w:t>
      </w:r>
      <w:r w:rsidRPr="00F45CF0">
        <w:t>0.5 to 1.5) or allow the agent to output continuous weights that are then normalized to sum to 1 (with optional leverage constraint).</w:t>
      </w:r>
    </w:p>
    <w:p w14:paraId="35FB94A4" w14:textId="77777777" w:rsidR="00F45CF0" w:rsidRPr="00F45CF0" w:rsidRDefault="00F45CF0" w:rsidP="00F45CF0">
      <w:pPr>
        <w:numPr>
          <w:ilvl w:val="0"/>
          <w:numId w:val="5"/>
        </w:numPr>
      </w:pPr>
      <w:r w:rsidRPr="00F45CF0">
        <w:rPr>
          <w:b/>
          <w:bCs/>
        </w:rPr>
        <w:t>Use change</w:t>
      </w:r>
      <w:r w:rsidRPr="00F45CF0">
        <w:rPr>
          <w:b/>
          <w:bCs/>
        </w:rPr>
        <w:noBreakHyphen/>
        <w:t>based actions.</w:t>
      </w:r>
      <w:r w:rsidRPr="00F45CF0">
        <w:t xml:space="preserve"> Instead of predicting absolute weights, predict weight </w:t>
      </w:r>
      <w:r w:rsidRPr="00F45CF0">
        <w:rPr>
          <w:i/>
          <w:iCs/>
        </w:rPr>
        <w:t>adjustments</w:t>
      </w:r>
      <w:r w:rsidRPr="00F45CF0">
        <w:t xml:space="preserve"> relative to the previous portfolio. This can simplify learning and incorporate transaction costs naturally.</w:t>
      </w:r>
    </w:p>
    <w:p w14:paraId="0F821F36" w14:textId="77777777" w:rsidR="00F45CF0" w:rsidRPr="00F45CF0" w:rsidRDefault="00F45CF0" w:rsidP="00F45CF0">
      <w:pPr>
        <w:numPr>
          <w:ilvl w:val="0"/>
          <w:numId w:val="5"/>
        </w:numPr>
      </w:pPr>
      <w:r w:rsidRPr="00F45CF0">
        <w:rPr>
          <w:b/>
          <w:bCs/>
        </w:rPr>
        <w:t>Portfolio</w:t>
      </w:r>
      <w:r w:rsidRPr="00F45CF0">
        <w:rPr>
          <w:b/>
          <w:bCs/>
        </w:rPr>
        <w:noBreakHyphen/>
        <w:t>enhancement RL.</w:t>
      </w:r>
      <w:r w:rsidRPr="00F45CF0">
        <w:t xml:space="preserve"> Recent papers propose using RL to adjust a baseline portfolio rather than build one from scratch. For example, a PPO</w:t>
      </w:r>
      <w:r w:rsidRPr="00F45CF0">
        <w:noBreakHyphen/>
        <w:t>based agent can be trained to apply multiplicative tilts to an equal</w:t>
      </w:r>
      <w:r w:rsidRPr="00F45CF0">
        <w:noBreakHyphen/>
        <w:t>weighted or factor</w:t>
      </w:r>
      <w:r w:rsidRPr="00F45CF0">
        <w:noBreakHyphen/>
        <w:t>weighted baseline (see “regret</w:t>
      </w:r>
      <w:r w:rsidRPr="00F45CF0">
        <w:noBreakHyphen/>
        <w:t>optimized portfolio enhancement” literature). This reduces the search space and often yields more stable improvements.</w:t>
      </w:r>
    </w:p>
    <w:p w14:paraId="0DF426F9" w14:textId="77777777" w:rsidR="00F45CF0" w:rsidRPr="00F45CF0" w:rsidRDefault="00F45CF0" w:rsidP="00F45CF0">
      <w:r w:rsidRPr="00F45CF0">
        <w:lastRenderedPageBreak/>
        <w:pict w14:anchorId="185A8FB7">
          <v:rect id="_x0000_i1066" style="width:0;height:1.5pt" o:hralign="center" o:hrstd="t" o:hr="t" fillcolor="#a0a0a0" stroked="f"/>
        </w:pict>
      </w:r>
    </w:p>
    <w:p w14:paraId="6A87D574" w14:textId="77777777" w:rsidR="00F45CF0" w:rsidRPr="00F45CF0" w:rsidRDefault="00F45CF0" w:rsidP="00F45CF0">
      <w:pPr>
        <w:rPr>
          <w:b/>
          <w:bCs/>
        </w:rPr>
      </w:pPr>
      <w:r w:rsidRPr="00F45CF0">
        <w:rPr>
          <w:b/>
          <w:bCs/>
        </w:rPr>
        <w:t>7. Ensure robust evaluation</w:t>
      </w:r>
    </w:p>
    <w:p w14:paraId="7814A96A" w14:textId="77777777" w:rsidR="00F45CF0" w:rsidRPr="00F45CF0" w:rsidRDefault="00F45CF0" w:rsidP="00F45CF0">
      <w:pPr>
        <w:numPr>
          <w:ilvl w:val="0"/>
          <w:numId w:val="6"/>
        </w:numPr>
      </w:pPr>
      <w:r w:rsidRPr="00F45CF0">
        <w:rPr>
          <w:b/>
          <w:bCs/>
        </w:rPr>
        <w:t>Walk</w:t>
      </w:r>
      <w:r w:rsidRPr="00F45CF0">
        <w:rPr>
          <w:b/>
          <w:bCs/>
        </w:rPr>
        <w:noBreakHyphen/>
        <w:t>forward analysis with more windows and seeds.</w:t>
      </w:r>
      <w:r w:rsidRPr="00F45CF0">
        <w:t xml:space="preserve"> Ten</w:t>
      </w:r>
      <w:r w:rsidRPr="00F45CF0">
        <w:noBreakHyphen/>
        <w:t>year training windows may not expose the agent to enough market regimes. Consider overlapping windows (e.g., 5</w:t>
      </w:r>
      <w:r w:rsidRPr="00F45CF0">
        <w:noBreakHyphen/>
        <w:t>year rolling) and more outer iterations.</w:t>
      </w:r>
    </w:p>
    <w:p w14:paraId="4BB44563" w14:textId="77777777" w:rsidR="00F45CF0" w:rsidRPr="00F45CF0" w:rsidRDefault="00F45CF0" w:rsidP="00F45CF0">
      <w:pPr>
        <w:numPr>
          <w:ilvl w:val="0"/>
          <w:numId w:val="6"/>
        </w:numPr>
      </w:pPr>
      <w:r w:rsidRPr="00F45CF0">
        <w:rPr>
          <w:b/>
          <w:bCs/>
        </w:rPr>
        <w:t>Use statistical tests.</w:t>
      </w:r>
      <w:r w:rsidRPr="00F45CF0">
        <w:t xml:space="preserve"> Alongside the t</w:t>
      </w:r>
      <w:r w:rsidRPr="00F45CF0">
        <w:noBreakHyphen/>
        <w:t>test you already compute, evaluate deflated or probabilistic Sharpe ratios</w:t>
      </w:r>
      <w:hyperlink r:id="rId18" w:anchor=":~:text=variance%20approaches,the%20use%20of%20RL%20systems" w:tgtFrame="_blank" w:history="1">
        <w:r w:rsidRPr="00F45CF0">
          <w:rPr>
            <w:rStyle w:val="Hyperlink"/>
          </w:rPr>
          <w:t>econstor.eu</w:t>
        </w:r>
      </w:hyperlink>
      <w:r w:rsidRPr="00F45CF0">
        <w:t xml:space="preserve"> to ensure any outperformance is statistically significant after adjusting for multiple trials. This is important for a dissertation to avoid data</w:t>
      </w:r>
      <w:r w:rsidRPr="00F45CF0">
        <w:noBreakHyphen/>
        <w:t>mining bias.</w:t>
      </w:r>
    </w:p>
    <w:p w14:paraId="5DD6C6CC" w14:textId="77777777" w:rsidR="00F45CF0" w:rsidRPr="00F45CF0" w:rsidRDefault="00F45CF0" w:rsidP="00F45CF0">
      <w:pPr>
        <w:numPr>
          <w:ilvl w:val="0"/>
          <w:numId w:val="6"/>
        </w:numPr>
      </w:pPr>
      <w:r w:rsidRPr="00F45CF0">
        <w:rPr>
          <w:b/>
          <w:bCs/>
        </w:rPr>
        <w:t>Include an equal</w:t>
      </w:r>
      <w:r w:rsidRPr="00F45CF0">
        <w:rPr>
          <w:b/>
          <w:bCs/>
        </w:rPr>
        <w:noBreakHyphen/>
        <w:t>risk</w:t>
      </w:r>
      <w:r w:rsidRPr="00F45CF0">
        <w:rPr>
          <w:b/>
          <w:bCs/>
        </w:rPr>
        <w:noBreakHyphen/>
        <w:t>contribution benchmark.</w:t>
      </w:r>
      <w:r w:rsidRPr="00F45CF0">
        <w:t xml:space="preserve"> RL sometimes improves risk profiles even when returns match the 1/N portfolio</w:t>
      </w:r>
      <w:hyperlink r:id="rId19" w:anchor=":~:text=variance%20approaches,the%20use%20of%20RL%20systems" w:tgtFrame="_blank" w:history="1">
        <w:r w:rsidRPr="00F45CF0">
          <w:rPr>
            <w:rStyle w:val="Hyperlink"/>
          </w:rPr>
          <w:t>econstor.eu</w:t>
        </w:r>
      </w:hyperlink>
      <w:r w:rsidRPr="00F45CF0">
        <w:t>. Compare drawdowns and downside risk to demonstrate value.</w:t>
      </w:r>
    </w:p>
    <w:p w14:paraId="559F5F77" w14:textId="77777777" w:rsidR="001169CA" w:rsidRPr="00F45CF0" w:rsidRDefault="001169CA" w:rsidP="00F45CF0"/>
    <w:sectPr w:rsidR="001169CA" w:rsidRPr="00F4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0E4"/>
    <w:multiLevelType w:val="multilevel"/>
    <w:tmpl w:val="F49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400F"/>
    <w:multiLevelType w:val="multilevel"/>
    <w:tmpl w:val="7D1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3CD0"/>
    <w:multiLevelType w:val="multilevel"/>
    <w:tmpl w:val="861E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7309"/>
    <w:multiLevelType w:val="multilevel"/>
    <w:tmpl w:val="C0D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51E9"/>
    <w:multiLevelType w:val="multilevel"/>
    <w:tmpl w:val="4E2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50F83"/>
    <w:multiLevelType w:val="multilevel"/>
    <w:tmpl w:val="A46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843323">
    <w:abstractNumId w:val="1"/>
  </w:num>
  <w:num w:numId="2" w16cid:durableId="796069592">
    <w:abstractNumId w:val="3"/>
  </w:num>
  <w:num w:numId="3" w16cid:durableId="647396082">
    <w:abstractNumId w:val="4"/>
  </w:num>
  <w:num w:numId="4" w16cid:durableId="764305324">
    <w:abstractNumId w:val="5"/>
  </w:num>
  <w:num w:numId="5" w16cid:durableId="1324503125">
    <w:abstractNumId w:val="0"/>
  </w:num>
  <w:num w:numId="6" w16cid:durableId="1232152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0"/>
    <w:rsid w:val="001169CA"/>
    <w:rsid w:val="00705E86"/>
    <w:rsid w:val="008E4EFB"/>
    <w:rsid w:val="009331D6"/>
    <w:rsid w:val="00F4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FDE"/>
  <w15:chartTrackingRefBased/>
  <w15:docId w15:val="{E9E60D4A-B75B-4AAF-8242-A3DA391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5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9-4893/17/12/570" TargetMode="External"/><Relationship Id="rId13" Type="http://schemas.openxmlformats.org/officeDocument/2006/relationships/hyperlink" Target="https://www.diva-portal.org/smash/get/diva2:1849139/FULLTEXT01.pdf" TargetMode="External"/><Relationship Id="rId18" Type="http://schemas.openxmlformats.org/officeDocument/2006/relationships/hyperlink" Target="https://www.econstor.eu/bitstream/10419/271267/1/qms-rp2023-01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dpi.com/1999-4893/17/12/570" TargetMode="External"/><Relationship Id="rId12" Type="http://schemas.openxmlformats.org/officeDocument/2006/relationships/hyperlink" Target="https://www.mdpi.com/1999-4893/17/12/570" TargetMode="External"/><Relationship Id="rId17" Type="http://schemas.openxmlformats.org/officeDocument/2006/relationships/hyperlink" Target="https://www.mdpi.com/1999-4893/17/12/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pi.com/1999-4893/17/12/57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dpi.com/1999-4893/17/12/570" TargetMode="External"/><Relationship Id="rId11" Type="http://schemas.openxmlformats.org/officeDocument/2006/relationships/hyperlink" Target="https://www.mdpi.com/1999-4893/17/12/570" TargetMode="External"/><Relationship Id="rId5" Type="http://schemas.openxmlformats.org/officeDocument/2006/relationships/hyperlink" Target="https://www.mdpi.com/1999-4893/17/12/570" TargetMode="External"/><Relationship Id="rId15" Type="http://schemas.openxmlformats.org/officeDocument/2006/relationships/hyperlink" Target="https://www.econstor.eu/bitstream/10419/271267/1/qms-rp2023-01.pdf" TargetMode="External"/><Relationship Id="rId10" Type="http://schemas.openxmlformats.org/officeDocument/2006/relationships/hyperlink" Target="https://www.mdpi.com/1999-4893/17/12/570" TargetMode="External"/><Relationship Id="rId19" Type="http://schemas.openxmlformats.org/officeDocument/2006/relationships/hyperlink" Target="https://www.econstor.eu/bitstream/10419/271267/1/qms-rp2023-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999-4893/17/12/570" TargetMode="External"/><Relationship Id="rId14" Type="http://schemas.openxmlformats.org/officeDocument/2006/relationships/hyperlink" Target="https://www.econstor.eu/bitstream/10419/271267/1/qms-rp2023-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Yu</dc:creator>
  <cp:keywords/>
  <dc:description/>
  <cp:lastModifiedBy>jyu23</cp:lastModifiedBy>
  <cp:revision>1</cp:revision>
  <dcterms:created xsi:type="dcterms:W3CDTF">2025-07-28T02:55:00Z</dcterms:created>
  <dcterms:modified xsi:type="dcterms:W3CDTF">2025-07-28T02:56:00Z</dcterms:modified>
</cp:coreProperties>
</file>