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总则</w:t>
      </w:r>
    </w:p>
    <w:p>
      <w:pPr>
        <w:pStyle w:val="AEOSBody"/>
      </w:pPr>
      <w:r>
        <w:t>继承样式的正文段落。</w:t>
      </w:r>
    </w:p>
    <w:p>
      <w:pPr>
        <w:pStyle w:val="AEOSBody"/>
        <w:spacing w:line="240" w:lineRule="auto" w:after="0"/>
      </w:pPr>
      <w:r>
        <w:t>直接设置为单倍行距的段落。</w:t>
      </w:r>
    </w:p>
    <w:p>
      <w:pPr>
        <w:pStyle w:val="AEOSBody"/>
      </w:pPr>
      <w:r>
        <w:t>网络安全,黑名单管理要求。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格式错误样本页脚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格式错误样本页眉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OSBody">
    <w:name w:val="AEOS Body"/>
    <w:basedOn w:val="Normal"/>
    <w:pPr>
      <w:spacing w:line="360" w:lineRule="auto" w:after="120"/>
      <w:ind w:left="480"/>
    </w:pPr>
    <w:rPr>
      <w:rFonts w:ascii="SimSun" w:hAnsi="SimSu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