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7" w:type="dxa"/>
        <w:tblInd w:w="-743" w:type="dxa"/>
        <w:tblLayout w:type="fixed"/>
        <w:tblLook w:val="0000" w:firstRow="0" w:lastRow="0" w:firstColumn="0" w:lastColumn="0" w:noHBand="0" w:noVBand="0"/>
      </w:tblPr>
      <w:tblGrid>
        <w:gridCol w:w="284"/>
        <w:gridCol w:w="6570"/>
        <w:gridCol w:w="22"/>
        <w:gridCol w:w="3331"/>
      </w:tblGrid>
      <w:tr w:rsidR="00F660EA" w:rsidRPr="00E55210" w:rsidTr="00402A7D">
        <w:trPr>
          <w:cantSplit/>
          <w:trHeight w:val="1843"/>
        </w:trPr>
        <w:tc>
          <w:tcPr>
            <w:tcW w:w="10207" w:type="dxa"/>
            <w:gridSpan w:val="4"/>
            <w:tcBorders>
              <w:top w:val="nil"/>
              <w:left w:val="nil"/>
              <w:bottom w:val="single" w:sz="4" w:space="0" w:color="999999"/>
              <w:right w:val="nil"/>
            </w:tcBorders>
          </w:tcPr>
          <w:p w:rsidR="00022125" w:rsidRDefault="00F5504E" w:rsidP="00A07D6A">
            <w:pPr>
              <w:rPr>
                <w:b/>
                <w:sz w:val="20"/>
                <w:szCs w:val="20"/>
                <w:lang w:val="en-AU"/>
              </w:rPr>
            </w:pPr>
            <w:r>
              <w:rPr>
                <w:noProof/>
                <w:lang w:val="en-AU" w:eastAsia="en-AU"/>
              </w:rPr>
              <w:drawing>
                <wp:anchor distT="0" distB="0" distL="114300" distR="114300" simplePos="0" relativeHeight="251659264" behindDoc="0" locked="0" layoutInCell="1" allowOverlap="1">
                  <wp:simplePos x="0" y="0"/>
                  <wp:positionH relativeFrom="column">
                    <wp:posOffset>4481830</wp:posOffset>
                  </wp:positionH>
                  <wp:positionV relativeFrom="paragraph">
                    <wp:posOffset>-42863</wp:posOffset>
                  </wp:positionV>
                  <wp:extent cx="1014920" cy="953165"/>
                  <wp:effectExtent l="285750" t="209550" r="242570" b="227965"/>
                  <wp:wrapNone/>
                  <wp:docPr id="1" name="Picture 1" descr="Dr Slade Matth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 Slade Matth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2648" cy="969815"/>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F660EA" w:rsidRPr="00294D7B">
              <w:rPr>
                <w:b/>
                <w:sz w:val="20"/>
                <w:szCs w:val="20"/>
                <w:lang w:val="en-AU"/>
              </w:rPr>
              <w:t>Slade Matthews</w:t>
            </w:r>
          </w:p>
          <w:p w:rsidR="00F660EA" w:rsidRDefault="000E7364" w:rsidP="00A07D6A">
            <w:pPr>
              <w:rPr>
                <w:lang w:val="en-AU"/>
              </w:rPr>
            </w:pPr>
            <w:r>
              <w:rPr>
                <w:lang w:val="en-AU"/>
              </w:rPr>
              <w:t xml:space="preserve">Senior </w:t>
            </w:r>
            <w:r w:rsidRPr="00E55210">
              <w:rPr>
                <w:lang w:val="en-AU"/>
              </w:rPr>
              <w:t>Lecturer</w:t>
            </w:r>
            <w:r>
              <w:rPr>
                <w:lang w:val="en-AU"/>
              </w:rPr>
              <w:t xml:space="preserve"> </w:t>
            </w:r>
            <w:r w:rsidR="00253133">
              <w:rPr>
                <w:lang w:val="en-AU"/>
              </w:rPr>
              <w:t xml:space="preserve">in </w:t>
            </w:r>
            <w:r w:rsidR="00E27399">
              <w:rPr>
                <w:lang w:val="en-AU"/>
              </w:rPr>
              <w:t xml:space="preserve">Toxicology </w:t>
            </w:r>
          </w:p>
          <w:p w:rsidR="00F660EA" w:rsidRDefault="00F660EA" w:rsidP="00A07D6A">
            <w:pPr>
              <w:rPr>
                <w:lang w:val="en-AU"/>
              </w:rPr>
            </w:pPr>
            <w:r>
              <w:rPr>
                <w:lang w:val="en-AU"/>
              </w:rPr>
              <w:t>Head, Pharmacoinformatics Laboratory</w:t>
            </w:r>
          </w:p>
          <w:p w:rsidR="00CF21BB" w:rsidRDefault="003E6BD9" w:rsidP="00A07D6A">
            <w:pPr>
              <w:rPr>
                <w:lang w:val="en-AU"/>
              </w:rPr>
            </w:pPr>
            <w:r>
              <w:rPr>
                <w:lang w:val="en-AU"/>
              </w:rPr>
              <w:t xml:space="preserve">Discipline of </w:t>
            </w:r>
            <w:r w:rsidR="00AF6742">
              <w:rPr>
                <w:lang w:val="en-AU"/>
              </w:rPr>
              <w:t>Pharmacology,</w:t>
            </w:r>
          </w:p>
          <w:p w:rsidR="00F660EA" w:rsidRPr="00E55210" w:rsidRDefault="00CF21BB" w:rsidP="00A07D6A">
            <w:pPr>
              <w:rPr>
                <w:lang w:val="en-AU"/>
              </w:rPr>
            </w:pPr>
            <w:r>
              <w:rPr>
                <w:lang w:val="en-AU"/>
              </w:rPr>
              <w:t>Sydney Medical School</w:t>
            </w:r>
            <w:r w:rsidR="00F660EA" w:rsidRPr="00E55210">
              <w:rPr>
                <w:lang w:val="en-AU"/>
              </w:rPr>
              <w:t>, The University of Sydney, NSW 2006</w:t>
            </w:r>
          </w:p>
          <w:p w:rsidR="006214AE" w:rsidRDefault="006214AE" w:rsidP="00C069B4">
            <w:pPr>
              <w:rPr>
                <w:lang w:val="en-AU"/>
              </w:rPr>
            </w:pPr>
          </w:p>
          <w:p w:rsidR="00F660EA" w:rsidRPr="00E55210" w:rsidRDefault="00F660EA" w:rsidP="00C069B4">
            <w:pPr>
              <w:rPr>
                <w:lang w:val="en-AU"/>
              </w:rPr>
            </w:pPr>
            <w:r w:rsidRPr="00E55210">
              <w:rPr>
                <w:lang w:val="en-AU"/>
              </w:rPr>
              <w:t xml:space="preserve">Phone: </w:t>
            </w:r>
            <w:r w:rsidR="00F769A2">
              <w:rPr>
                <w:lang w:val="en-AU"/>
              </w:rPr>
              <w:t>+61-403463347</w:t>
            </w:r>
          </w:p>
          <w:p w:rsidR="00F660EA" w:rsidRDefault="00D805B5" w:rsidP="006214AE">
            <w:pPr>
              <w:pStyle w:val="e-mailaddress"/>
              <w:spacing w:after="0"/>
              <w:rPr>
                <w:lang w:val="en-AU"/>
              </w:rPr>
            </w:pPr>
            <w:r>
              <w:rPr>
                <w:lang w:val="en-AU"/>
              </w:rPr>
              <w:t xml:space="preserve">E-mail: </w:t>
            </w:r>
            <w:hyperlink r:id="rId8" w:history="1">
              <w:r w:rsidR="00474134" w:rsidRPr="004558EF">
                <w:rPr>
                  <w:rStyle w:val="Hyperlink"/>
                  <w:lang w:val="en-AU"/>
                </w:rPr>
                <w:t>slade.matthews@sydney.edu.au</w:t>
              </w:r>
            </w:hyperlink>
          </w:p>
          <w:p w:rsidR="00474134" w:rsidRDefault="00474134" w:rsidP="006214AE">
            <w:pPr>
              <w:pStyle w:val="e-mailaddress"/>
              <w:spacing w:after="0"/>
              <w:rPr>
                <w:lang w:val="en-AU"/>
              </w:rPr>
            </w:pPr>
            <w:r>
              <w:rPr>
                <w:lang w:val="en-AU"/>
              </w:rPr>
              <w:t>Twitter: @sladem</w:t>
            </w:r>
          </w:p>
          <w:p w:rsidR="00AF0D57" w:rsidRDefault="00AF0D57" w:rsidP="006214AE">
            <w:pPr>
              <w:pStyle w:val="e-mailaddress"/>
              <w:spacing w:after="0"/>
            </w:pPr>
            <w:r>
              <w:rPr>
                <w:lang w:val="en-AU"/>
              </w:rPr>
              <w:t xml:space="preserve">Linkedin: </w:t>
            </w:r>
            <w:hyperlink r:id="rId9" w:history="1">
              <w:r w:rsidRPr="004558EF">
                <w:rPr>
                  <w:rStyle w:val="Hyperlink"/>
                </w:rPr>
                <w:t>https://www.linkedin.com/in/slade-matthews</w:t>
              </w:r>
            </w:hyperlink>
          </w:p>
          <w:p w:rsidR="00474134" w:rsidRPr="00E55210" w:rsidRDefault="00474134" w:rsidP="005A08C4">
            <w:pPr>
              <w:pStyle w:val="e-mailaddress"/>
              <w:rPr>
                <w:lang w:val="en-AU"/>
              </w:rPr>
            </w:pPr>
            <w:bookmarkStart w:id="0" w:name="_GoBack"/>
            <w:bookmarkEnd w:id="0"/>
            <w:r>
              <w:rPr>
                <w:lang w:val="en-AU"/>
              </w:rPr>
              <w:t xml:space="preserve">Web: </w:t>
            </w:r>
            <w:hyperlink r:id="rId10" w:history="1">
              <w:r>
                <w:rPr>
                  <w:rStyle w:val="Hyperlink"/>
                </w:rPr>
                <w:t>http://sydney.edu.au/medicine/people/academics/profiles/slade.matthews.php</w:t>
              </w:r>
            </w:hyperlink>
          </w:p>
        </w:tc>
      </w:tr>
      <w:tr w:rsidR="00F660EA" w:rsidRPr="00E55210" w:rsidTr="00402A7D">
        <w:trPr>
          <w:trHeight w:val="153"/>
        </w:trPr>
        <w:tc>
          <w:tcPr>
            <w:tcW w:w="10207" w:type="dxa"/>
            <w:gridSpan w:val="4"/>
            <w:tcBorders>
              <w:top w:val="single" w:sz="4" w:space="0" w:color="999999"/>
              <w:left w:val="nil"/>
              <w:bottom w:val="single" w:sz="4" w:space="0" w:color="999999"/>
              <w:right w:val="nil"/>
            </w:tcBorders>
          </w:tcPr>
          <w:p w:rsidR="00F660EA" w:rsidRPr="00E55210" w:rsidRDefault="00F660EA" w:rsidP="00DE7766">
            <w:pPr>
              <w:pStyle w:val="Heading1"/>
              <w:rPr>
                <w:lang w:val="en-AU"/>
              </w:rPr>
            </w:pPr>
            <w:r w:rsidRPr="00E55210">
              <w:rPr>
                <w:lang w:val="en-AU"/>
              </w:rPr>
              <w:t>Education</w:t>
            </w:r>
          </w:p>
        </w:tc>
      </w:tr>
      <w:tr w:rsidR="001B33B9" w:rsidRPr="00E55210" w:rsidTr="00402A7D">
        <w:trPr>
          <w:trHeight w:val="80"/>
        </w:trPr>
        <w:tc>
          <w:tcPr>
            <w:tcW w:w="284" w:type="dxa"/>
            <w:vMerge w:val="restart"/>
            <w:tcBorders>
              <w:left w:val="nil"/>
              <w:right w:val="nil"/>
            </w:tcBorders>
          </w:tcPr>
          <w:p w:rsidR="001B33B9" w:rsidRPr="001639F3" w:rsidRDefault="001B33B9" w:rsidP="0036163E">
            <w:pPr>
              <w:pStyle w:val="Heading1"/>
              <w:spacing w:line="240" w:lineRule="auto"/>
              <w:rPr>
                <w:lang w:val="en-AU"/>
              </w:rPr>
            </w:pPr>
          </w:p>
        </w:tc>
        <w:tc>
          <w:tcPr>
            <w:tcW w:w="6592" w:type="dxa"/>
            <w:gridSpan w:val="2"/>
            <w:tcBorders>
              <w:left w:val="nil"/>
              <w:right w:val="nil"/>
            </w:tcBorders>
          </w:tcPr>
          <w:p w:rsidR="001B33B9" w:rsidRPr="001639F3" w:rsidRDefault="001B33B9" w:rsidP="0036163E">
            <w:pPr>
              <w:pStyle w:val="Title"/>
              <w:spacing w:line="240" w:lineRule="auto"/>
              <w:rPr>
                <w:b w:val="0"/>
                <w:lang w:val="en-AU"/>
              </w:rPr>
            </w:pPr>
            <w:r w:rsidRPr="001639F3">
              <w:rPr>
                <w:b w:val="0"/>
                <w:lang w:val="en-AU"/>
              </w:rPr>
              <w:t>Graduate Certificate in Higher Education</w:t>
            </w:r>
            <w:r w:rsidR="005344CB">
              <w:rPr>
                <w:b w:val="0"/>
                <w:lang w:val="en-AU"/>
              </w:rPr>
              <w:t xml:space="preserve"> (USYD)</w:t>
            </w:r>
          </w:p>
        </w:tc>
        <w:tc>
          <w:tcPr>
            <w:tcW w:w="3331" w:type="dxa"/>
            <w:tcBorders>
              <w:left w:val="nil"/>
              <w:right w:val="nil"/>
            </w:tcBorders>
          </w:tcPr>
          <w:p w:rsidR="001B33B9" w:rsidRPr="006C7BEC" w:rsidRDefault="001B33B9" w:rsidP="008A5F06">
            <w:pPr>
              <w:pStyle w:val="DatewnoSpaceBefore"/>
              <w:rPr>
                <w:b w:val="0"/>
                <w:lang w:val="en-AU"/>
              </w:rPr>
            </w:pPr>
            <w:r w:rsidRPr="006C7BEC">
              <w:rPr>
                <w:b w:val="0"/>
                <w:lang w:val="en-AU"/>
              </w:rPr>
              <w:t>2011</w:t>
            </w:r>
          </w:p>
        </w:tc>
      </w:tr>
      <w:tr w:rsidR="00E836C3" w:rsidRPr="00E55210" w:rsidTr="00402A7D">
        <w:trPr>
          <w:trHeight w:val="80"/>
        </w:trPr>
        <w:tc>
          <w:tcPr>
            <w:tcW w:w="284" w:type="dxa"/>
            <w:vMerge/>
            <w:tcBorders>
              <w:left w:val="nil"/>
              <w:right w:val="nil"/>
            </w:tcBorders>
          </w:tcPr>
          <w:p w:rsidR="00E836C3" w:rsidRPr="001639F3" w:rsidRDefault="00E836C3" w:rsidP="0036163E">
            <w:pPr>
              <w:pStyle w:val="Heading1"/>
              <w:spacing w:line="240" w:lineRule="auto"/>
              <w:rPr>
                <w:lang w:val="en-AU"/>
              </w:rPr>
            </w:pPr>
          </w:p>
        </w:tc>
        <w:tc>
          <w:tcPr>
            <w:tcW w:w="6592" w:type="dxa"/>
            <w:gridSpan w:val="2"/>
            <w:tcBorders>
              <w:left w:val="nil"/>
              <w:right w:val="nil"/>
            </w:tcBorders>
          </w:tcPr>
          <w:p w:rsidR="00E836C3" w:rsidRPr="001639F3" w:rsidRDefault="00E25A6C" w:rsidP="00843429">
            <w:pPr>
              <w:pStyle w:val="Title"/>
              <w:spacing w:line="240" w:lineRule="auto"/>
              <w:rPr>
                <w:b w:val="0"/>
                <w:lang w:val="en-AU"/>
              </w:rPr>
            </w:pPr>
            <w:r>
              <w:rPr>
                <w:b w:val="0"/>
                <w:lang w:val="en-AU"/>
              </w:rPr>
              <w:t>Ph</w:t>
            </w:r>
            <w:r w:rsidR="004D5419">
              <w:rPr>
                <w:b w:val="0"/>
                <w:lang w:val="en-AU"/>
              </w:rPr>
              <w:t xml:space="preserve">D </w:t>
            </w:r>
            <w:r w:rsidR="00E836C3" w:rsidRPr="001639F3">
              <w:rPr>
                <w:b w:val="0"/>
                <w:lang w:val="en-AU"/>
              </w:rPr>
              <w:t>(Medicine)</w:t>
            </w:r>
            <w:r w:rsidR="005344CB">
              <w:rPr>
                <w:b w:val="0"/>
                <w:lang w:val="en-AU"/>
              </w:rPr>
              <w:t xml:space="preserve"> (USYD)</w:t>
            </w:r>
          </w:p>
        </w:tc>
        <w:tc>
          <w:tcPr>
            <w:tcW w:w="3331" w:type="dxa"/>
            <w:tcBorders>
              <w:left w:val="nil"/>
              <w:right w:val="nil"/>
            </w:tcBorders>
          </w:tcPr>
          <w:p w:rsidR="00E836C3" w:rsidRPr="006C7BEC" w:rsidRDefault="00E836C3" w:rsidP="00843429">
            <w:pPr>
              <w:pStyle w:val="DatewnoSpaceBefore"/>
              <w:rPr>
                <w:b w:val="0"/>
                <w:lang w:val="en-AU"/>
              </w:rPr>
            </w:pPr>
            <w:r w:rsidRPr="006C7BEC">
              <w:rPr>
                <w:b w:val="0"/>
                <w:lang w:val="en-AU"/>
              </w:rPr>
              <w:t>2007</w:t>
            </w:r>
          </w:p>
        </w:tc>
      </w:tr>
      <w:tr w:rsidR="00E836C3" w:rsidRPr="00E55210" w:rsidTr="00402A7D">
        <w:trPr>
          <w:trHeight w:val="80"/>
        </w:trPr>
        <w:tc>
          <w:tcPr>
            <w:tcW w:w="284" w:type="dxa"/>
            <w:vMerge/>
            <w:tcBorders>
              <w:left w:val="nil"/>
              <w:right w:val="nil"/>
            </w:tcBorders>
          </w:tcPr>
          <w:p w:rsidR="00E836C3" w:rsidRPr="001639F3" w:rsidRDefault="00E836C3" w:rsidP="0036163E">
            <w:pPr>
              <w:pStyle w:val="Heading1"/>
              <w:spacing w:line="240" w:lineRule="auto"/>
              <w:rPr>
                <w:lang w:val="en-AU"/>
              </w:rPr>
            </w:pPr>
          </w:p>
        </w:tc>
        <w:tc>
          <w:tcPr>
            <w:tcW w:w="6592" w:type="dxa"/>
            <w:gridSpan w:val="2"/>
            <w:tcBorders>
              <w:left w:val="nil"/>
              <w:right w:val="nil"/>
            </w:tcBorders>
          </w:tcPr>
          <w:p w:rsidR="00E836C3" w:rsidRPr="001639F3" w:rsidRDefault="00A70520" w:rsidP="00843429">
            <w:pPr>
              <w:pStyle w:val="Title"/>
              <w:spacing w:line="240" w:lineRule="auto"/>
              <w:rPr>
                <w:b w:val="0"/>
                <w:lang w:val="en-AU"/>
              </w:rPr>
            </w:pPr>
            <w:r w:rsidRPr="001639F3">
              <w:rPr>
                <w:b w:val="0"/>
                <w:lang w:val="en-AU"/>
              </w:rPr>
              <w:t>Diploma in Education</w:t>
            </w:r>
            <w:r>
              <w:rPr>
                <w:b w:val="0"/>
                <w:lang w:val="en-AU"/>
              </w:rPr>
              <w:t xml:space="preserve"> (UNSW)</w:t>
            </w:r>
          </w:p>
        </w:tc>
        <w:tc>
          <w:tcPr>
            <w:tcW w:w="3331" w:type="dxa"/>
            <w:tcBorders>
              <w:left w:val="nil"/>
              <w:right w:val="nil"/>
            </w:tcBorders>
          </w:tcPr>
          <w:p w:rsidR="00E836C3" w:rsidRPr="006C7BEC" w:rsidRDefault="00A70520" w:rsidP="00843429">
            <w:pPr>
              <w:pStyle w:val="DatewnoSpaceBefore"/>
              <w:rPr>
                <w:b w:val="0"/>
                <w:lang w:val="en-AU"/>
              </w:rPr>
            </w:pPr>
            <w:r>
              <w:rPr>
                <w:b w:val="0"/>
                <w:lang w:val="en-AU"/>
              </w:rPr>
              <w:t>200</w:t>
            </w:r>
            <w:r w:rsidR="00E836C3" w:rsidRPr="006C7BEC">
              <w:rPr>
                <w:b w:val="0"/>
                <w:lang w:val="en-AU"/>
              </w:rPr>
              <w:t>5</w:t>
            </w:r>
          </w:p>
        </w:tc>
      </w:tr>
      <w:tr w:rsidR="00E836C3" w:rsidRPr="00E55210" w:rsidTr="00402A7D">
        <w:trPr>
          <w:trHeight w:val="80"/>
        </w:trPr>
        <w:tc>
          <w:tcPr>
            <w:tcW w:w="284" w:type="dxa"/>
            <w:vMerge/>
            <w:tcBorders>
              <w:left w:val="nil"/>
              <w:right w:val="nil"/>
            </w:tcBorders>
          </w:tcPr>
          <w:p w:rsidR="00E836C3" w:rsidRPr="001639F3" w:rsidRDefault="00E836C3" w:rsidP="0036163E">
            <w:pPr>
              <w:pStyle w:val="Heading1"/>
              <w:spacing w:line="240" w:lineRule="auto"/>
              <w:rPr>
                <w:lang w:val="en-AU"/>
              </w:rPr>
            </w:pPr>
          </w:p>
        </w:tc>
        <w:tc>
          <w:tcPr>
            <w:tcW w:w="6592" w:type="dxa"/>
            <w:gridSpan w:val="2"/>
            <w:tcBorders>
              <w:left w:val="nil"/>
              <w:right w:val="nil"/>
            </w:tcBorders>
          </w:tcPr>
          <w:p w:rsidR="00E836C3" w:rsidRPr="001639F3" w:rsidRDefault="00A70520" w:rsidP="0036163E">
            <w:pPr>
              <w:pStyle w:val="Title"/>
              <w:spacing w:line="240" w:lineRule="auto"/>
              <w:rPr>
                <w:b w:val="0"/>
                <w:lang w:val="en-AU"/>
              </w:rPr>
            </w:pPr>
            <w:r w:rsidRPr="001639F3">
              <w:rPr>
                <w:b w:val="0"/>
                <w:lang w:val="en-AU"/>
              </w:rPr>
              <w:t>Bachelor of Medical Science, Honours</w:t>
            </w:r>
            <w:r>
              <w:rPr>
                <w:b w:val="0"/>
                <w:lang w:val="en-AU"/>
              </w:rPr>
              <w:t xml:space="preserve"> (USYD)</w:t>
            </w:r>
          </w:p>
        </w:tc>
        <w:tc>
          <w:tcPr>
            <w:tcW w:w="3331" w:type="dxa"/>
            <w:tcBorders>
              <w:left w:val="nil"/>
              <w:right w:val="nil"/>
            </w:tcBorders>
          </w:tcPr>
          <w:p w:rsidR="00E836C3" w:rsidRPr="006C7BEC" w:rsidRDefault="00A70520" w:rsidP="006E54A0">
            <w:pPr>
              <w:pStyle w:val="DatewnoSpaceBefore"/>
              <w:rPr>
                <w:b w:val="0"/>
                <w:lang w:val="en-AU"/>
              </w:rPr>
            </w:pPr>
            <w:r>
              <w:rPr>
                <w:b w:val="0"/>
                <w:lang w:val="en-AU"/>
              </w:rPr>
              <w:t>199</w:t>
            </w:r>
            <w:r w:rsidR="00E836C3" w:rsidRPr="006C7BEC">
              <w:rPr>
                <w:b w:val="0"/>
                <w:lang w:val="en-AU"/>
              </w:rPr>
              <w:t>5</w:t>
            </w:r>
          </w:p>
        </w:tc>
      </w:tr>
      <w:tr w:rsidR="00E836C3" w:rsidRPr="00E55210" w:rsidTr="00402A7D">
        <w:trPr>
          <w:trHeight w:val="218"/>
        </w:trPr>
        <w:tc>
          <w:tcPr>
            <w:tcW w:w="10207" w:type="dxa"/>
            <w:gridSpan w:val="4"/>
            <w:tcBorders>
              <w:top w:val="single" w:sz="4" w:space="0" w:color="999999"/>
              <w:left w:val="nil"/>
              <w:bottom w:val="single" w:sz="4" w:space="0" w:color="999999"/>
              <w:right w:val="nil"/>
            </w:tcBorders>
          </w:tcPr>
          <w:p w:rsidR="00E836C3" w:rsidRPr="006C7BEC" w:rsidRDefault="00E836C3" w:rsidP="002911C8">
            <w:pPr>
              <w:pStyle w:val="Heading1"/>
              <w:rPr>
                <w:lang w:val="en-AU"/>
              </w:rPr>
            </w:pPr>
            <w:r w:rsidRPr="006C7BEC">
              <w:rPr>
                <w:lang w:val="en-AU"/>
              </w:rPr>
              <w:t>OTHER TRAINING</w:t>
            </w:r>
          </w:p>
        </w:tc>
      </w:tr>
      <w:tr w:rsidR="00E836C3" w:rsidRPr="00E55210" w:rsidTr="00402A7D">
        <w:trPr>
          <w:trHeight w:val="233"/>
        </w:trPr>
        <w:tc>
          <w:tcPr>
            <w:tcW w:w="284" w:type="dxa"/>
            <w:vMerge w:val="restart"/>
            <w:tcBorders>
              <w:top w:val="single" w:sz="4" w:space="0" w:color="999999"/>
              <w:left w:val="nil"/>
              <w:right w:val="nil"/>
            </w:tcBorders>
          </w:tcPr>
          <w:p w:rsidR="00E836C3" w:rsidRPr="00E55210" w:rsidRDefault="00E836C3" w:rsidP="00DE7766">
            <w:pPr>
              <w:rPr>
                <w:lang w:val="en-AU"/>
              </w:rPr>
            </w:pPr>
          </w:p>
        </w:tc>
        <w:tc>
          <w:tcPr>
            <w:tcW w:w="6570" w:type="dxa"/>
            <w:tcBorders>
              <w:top w:val="single" w:sz="4" w:space="0" w:color="999999"/>
              <w:left w:val="nil"/>
              <w:right w:val="nil"/>
            </w:tcBorders>
          </w:tcPr>
          <w:p w:rsidR="00E836C3" w:rsidRPr="008F2521" w:rsidRDefault="00E836C3" w:rsidP="00373604">
            <w:pPr>
              <w:pStyle w:val="bulletedlist"/>
              <w:spacing w:line="240" w:lineRule="auto"/>
              <w:rPr>
                <w:lang w:val="en-AU"/>
              </w:rPr>
            </w:pPr>
            <w:r>
              <w:rPr>
                <w:lang w:val="en-AU"/>
              </w:rPr>
              <w:t>Pharmaceutical Bioinformatics, Uppsala Universitet, Sweden</w:t>
            </w:r>
          </w:p>
        </w:tc>
        <w:tc>
          <w:tcPr>
            <w:tcW w:w="3353" w:type="dxa"/>
            <w:gridSpan w:val="2"/>
            <w:tcBorders>
              <w:top w:val="single" w:sz="4" w:space="0" w:color="999999"/>
              <w:left w:val="nil"/>
              <w:right w:val="nil"/>
            </w:tcBorders>
          </w:tcPr>
          <w:p w:rsidR="00E836C3" w:rsidRPr="006C7BEC" w:rsidRDefault="00E836C3" w:rsidP="00373604">
            <w:pPr>
              <w:pStyle w:val="Date"/>
              <w:spacing w:line="240" w:lineRule="auto"/>
              <w:rPr>
                <w:b w:val="0"/>
                <w:lang w:val="en-AU"/>
              </w:rPr>
            </w:pPr>
            <w:r w:rsidRPr="006C7BEC">
              <w:rPr>
                <w:b w:val="0"/>
                <w:lang w:val="en-AU"/>
              </w:rPr>
              <w:t>2011</w:t>
            </w:r>
          </w:p>
        </w:tc>
      </w:tr>
      <w:tr w:rsidR="00E836C3" w:rsidRPr="00E55210" w:rsidTr="00402A7D">
        <w:trPr>
          <w:trHeight w:val="80"/>
        </w:trPr>
        <w:tc>
          <w:tcPr>
            <w:tcW w:w="284" w:type="dxa"/>
            <w:vMerge/>
            <w:tcBorders>
              <w:left w:val="nil"/>
              <w:right w:val="nil"/>
            </w:tcBorders>
          </w:tcPr>
          <w:p w:rsidR="00E836C3" w:rsidRPr="00E55210" w:rsidRDefault="00E836C3" w:rsidP="00DE7766">
            <w:pPr>
              <w:rPr>
                <w:lang w:val="en-AU"/>
              </w:rPr>
            </w:pPr>
          </w:p>
        </w:tc>
        <w:tc>
          <w:tcPr>
            <w:tcW w:w="6570" w:type="dxa"/>
            <w:tcBorders>
              <w:left w:val="nil"/>
              <w:right w:val="nil"/>
            </w:tcBorders>
          </w:tcPr>
          <w:p w:rsidR="00E836C3" w:rsidRPr="00E55210" w:rsidRDefault="00E836C3" w:rsidP="00373604">
            <w:pPr>
              <w:pStyle w:val="bulletedlist"/>
              <w:spacing w:line="240" w:lineRule="auto"/>
              <w:rPr>
                <w:lang w:val="en-AU"/>
              </w:rPr>
            </w:pPr>
            <w:r w:rsidRPr="00E55210">
              <w:rPr>
                <w:lang w:val="en-AU"/>
              </w:rPr>
              <w:t>OHS Consultation, The Jackson Group Pty Ltd</w:t>
            </w:r>
          </w:p>
        </w:tc>
        <w:tc>
          <w:tcPr>
            <w:tcW w:w="3353" w:type="dxa"/>
            <w:gridSpan w:val="2"/>
            <w:tcBorders>
              <w:left w:val="nil"/>
              <w:right w:val="nil"/>
            </w:tcBorders>
          </w:tcPr>
          <w:p w:rsidR="00E836C3" w:rsidRPr="006C7BEC" w:rsidRDefault="00E836C3" w:rsidP="00373604">
            <w:pPr>
              <w:pStyle w:val="Date"/>
              <w:spacing w:line="240" w:lineRule="auto"/>
              <w:rPr>
                <w:b w:val="0"/>
                <w:lang w:val="en-AU"/>
              </w:rPr>
            </w:pPr>
            <w:r w:rsidRPr="006C7BEC">
              <w:rPr>
                <w:b w:val="0"/>
                <w:lang w:val="en-AU"/>
              </w:rPr>
              <w:t>2005</w:t>
            </w:r>
          </w:p>
        </w:tc>
      </w:tr>
      <w:tr w:rsidR="00E836C3" w:rsidRPr="00E55210" w:rsidTr="00402A7D">
        <w:trPr>
          <w:trHeight w:val="80"/>
        </w:trPr>
        <w:tc>
          <w:tcPr>
            <w:tcW w:w="284" w:type="dxa"/>
            <w:vMerge/>
            <w:tcBorders>
              <w:left w:val="nil"/>
              <w:right w:val="nil"/>
            </w:tcBorders>
          </w:tcPr>
          <w:p w:rsidR="00E836C3" w:rsidRPr="00E55210" w:rsidRDefault="00E836C3" w:rsidP="00DE7766">
            <w:pPr>
              <w:rPr>
                <w:lang w:val="en-AU"/>
              </w:rPr>
            </w:pPr>
          </w:p>
        </w:tc>
        <w:tc>
          <w:tcPr>
            <w:tcW w:w="6570" w:type="dxa"/>
            <w:tcBorders>
              <w:left w:val="nil"/>
              <w:right w:val="nil"/>
            </w:tcBorders>
          </w:tcPr>
          <w:p w:rsidR="00E836C3" w:rsidRPr="00E55210" w:rsidRDefault="00E836C3" w:rsidP="00373604">
            <w:pPr>
              <w:pStyle w:val="bulletedlist"/>
              <w:spacing w:line="240" w:lineRule="auto"/>
              <w:rPr>
                <w:lang w:val="en-AU"/>
              </w:rPr>
            </w:pPr>
            <w:r w:rsidRPr="00E55210">
              <w:rPr>
                <w:lang w:val="en-AU"/>
              </w:rPr>
              <w:t>Microsoft Certified Profession</w:t>
            </w:r>
            <w:r>
              <w:rPr>
                <w:lang w:val="en-AU"/>
              </w:rPr>
              <w:t>al</w:t>
            </w:r>
            <w:r w:rsidRPr="00E55210">
              <w:rPr>
                <w:lang w:val="en-AU"/>
              </w:rPr>
              <w:t>, Comtech Education Services</w:t>
            </w:r>
          </w:p>
        </w:tc>
        <w:tc>
          <w:tcPr>
            <w:tcW w:w="3353" w:type="dxa"/>
            <w:gridSpan w:val="2"/>
            <w:tcBorders>
              <w:left w:val="nil"/>
              <w:right w:val="nil"/>
            </w:tcBorders>
          </w:tcPr>
          <w:p w:rsidR="00E836C3" w:rsidRPr="006C7BEC" w:rsidRDefault="00E836C3" w:rsidP="00373604">
            <w:pPr>
              <w:pStyle w:val="Date"/>
              <w:spacing w:line="240" w:lineRule="auto"/>
              <w:rPr>
                <w:b w:val="0"/>
                <w:lang w:val="en-AU"/>
              </w:rPr>
            </w:pPr>
            <w:r w:rsidRPr="006C7BEC">
              <w:rPr>
                <w:b w:val="0"/>
                <w:lang w:val="en-AU"/>
              </w:rPr>
              <w:t>2002</w:t>
            </w:r>
          </w:p>
        </w:tc>
      </w:tr>
      <w:tr w:rsidR="00E836C3" w:rsidRPr="00E55210" w:rsidTr="00402A7D">
        <w:trPr>
          <w:trHeight w:val="170"/>
        </w:trPr>
        <w:tc>
          <w:tcPr>
            <w:tcW w:w="284" w:type="dxa"/>
            <w:vMerge/>
            <w:tcBorders>
              <w:left w:val="nil"/>
              <w:right w:val="nil"/>
            </w:tcBorders>
          </w:tcPr>
          <w:p w:rsidR="00E836C3" w:rsidRPr="00E55210" w:rsidRDefault="00E836C3" w:rsidP="00DE7766">
            <w:pPr>
              <w:rPr>
                <w:lang w:val="en-AU"/>
              </w:rPr>
            </w:pPr>
          </w:p>
        </w:tc>
        <w:tc>
          <w:tcPr>
            <w:tcW w:w="6570" w:type="dxa"/>
            <w:tcBorders>
              <w:left w:val="nil"/>
              <w:right w:val="nil"/>
            </w:tcBorders>
          </w:tcPr>
          <w:p w:rsidR="00E836C3" w:rsidRPr="00293FE0" w:rsidRDefault="00E836C3" w:rsidP="00373604">
            <w:pPr>
              <w:pStyle w:val="bulletedlist"/>
              <w:spacing w:line="240" w:lineRule="auto"/>
              <w:rPr>
                <w:lang w:val="en-AU"/>
              </w:rPr>
            </w:pPr>
            <w:r w:rsidRPr="00E55210">
              <w:rPr>
                <w:lang w:val="en-AU"/>
              </w:rPr>
              <w:t>Unix System Administration, Basser School, Sydney University</w:t>
            </w:r>
          </w:p>
        </w:tc>
        <w:tc>
          <w:tcPr>
            <w:tcW w:w="3353" w:type="dxa"/>
            <w:gridSpan w:val="2"/>
            <w:tcBorders>
              <w:left w:val="nil"/>
              <w:right w:val="nil"/>
            </w:tcBorders>
          </w:tcPr>
          <w:p w:rsidR="00E836C3" w:rsidRPr="006C7BEC" w:rsidRDefault="00E836C3" w:rsidP="00373604">
            <w:pPr>
              <w:pStyle w:val="Date"/>
              <w:spacing w:line="240" w:lineRule="auto"/>
              <w:rPr>
                <w:b w:val="0"/>
                <w:lang w:val="en-AU"/>
              </w:rPr>
            </w:pPr>
            <w:r w:rsidRPr="006C7BEC">
              <w:rPr>
                <w:b w:val="0"/>
                <w:lang w:val="en-AU"/>
              </w:rPr>
              <w:t>2000</w:t>
            </w:r>
          </w:p>
        </w:tc>
      </w:tr>
      <w:tr w:rsidR="00E836C3" w:rsidRPr="00E55210" w:rsidTr="00402A7D">
        <w:trPr>
          <w:trHeight w:val="255"/>
        </w:trPr>
        <w:tc>
          <w:tcPr>
            <w:tcW w:w="10207" w:type="dxa"/>
            <w:gridSpan w:val="4"/>
            <w:tcBorders>
              <w:top w:val="single" w:sz="4" w:space="0" w:color="999999"/>
              <w:left w:val="nil"/>
              <w:bottom w:val="single" w:sz="4" w:space="0" w:color="999999"/>
              <w:right w:val="nil"/>
            </w:tcBorders>
          </w:tcPr>
          <w:p w:rsidR="00E836C3" w:rsidRPr="006C7BEC" w:rsidRDefault="00E836C3" w:rsidP="0038738E">
            <w:pPr>
              <w:pStyle w:val="Heading1"/>
              <w:rPr>
                <w:lang w:val="en-AU"/>
              </w:rPr>
            </w:pPr>
            <w:r w:rsidRPr="006C7BEC">
              <w:rPr>
                <w:lang w:val="en-AU"/>
              </w:rPr>
              <w:t>AWARDS</w:t>
            </w:r>
          </w:p>
        </w:tc>
      </w:tr>
      <w:tr w:rsidR="00E836C3" w:rsidRPr="00E55210" w:rsidTr="00402A7D">
        <w:trPr>
          <w:trHeight w:val="242"/>
        </w:trPr>
        <w:tc>
          <w:tcPr>
            <w:tcW w:w="284" w:type="dxa"/>
            <w:vMerge w:val="restart"/>
            <w:tcBorders>
              <w:top w:val="single" w:sz="4" w:space="0" w:color="999999"/>
              <w:left w:val="nil"/>
              <w:right w:val="nil"/>
            </w:tcBorders>
          </w:tcPr>
          <w:p w:rsidR="00E836C3" w:rsidRPr="001F49A6" w:rsidRDefault="00E836C3" w:rsidP="006962EF">
            <w:pPr>
              <w:rPr>
                <w:lang w:val="en-AU"/>
              </w:rPr>
            </w:pPr>
          </w:p>
        </w:tc>
        <w:tc>
          <w:tcPr>
            <w:tcW w:w="6570" w:type="dxa"/>
            <w:tcBorders>
              <w:top w:val="single" w:sz="4" w:space="0" w:color="999999"/>
              <w:left w:val="nil"/>
              <w:bottom w:val="nil"/>
              <w:right w:val="nil"/>
            </w:tcBorders>
          </w:tcPr>
          <w:p w:rsidR="00E836C3" w:rsidRPr="001F49A6" w:rsidRDefault="00A50AA5" w:rsidP="00373604">
            <w:pPr>
              <w:pStyle w:val="Heading2"/>
              <w:spacing w:line="240" w:lineRule="auto"/>
              <w:rPr>
                <w:i w:val="0"/>
                <w:lang w:val="en-AU"/>
              </w:rPr>
            </w:pPr>
            <w:r>
              <w:rPr>
                <w:rStyle w:val="TitleChar"/>
                <w:b w:val="0"/>
                <w:i w:val="0"/>
                <w:lang w:val="en-AU"/>
              </w:rPr>
              <w:t xml:space="preserve">ASCEPT ASM: Toxicology Special Interest Group Award </w:t>
            </w:r>
          </w:p>
        </w:tc>
        <w:tc>
          <w:tcPr>
            <w:tcW w:w="3353" w:type="dxa"/>
            <w:gridSpan w:val="2"/>
            <w:tcBorders>
              <w:top w:val="single" w:sz="4" w:space="0" w:color="999999"/>
              <w:left w:val="nil"/>
              <w:bottom w:val="nil"/>
              <w:right w:val="nil"/>
            </w:tcBorders>
          </w:tcPr>
          <w:p w:rsidR="00E836C3" w:rsidRPr="006C7BEC" w:rsidRDefault="00E836C3" w:rsidP="00373604">
            <w:pPr>
              <w:pStyle w:val="DatewnoSpaceBefore"/>
              <w:spacing w:line="240" w:lineRule="auto"/>
              <w:rPr>
                <w:b w:val="0"/>
                <w:lang w:val="en-AU"/>
              </w:rPr>
            </w:pPr>
            <w:r w:rsidRPr="006C7BEC">
              <w:rPr>
                <w:b w:val="0"/>
                <w:lang w:val="en-AU"/>
              </w:rPr>
              <w:t>201</w:t>
            </w:r>
            <w:r w:rsidR="00093948">
              <w:rPr>
                <w:b w:val="0"/>
                <w:lang w:val="en-AU"/>
              </w:rPr>
              <w:t>8</w:t>
            </w:r>
          </w:p>
        </w:tc>
      </w:tr>
      <w:tr w:rsidR="00E836C3" w:rsidRPr="00E55210" w:rsidTr="00402A7D">
        <w:trPr>
          <w:trHeight w:val="70"/>
        </w:trPr>
        <w:tc>
          <w:tcPr>
            <w:tcW w:w="284" w:type="dxa"/>
            <w:vMerge/>
            <w:tcBorders>
              <w:left w:val="nil"/>
              <w:right w:val="nil"/>
            </w:tcBorders>
          </w:tcPr>
          <w:p w:rsidR="00E836C3" w:rsidRPr="001F49A6" w:rsidRDefault="00E836C3" w:rsidP="006962EF">
            <w:pPr>
              <w:rPr>
                <w:lang w:val="en-AU"/>
              </w:rPr>
            </w:pPr>
          </w:p>
        </w:tc>
        <w:tc>
          <w:tcPr>
            <w:tcW w:w="6570" w:type="dxa"/>
            <w:tcBorders>
              <w:top w:val="nil"/>
              <w:left w:val="nil"/>
              <w:right w:val="nil"/>
            </w:tcBorders>
          </w:tcPr>
          <w:p w:rsidR="00E836C3" w:rsidRPr="00093948" w:rsidRDefault="00093948" w:rsidP="00373604">
            <w:pPr>
              <w:pStyle w:val="Heading2"/>
              <w:spacing w:line="240" w:lineRule="auto"/>
              <w:rPr>
                <w:i w:val="0"/>
                <w:lang w:val="en-AU"/>
              </w:rPr>
            </w:pPr>
            <w:r>
              <w:rPr>
                <w:rStyle w:val="TitleChar"/>
                <w:b w:val="0"/>
                <w:i w:val="0"/>
                <w:lang w:val="en-AU"/>
              </w:rPr>
              <w:t xml:space="preserve">ASCEPT ASM: Toxicology Special Interest Group Award </w:t>
            </w:r>
          </w:p>
        </w:tc>
        <w:tc>
          <w:tcPr>
            <w:tcW w:w="3353" w:type="dxa"/>
            <w:gridSpan w:val="2"/>
            <w:tcBorders>
              <w:top w:val="nil"/>
              <w:left w:val="nil"/>
              <w:right w:val="nil"/>
            </w:tcBorders>
          </w:tcPr>
          <w:p w:rsidR="00E836C3" w:rsidRPr="006C7BEC" w:rsidRDefault="00E836C3" w:rsidP="00373604">
            <w:pPr>
              <w:pStyle w:val="DatewnoSpaceBefore"/>
              <w:spacing w:line="240" w:lineRule="auto"/>
              <w:rPr>
                <w:b w:val="0"/>
                <w:lang w:val="en-AU"/>
              </w:rPr>
            </w:pPr>
            <w:r w:rsidRPr="006C7BEC">
              <w:rPr>
                <w:b w:val="0"/>
                <w:lang w:val="en-AU"/>
              </w:rPr>
              <w:t>2</w:t>
            </w:r>
            <w:r w:rsidR="00A903EC">
              <w:rPr>
                <w:b w:val="0"/>
                <w:lang w:val="en-AU"/>
              </w:rPr>
              <w:t>01</w:t>
            </w:r>
            <w:r w:rsidR="00093948">
              <w:rPr>
                <w:b w:val="0"/>
                <w:lang w:val="en-AU"/>
              </w:rPr>
              <w:t>6</w:t>
            </w:r>
          </w:p>
        </w:tc>
      </w:tr>
      <w:tr w:rsidR="00093948" w:rsidRPr="00E55210" w:rsidTr="00402A7D">
        <w:trPr>
          <w:trHeight w:val="70"/>
        </w:trPr>
        <w:tc>
          <w:tcPr>
            <w:tcW w:w="284" w:type="dxa"/>
            <w:tcBorders>
              <w:left w:val="nil"/>
              <w:right w:val="nil"/>
            </w:tcBorders>
          </w:tcPr>
          <w:p w:rsidR="00093948" w:rsidRPr="001F49A6" w:rsidRDefault="00093948" w:rsidP="006962EF">
            <w:pPr>
              <w:rPr>
                <w:lang w:val="en-AU"/>
              </w:rPr>
            </w:pPr>
          </w:p>
        </w:tc>
        <w:tc>
          <w:tcPr>
            <w:tcW w:w="6570" w:type="dxa"/>
            <w:tcBorders>
              <w:top w:val="nil"/>
              <w:left w:val="nil"/>
              <w:right w:val="nil"/>
            </w:tcBorders>
          </w:tcPr>
          <w:p w:rsidR="00093948" w:rsidRPr="00093948" w:rsidRDefault="00093948" w:rsidP="00373604">
            <w:pPr>
              <w:pStyle w:val="Heading2"/>
              <w:spacing w:line="240" w:lineRule="auto"/>
              <w:rPr>
                <w:rStyle w:val="TitleChar"/>
                <w:b w:val="0"/>
                <w:i w:val="0"/>
                <w:lang w:val="en-AU"/>
              </w:rPr>
            </w:pPr>
            <w:r>
              <w:rPr>
                <w:rStyle w:val="TitleChar"/>
                <w:b w:val="0"/>
                <w:i w:val="0"/>
                <w:lang w:val="en-AU"/>
              </w:rPr>
              <w:t xml:space="preserve">ASCEPT ASM: Toxicology Special Interest Group Award </w:t>
            </w:r>
          </w:p>
        </w:tc>
        <w:tc>
          <w:tcPr>
            <w:tcW w:w="3353" w:type="dxa"/>
            <w:gridSpan w:val="2"/>
            <w:tcBorders>
              <w:top w:val="nil"/>
              <w:left w:val="nil"/>
              <w:right w:val="nil"/>
            </w:tcBorders>
          </w:tcPr>
          <w:p w:rsidR="00093948" w:rsidRPr="006C7BEC" w:rsidRDefault="00093948" w:rsidP="00373604">
            <w:pPr>
              <w:pStyle w:val="DatewnoSpaceBefore"/>
              <w:spacing w:line="240" w:lineRule="auto"/>
              <w:rPr>
                <w:b w:val="0"/>
                <w:lang w:val="en-AU"/>
              </w:rPr>
            </w:pPr>
            <w:r>
              <w:rPr>
                <w:b w:val="0"/>
                <w:lang w:val="en-AU"/>
              </w:rPr>
              <w:t>2015</w:t>
            </w:r>
          </w:p>
        </w:tc>
      </w:tr>
      <w:tr w:rsidR="00093948" w:rsidRPr="00E55210" w:rsidTr="00402A7D">
        <w:trPr>
          <w:trHeight w:val="70"/>
        </w:trPr>
        <w:tc>
          <w:tcPr>
            <w:tcW w:w="284" w:type="dxa"/>
            <w:tcBorders>
              <w:left w:val="nil"/>
              <w:right w:val="nil"/>
            </w:tcBorders>
          </w:tcPr>
          <w:p w:rsidR="00093948" w:rsidRPr="001F49A6" w:rsidRDefault="00093948" w:rsidP="006962EF">
            <w:pPr>
              <w:rPr>
                <w:lang w:val="en-AU"/>
              </w:rPr>
            </w:pPr>
          </w:p>
        </w:tc>
        <w:tc>
          <w:tcPr>
            <w:tcW w:w="6570" w:type="dxa"/>
            <w:tcBorders>
              <w:top w:val="nil"/>
              <w:left w:val="nil"/>
              <w:right w:val="nil"/>
            </w:tcBorders>
          </w:tcPr>
          <w:p w:rsidR="00093948" w:rsidRPr="001F49A6" w:rsidRDefault="00093948" w:rsidP="00373604">
            <w:pPr>
              <w:spacing w:line="240" w:lineRule="auto"/>
              <w:rPr>
                <w:rStyle w:val="TitleChar"/>
                <w:b w:val="0"/>
                <w:lang w:val="en-AU"/>
              </w:rPr>
            </w:pPr>
            <w:r w:rsidRPr="001F49A6">
              <w:rPr>
                <w:rStyle w:val="TitleChar"/>
                <w:b w:val="0"/>
                <w:lang w:val="en-AU"/>
              </w:rPr>
              <w:t>Sydney Medical School Award for Outstanding Teaching</w:t>
            </w:r>
          </w:p>
        </w:tc>
        <w:tc>
          <w:tcPr>
            <w:tcW w:w="3353" w:type="dxa"/>
            <w:gridSpan w:val="2"/>
            <w:tcBorders>
              <w:top w:val="nil"/>
              <w:left w:val="nil"/>
              <w:right w:val="nil"/>
            </w:tcBorders>
          </w:tcPr>
          <w:p w:rsidR="00093948" w:rsidRPr="006C7BEC" w:rsidRDefault="00093948" w:rsidP="00373604">
            <w:pPr>
              <w:pStyle w:val="DatewnoSpaceBefore"/>
              <w:spacing w:line="240" w:lineRule="auto"/>
              <w:rPr>
                <w:b w:val="0"/>
                <w:lang w:val="en-AU"/>
              </w:rPr>
            </w:pPr>
            <w:r>
              <w:rPr>
                <w:b w:val="0"/>
                <w:lang w:val="en-AU"/>
              </w:rPr>
              <w:t>2012</w:t>
            </w:r>
          </w:p>
        </w:tc>
      </w:tr>
      <w:tr w:rsidR="00A903EC" w:rsidRPr="00E55210" w:rsidTr="00402A7D">
        <w:trPr>
          <w:trHeight w:val="70"/>
        </w:trPr>
        <w:tc>
          <w:tcPr>
            <w:tcW w:w="284" w:type="dxa"/>
            <w:tcBorders>
              <w:left w:val="nil"/>
              <w:right w:val="nil"/>
            </w:tcBorders>
          </w:tcPr>
          <w:p w:rsidR="00A903EC" w:rsidRPr="001F49A6" w:rsidRDefault="00A903EC" w:rsidP="006962EF">
            <w:pPr>
              <w:rPr>
                <w:lang w:val="en-AU"/>
              </w:rPr>
            </w:pPr>
          </w:p>
        </w:tc>
        <w:tc>
          <w:tcPr>
            <w:tcW w:w="6570" w:type="dxa"/>
            <w:tcBorders>
              <w:top w:val="nil"/>
              <w:left w:val="nil"/>
              <w:right w:val="nil"/>
            </w:tcBorders>
          </w:tcPr>
          <w:p w:rsidR="00A903EC" w:rsidRPr="001F49A6" w:rsidRDefault="00A903EC" w:rsidP="00373604">
            <w:pPr>
              <w:spacing w:line="240" w:lineRule="auto"/>
              <w:rPr>
                <w:rStyle w:val="TitleChar"/>
                <w:b w:val="0"/>
                <w:lang w:val="en-AU"/>
              </w:rPr>
            </w:pPr>
            <w:r w:rsidRPr="001F49A6">
              <w:rPr>
                <w:rStyle w:val="TitleChar"/>
                <w:b w:val="0"/>
                <w:lang w:val="en-AU"/>
              </w:rPr>
              <w:t xml:space="preserve">Coop Bookshop Excellence in </w:t>
            </w:r>
            <w:r>
              <w:rPr>
                <w:rStyle w:val="TitleChar"/>
                <w:b w:val="0"/>
                <w:lang w:val="en-AU"/>
              </w:rPr>
              <w:t>T</w:t>
            </w:r>
            <w:r w:rsidR="002D176A">
              <w:rPr>
                <w:rStyle w:val="TitleChar"/>
                <w:b w:val="0"/>
                <w:lang w:val="en-AU"/>
              </w:rPr>
              <w:t>eaching A</w:t>
            </w:r>
            <w:r w:rsidRPr="001F49A6">
              <w:rPr>
                <w:rStyle w:val="TitleChar"/>
                <w:b w:val="0"/>
                <w:lang w:val="en-AU"/>
              </w:rPr>
              <w:t>ward</w:t>
            </w:r>
          </w:p>
        </w:tc>
        <w:tc>
          <w:tcPr>
            <w:tcW w:w="3353" w:type="dxa"/>
            <w:gridSpan w:val="2"/>
            <w:tcBorders>
              <w:top w:val="nil"/>
              <w:left w:val="nil"/>
              <w:right w:val="nil"/>
            </w:tcBorders>
          </w:tcPr>
          <w:p w:rsidR="00A903EC" w:rsidRPr="006C7BEC" w:rsidRDefault="00A903EC" w:rsidP="00373604">
            <w:pPr>
              <w:pStyle w:val="DatewnoSpaceBefore"/>
              <w:spacing w:line="240" w:lineRule="auto"/>
              <w:rPr>
                <w:b w:val="0"/>
                <w:lang w:val="en-AU"/>
              </w:rPr>
            </w:pPr>
            <w:r>
              <w:rPr>
                <w:b w:val="0"/>
                <w:lang w:val="en-AU"/>
              </w:rPr>
              <w:t>2009</w:t>
            </w:r>
          </w:p>
        </w:tc>
      </w:tr>
      <w:tr w:rsidR="00E836C3" w:rsidRPr="00E55210" w:rsidTr="00402A7D">
        <w:trPr>
          <w:trHeight w:val="255"/>
        </w:trPr>
        <w:tc>
          <w:tcPr>
            <w:tcW w:w="10207" w:type="dxa"/>
            <w:gridSpan w:val="4"/>
            <w:tcBorders>
              <w:top w:val="single" w:sz="4" w:space="0" w:color="999999"/>
              <w:left w:val="nil"/>
              <w:bottom w:val="single" w:sz="4" w:space="0" w:color="999999"/>
              <w:right w:val="nil"/>
            </w:tcBorders>
          </w:tcPr>
          <w:p w:rsidR="00E836C3" w:rsidRPr="00E55210" w:rsidRDefault="00E836C3" w:rsidP="006962EF">
            <w:pPr>
              <w:pStyle w:val="Heading1"/>
              <w:rPr>
                <w:lang w:val="en-AU"/>
              </w:rPr>
            </w:pPr>
            <w:r w:rsidRPr="00E55210">
              <w:rPr>
                <w:lang w:val="en-AU"/>
              </w:rPr>
              <w:t>Publications and papers</w:t>
            </w:r>
          </w:p>
        </w:tc>
      </w:tr>
      <w:tr w:rsidR="00E836C3" w:rsidRPr="00E55210" w:rsidTr="00402A7D">
        <w:trPr>
          <w:trHeight w:val="255"/>
        </w:trPr>
        <w:tc>
          <w:tcPr>
            <w:tcW w:w="284" w:type="dxa"/>
            <w:tcBorders>
              <w:top w:val="single" w:sz="4" w:space="0" w:color="999999"/>
              <w:left w:val="nil"/>
              <w:bottom w:val="single" w:sz="4" w:space="0" w:color="999999"/>
              <w:right w:val="nil"/>
            </w:tcBorders>
          </w:tcPr>
          <w:p w:rsidR="00E836C3" w:rsidRPr="00E55210" w:rsidRDefault="00E836C3" w:rsidP="006962EF">
            <w:pPr>
              <w:pStyle w:val="Heading1"/>
              <w:rPr>
                <w:lang w:val="en-AU"/>
              </w:rPr>
            </w:pPr>
          </w:p>
        </w:tc>
        <w:tc>
          <w:tcPr>
            <w:tcW w:w="9923" w:type="dxa"/>
            <w:gridSpan w:val="3"/>
            <w:tcBorders>
              <w:top w:val="single" w:sz="4" w:space="0" w:color="999999"/>
              <w:left w:val="nil"/>
              <w:bottom w:val="single" w:sz="4" w:space="0" w:color="999999"/>
              <w:right w:val="nil"/>
            </w:tcBorders>
          </w:tcPr>
          <w:p w:rsidR="00E836C3" w:rsidRPr="00E55210" w:rsidRDefault="00E836C3" w:rsidP="00471C53">
            <w:pPr>
              <w:rPr>
                <w:b/>
                <w:lang w:val="en-AU"/>
              </w:rPr>
            </w:pPr>
            <w:r w:rsidRPr="00E55210">
              <w:rPr>
                <w:b/>
                <w:lang w:val="en-AU"/>
              </w:rPr>
              <w:t xml:space="preserve">Peer Reviewed </w:t>
            </w:r>
            <w:r>
              <w:rPr>
                <w:b/>
                <w:lang w:val="en-AU"/>
              </w:rPr>
              <w:t>Journal Publications</w:t>
            </w:r>
          </w:p>
          <w:p w:rsidR="00020865" w:rsidRDefault="00020865" w:rsidP="00020865">
            <w:pPr>
              <w:pStyle w:val="ListParagraph"/>
              <w:numPr>
                <w:ilvl w:val="0"/>
                <w:numId w:val="13"/>
              </w:numPr>
              <w:rPr>
                <w:lang w:val="en-AU"/>
              </w:rPr>
            </w:pPr>
            <w:r w:rsidRPr="00020865">
              <w:rPr>
                <w:lang w:val="en-AU"/>
              </w:rPr>
              <w:t xml:space="preserve">Hinton, T., Jelinek, H., Viengkhou, V., Johnston, G., </w:t>
            </w:r>
            <w:r w:rsidRPr="00020865">
              <w:rPr>
                <w:b/>
                <w:lang w:val="en-AU"/>
              </w:rPr>
              <w:t>Matthews, S</w:t>
            </w:r>
            <w:r w:rsidRPr="00020865">
              <w:rPr>
                <w:lang w:val="en-AU"/>
              </w:rPr>
              <w:t>. (2019). Effect of GABA-Fortified Oolong Tea on Reducing Stress in a University Student Cohort. Frontiers in Nutrition, 6, 1-8.</w:t>
            </w:r>
          </w:p>
          <w:p w:rsidR="00887DFD" w:rsidRDefault="00887DFD" w:rsidP="00887DFD">
            <w:pPr>
              <w:pStyle w:val="ListParagraph"/>
              <w:numPr>
                <w:ilvl w:val="0"/>
                <w:numId w:val="13"/>
              </w:numPr>
              <w:rPr>
                <w:lang w:val="en-AU"/>
              </w:rPr>
            </w:pPr>
            <w:r w:rsidRPr="00887DFD">
              <w:rPr>
                <w:lang w:val="en-AU"/>
              </w:rPr>
              <w:t xml:space="preserve">Guan, D., Fan, K., Spence, I., </w:t>
            </w:r>
            <w:r w:rsidRPr="00C53A26">
              <w:rPr>
                <w:b/>
                <w:lang w:val="en-AU"/>
              </w:rPr>
              <w:t>Matthews, S</w:t>
            </w:r>
            <w:r w:rsidRPr="00887DFD">
              <w:rPr>
                <w:lang w:val="en-AU"/>
              </w:rPr>
              <w:t>. (2018). Combining machine learning models of in vitro and in vivo bioassays improves rat carcinogenicity prediction. Regulatory Toxicology and Pharmacology, 94, 8-15.</w:t>
            </w:r>
          </w:p>
          <w:p w:rsidR="00887DFD" w:rsidRDefault="00887DFD" w:rsidP="00887DFD">
            <w:pPr>
              <w:pStyle w:val="ListParagraph"/>
              <w:numPr>
                <w:ilvl w:val="0"/>
                <w:numId w:val="13"/>
              </w:numPr>
              <w:rPr>
                <w:lang w:val="en-AU"/>
              </w:rPr>
            </w:pPr>
            <w:r w:rsidRPr="00887DFD">
              <w:rPr>
                <w:lang w:val="en-AU"/>
              </w:rPr>
              <w:t xml:space="preserve">Lai, K., </w:t>
            </w:r>
            <w:r w:rsidRPr="00C53A26">
              <w:rPr>
                <w:b/>
                <w:lang w:val="en-AU"/>
              </w:rPr>
              <w:t>Matthews, S</w:t>
            </w:r>
            <w:r w:rsidRPr="00887DFD">
              <w:rPr>
                <w:lang w:val="en-AU"/>
              </w:rPr>
              <w:t>., Wilmott, J., Killingsworth, M., Yong, J., Caixeiro, N., Wykes, J., Samakeh, A., Forstner, D., Lee, M., Hong, A., Lee, C., et al (2018). Differences in LC3B expression and prognostic implications in oropharyngeal and oral cavity squamous cell carcinoma patients. BMC Cancer, 18(1), 1-12</w:t>
            </w:r>
          </w:p>
          <w:p w:rsidR="00887DFD" w:rsidRDefault="00887DFD" w:rsidP="00887DFD">
            <w:pPr>
              <w:pStyle w:val="ListParagraph"/>
              <w:numPr>
                <w:ilvl w:val="0"/>
                <w:numId w:val="13"/>
              </w:numPr>
              <w:rPr>
                <w:lang w:val="en-AU"/>
              </w:rPr>
            </w:pPr>
            <w:r w:rsidRPr="00887DFD">
              <w:rPr>
                <w:lang w:val="en-AU"/>
              </w:rPr>
              <w:t xml:space="preserve">Guan, D., Fan, K., Spence, I., </w:t>
            </w:r>
            <w:r w:rsidRPr="00C53A26">
              <w:rPr>
                <w:b/>
                <w:lang w:val="en-AU"/>
              </w:rPr>
              <w:t>Matthews, S</w:t>
            </w:r>
            <w:r w:rsidRPr="00887DFD">
              <w:rPr>
                <w:lang w:val="en-AU"/>
              </w:rPr>
              <w:t>. (2018). QSAR ligand dataset for modelling mutagenicity, genotoxicity, and rodent carcinogenicity. Data in Brief, 17, 876-884</w:t>
            </w:r>
          </w:p>
          <w:p w:rsidR="00691954" w:rsidRDefault="00691954" w:rsidP="00691954">
            <w:pPr>
              <w:pStyle w:val="ListParagraph"/>
              <w:numPr>
                <w:ilvl w:val="0"/>
                <w:numId w:val="13"/>
              </w:numPr>
              <w:rPr>
                <w:lang w:val="en-AU"/>
              </w:rPr>
            </w:pPr>
            <w:r w:rsidRPr="00691954">
              <w:rPr>
                <w:lang w:val="en-AU"/>
              </w:rPr>
              <w:t xml:space="preserve">Lai, K., Killingsworth, M., Yong, J., </w:t>
            </w:r>
            <w:r w:rsidRPr="00691954">
              <w:rPr>
                <w:b/>
                <w:lang w:val="en-AU"/>
              </w:rPr>
              <w:t>Matthews, S</w:t>
            </w:r>
            <w:r w:rsidRPr="00691954">
              <w:rPr>
                <w:lang w:val="en-AU"/>
              </w:rPr>
              <w:t>., Ebr</w:t>
            </w:r>
            <w:r w:rsidR="006E3262">
              <w:rPr>
                <w:lang w:val="en-AU"/>
              </w:rPr>
              <w:t>ahimi, A., McGuinness, J.,</w:t>
            </w:r>
            <w:r w:rsidR="007547F4">
              <w:rPr>
                <w:lang w:val="en-AU"/>
              </w:rPr>
              <w:t xml:space="preserve"> </w:t>
            </w:r>
            <w:r w:rsidR="009F1271">
              <w:rPr>
                <w:lang w:val="en-AU"/>
              </w:rPr>
              <w:t>…</w:t>
            </w:r>
            <w:r w:rsidRPr="00691954">
              <w:rPr>
                <w:lang w:val="en-AU"/>
              </w:rPr>
              <w:t xml:space="preserve"> Lee, C. S. (2017). Specific localization of LC3B in autophagosome: A correlative labelling study with nanoparticle in oral squamous cell carcinoma. Exp Mol Pathol, 102(3), 422-427</w:t>
            </w:r>
            <w:r>
              <w:rPr>
                <w:lang w:val="en-AU"/>
              </w:rPr>
              <w:t>.</w:t>
            </w:r>
          </w:p>
          <w:p w:rsidR="00887DFD" w:rsidRDefault="00887DFD" w:rsidP="00887DFD">
            <w:pPr>
              <w:pStyle w:val="ListParagraph"/>
              <w:numPr>
                <w:ilvl w:val="0"/>
                <w:numId w:val="13"/>
              </w:numPr>
              <w:rPr>
                <w:lang w:val="en-AU"/>
              </w:rPr>
            </w:pPr>
            <w:r w:rsidRPr="00887DFD">
              <w:rPr>
                <w:lang w:val="en-AU"/>
              </w:rPr>
              <w:t xml:space="preserve">Chan, B., Reeve, E., </w:t>
            </w:r>
            <w:r w:rsidRPr="00CA3B1C">
              <w:rPr>
                <w:b/>
                <w:lang w:val="en-AU"/>
              </w:rPr>
              <w:t>Matthews, S</w:t>
            </w:r>
            <w:r w:rsidRPr="00887DFD">
              <w:rPr>
                <w:lang w:val="en-AU"/>
              </w:rPr>
              <w:t>., Carroll, P., Long, J., Held, F., Latt, M., Naganathan, V., Caplan, G., Hilmer, S. (2017). Medicine information exchange networks among healthcare professionals and prescribing in geriatric medicine wards. British Journal of Clinical Pharmacology, 83(6), 1185-1196</w:t>
            </w:r>
          </w:p>
          <w:p w:rsidR="00E836C3" w:rsidRPr="00D430F1" w:rsidRDefault="00E836C3" w:rsidP="00887DFD">
            <w:pPr>
              <w:pStyle w:val="ListParagraph"/>
              <w:numPr>
                <w:ilvl w:val="0"/>
                <w:numId w:val="13"/>
              </w:numPr>
              <w:rPr>
                <w:lang w:val="en-AU"/>
              </w:rPr>
            </w:pPr>
            <w:r w:rsidRPr="00D430F1">
              <w:rPr>
                <w:lang w:val="en-AU"/>
              </w:rPr>
              <w:t xml:space="preserve">Lai K, Killingsworth M, </w:t>
            </w:r>
            <w:r w:rsidRPr="00D430F1">
              <w:rPr>
                <w:b/>
                <w:lang w:val="en-AU"/>
              </w:rPr>
              <w:t>Matthews S,</w:t>
            </w:r>
            <w:r w:rsidRPr="00D430F1">
              <w:rPr>
                <w:lang w:val="en-AU"/>
              </w:rPr>
              <w:t xml:space="preserve"> Caixeiro N, Evangelista C, Wu X, Wykes J, Samakeh A, Forstner D, Niles N, Hong A, Lee CS.</w:t>
            </w:r>
            <w:r>
              <w:t xml:space="preserve"> (2016) </w:t>
            </w:r>
            <w:r w:rsidRPr="00D430F1">
              <w:rPr>
                <w:lang w:val="en-AU"/>
              </w:rPr>
              <w:t>Differences in survival outcome between oropharyngeal and oral cavity squamous cell carcinoma in relation to HPV status.</w:t>
            </w:r>
            <w:r>
              <w:t xml:space="preserve"> </w:t>
            </w:r>
            <w:r w:rsidRPr="00D430F1">
              <w:rPr>
                <w:lang w:val="en-AU"/>
              </w:rPr>
              <w:t>J Oral Pathol Med. 2016 [Epub ahead of print]</w:t>
            </w:r>
          </w:p>
          <w:p w:rsidR="00E836C3" w:rsidRPr="00D430F1" w:rsidRDefault="00E836C3" w:rsidP="00D430F1">
            <w:pPr>
              <w:pStyle w:val="ListParagraph"/>
              <w:numPr>
                <w:ilvl w:val="0"/>
                <w:numId w:val="13"/>
              </w:numPr>
              <w:rPr>
                <w:lang w:val="en-AU"/>
              </w:rPr>
            </w:pPr>
            <w:r w:rsidRPr="00D430F1">
              <w:rPr>
                <w:lang w:val="en-AU"/>
              </w:rPr>
              <w:t xml:space="preserve">Dixit R, </w:t>
            </w:r>
            <w:r w:rsidRPr="00D430F1">
              <w:rPr>
                <w:b/>
                <w:lang w:val="en-AU"/>
              </w:rPr>
              <w:t>Matthews S,</w:t>
            </w:r>
            <w:r w:rsidRPr="00D430F1">
              <w:rPr>
                <w:lang w:val="en-AU"/>
              </w:rPr>
              <w:t xml:space="preserve"> Khandaker G, Walker K, Festa M, Booy R. (2016) Pharmacokinetics of oseltamivir in infants under the age of 1 year.</w:t>
            </w:r>
            <w:r>
              <w:t xml:space="preserve"> </w:t>
            </w:r>
            <w:r w:rsidRPr="00D430F1">
              <w:rPr>
                <w:lang w:val="en-AU"/>
              </w:rPr>
              <w:t>Clin Transl Med. 2016 Dec;5(1):37.</w:t>
            </w:r>
          </w:p>
          <w:p w:rsidR="00E836C3" w:rsidRPr="00D430F1" w:rsidRDefault="00E836C3" w:rsidP="00D430F1">
            <w:pPr>
              <w:pStyle w:val="ListParagraph"/>
              <w:numPr>
                <w:ilvl w:val="0"/>
                <w:numId w:val="13"/>
              </w:numPr>
              <w:rPr>
                <w:lang w:val="en-AU"/>
              </w:rPr>
            </w:pPr>
            <w:r w:rsidRPr="00D430F1">
              <w:rPr>
                <w:lang w:val="en-AU"/>
              </w:rPr>
              <w:t xml:space="preserve">Lee, Y., Reidler, P., Jelinek, H., Lee, Y., Zhou, Y., Hambly, B., McCabe, J., </w:t>
            </w:r>
            <w:r w:rsidRPr="00D430F1">
              <w:rPr>
                <w:b/>
                <w:lang w:val="en-AU"/>
              </w:rPr>
              <w:t>Matthews, S</w:t>
            </w:r>
            <w:r w:rsidRPr="00D430F1">
              <w:rPr>
                <w:lang w:val="en-AU"/>
              </w:rPr>
              <w:t>., Ke, H., Assareh, H., et al (2016). Electrocardiogram derived QRS duration associations with elevated central aortic systolic pressure (CASP) in a rural Australian population. Clinical Hypertension, 22(6), 1-6</w:t>
            </w:r>
          </w:p>
          <w:p w:rsidR="00E836C3" w:rsidRPr="00D430F1" w:rsidRDefault="00E836C3" w:rsidP="00D430F1">
            <w:pPr>
              <w:pStyle w:val="ListParagraph"/>
              <w:numPr>
                <w:ilvl w:val="0"/>
                <w:numId w:val="13"/>
              </w:numPr>
              <w:rPr>
                <w:lang w:val="en-AU"/>
              </w:rPr>
            </w:pPr>
            <w:r w:rsidRPr="00D430F1">
              <w:rPr>
                <w:lang w:val="en-AU"/>
              </w:rPr>
              <w:lastRenderedPageBreak/>
              <w:t xml:space="preserve">Ebach, M., Michael, M., Shaw, W. ,Goff, J., Murphy, D., and </w:t>
            </w:r>
            <w:r w:rsidRPr="00D430F1">
              <w:rPr>
                <w:b/>
                <w:lang w:val="en-AU"/>
              </w:rPr>
              <w:t>Matthews, S.</w:t>
            </w:r>
            <w:r w:rsidRPr="00D430F1">
              <w:rPr>
                <w:lang w:val="en-AU"/>
              </w:rPr>
              <w:t xml:space="preserve"> (2016) Big data and the historical sciences: A critique. Geoforum1-4. doi:10.1016/j.geoforum.2016.02.020</w:t>
            </w:r>
          </w:p>
          <w:p w:rsidR="00E836C3" w:rsidRPr="00D430F1" w:rsidRDefault="00E836C3" w:rsidP="00D430F1">
            <w:pPr>
              <w:pStyle w:val="ListParagraph"/>
              <w:numPr>
                <w:ilvl w:val="0"/>
                <w:numId w:val="13"/>
              </w:numPr>
              <w:rPr>
                <w:lang w:val="en-AU"/>
              </w:rPr>
            </w:pPr>
            <w:r w:rsidRPr="00D430F1">
              <w:rPr>
                <w:lang w:val="en-AU"/>
              </w:rPr>
              <w:t xml:space="preserve">Marzbanrad F, Khandoker AH, Hambly BD, Ng E, Tamayo M, Lu Y, </w:t>
            </w:r>
            <w:r w:rsidRPr="00D430F1">
              <w:rPr>
                <w:b/>
                <w:lang w:val="en-AU"/>
              </w:rPr>
              <w:t>Matthews S</w:t>
            </w:r>
            <w:r w:rsidRPr="00D430F1">
              <w:rPr>
                <w:lang w:val="en-AU"/>
              </w:rPr>
              <w:t>, Karmakar C, Palaniswami M, Jelinek HF, McLachlan C. (2016) Methodological Comparisons of Heart Rate Variability Analysis in Patients With Type 2 Diabetes and Angiotensin Converting Enzyme Polymorphism. IEEE Journal of Biomedical Health Informatics. 2016 Jan;20(1):55-63.</w:t>
            </w:r>
          </w:p>
          <w:p w:rsidR="00E836C3" w:rsidRPr="00D430F1" w:rsidRDefault="00E836C3" w:rsidP="00D430F1">
            <w:pPr>
              <w:pStyle w:val="ListParagraph"/>
              <w:numPr>
                <w:ilvl w:val="0"/>
                <w:numId w:val="13"/>
              </w:numPr>
              <w:spacing w:line="276" w:lineRule="auto"/>
              <w:rPr>
                <w:lang w:val="en-AU"/>
              </w:rPr>
            </w:pPr>
            <w:r w:rsidRPr="00D430F1">
              <w:rPr>
                <w:lang w:val="en-AU"/>
              </w:rPr>
              <w:t xml:space="preserve">Gnjidic, D., A. Bennett, D. G. L. Couteur, F. M. Blyth, R. G. Cumming, L. Waite, D. Handelsman, V. Naganathan, </w:t>
            </w:r>
            <w:r w:rsidRPr="00D430F1">
              <w:rPr>
                <w:b/>
                <w:lang w:val="en-AU"/>
              </w:rPr>
              <w:t>S. Matthews</w:t>
            </w:r>
            <w:r w:rsidRPr="00D430F1">
              <w:rPr>
                <w:lang w:val="en-AU"/>
              </w:rPr>
              <w:t xml:space="preserve"> and S. N. Hilmer (2015). "Ischemic heart disease, prescription of optimal medical therapy and geriatric syndromes in community-dwelling older men: A population-based study." International Journal of Cardiology 192: 49-55.</w:t>
            </w:r>
          </w:p>
          <w:p w:rsidR="00E836C3" w:rsidRPr="00D430F1" w:rsidRDefault="00E836C3" w:rsidP="00D430F1">
            <w:pPr>
              <w:pStyle w:val="ListParagraph"/>
              <w:numPr>
                <w:ilvl w:val="0"/>
                <w:numId w:val="13"/>
              </w:numPr>
              <w:spacing w:line="276" w:lineRule="auto"/>
              <w:rPr>
                <w:lang w:val="en-AU"/>
              </w:rPr>
            </w:pPr>
            <w:r w:rsidRPr="00D430F1">
              <w:rPr>
                <w:lang w:val="en-AU"/>
              </w:rPr>
              <w:t xml:space="preserve">Qi, K., E. Reeve, S. N. Hilmer, S. A. Pearson, </w:t>
            </w:r>
            <w:r w:rsidRPr="00D430F1">
              <w:rPr>
                <w:b/>
                <w:lang w:val="en-AU"/>
              </w:rPr>
              <w:t>S. Matthews</w:t>
            </w:r>
            <w:r w:rsidRPr="00D430F1">
              <w:rPr>
                <w:lang w:val="en-AU"/>
              </w:rPr>
              <w:t xml:space="preserve"> and D. Gnjidic (2015). "Older peoples' attitudes regarding polypharmacy, statin use and willingness to have statins deprescribed in Australia." Int J Clin Pharm. (in press).</w:t>
            </w:r>
          </w:p>
          <w:p w:rsidR="00E836C3" w:rsidRPr="00D430F1" w:rsidRDefault="00E836C3" w:rsidP="00D430F1">
            <w:pPr>
              <w:pStyle w:val="ListParagraph"/>
              <w:numPr>
                <w:ilvl w:val="0"/>
                <w:numId w:val="13"/>
              </w:numPr>
              <w:spacing w:line="276" w:lineRule="auto"/>
              <w:rPr>
                <w:lang w:val="en-AU"/>
              </w:rPr>
            </w:pPr>
            <w:r>
              <w:t xml:space="preserve">Claire Johnston, Sarah N Hilmer, Andrew J McLachlan, </w:t>
            </w:r>
            <w:r w:rsidRPr="00D430F1">
              <w:rPr>
                <w:b/>
              </w:rPr>
              <w:t>Slade T Matthews</w:t>
            </w:r>
            <w:r>
              <w:t>, Peter R Carroll and Carl M Kirkpatrick</w:t>
            </w:r>
            <w:r w:rsidRPr="007B5D14">
              <w:t>.</w:t>
            </w:r>
            <w:r>
              <w:t xml:space="preserve"> (2014) The impact of frailty on pharmacokinetics in older people: Using gentamicin population pharmacokinetic modeling to investigate changes in renal drug clearance by glomerular filtration. European Journal of Clinical Pharmacology.</w:t>
            </w:r>
          </w:p>
          <w:p w:rsidR="00E836C3" w:rsidRPr="00FB2298" w:rsidRDefault="00E836C3" w:rsidP="00D430F1">
            <w:pPr>
              <w:pStyle w:val="ListParagraph"/>
              <w:numPr>
                <w:ilvl w:val="0"/>
                <w:numId w:val="13"/>
              </w:numPr>
              <w:spacing w:line="276" w:lineRule="auto"/>
            </w:pPr>
            <w:r w:rsidRPr="00FB2298">
              <w:t xml:space="preserve">Bennett A, Gnjidic D, Gillett M, Carroll P, </w:t>
            </w:r>
            <w:r w:rsidRPr="00D430F1">
              <w:rPr>
                <w:b/>
              </w:rPr>
              <w:t>Matthews S</w:t>
            </w:r>
            <w:r w:rsidRPr="00FB2298">
              <w:t>, Johnell K</w:t>
            </w:r>
            <w:r>
              <w:t xml:space="preserve">, </w:t>
            </w:r>
            <w:r w:rsidRPr="00FB2298">
              <w:t>Fastbom</w:t>
            </w:r>
            <w:r>
              <w:t>, J.,</w:t>
            </w:r>
            <w:r w:rsidRPr="00FB2298">
              <w:t xml:space="preserve"> </w:t>
            </w:r>
            <w:r>
              <w:t xml:space="preserve">and </w:t>
            </w:r>
            <w:r w:rsidRPr="00FB2298">
              <w:t>Hilmer</w:t>
            </w:r>
            <w:r>
              <w:t>, S</w:t>
            </w:r>
            <w:r w:rsidRPr="00FB2298">
              <w:t>. (2014). Prevalence and Impact of Fall-Risk-Increasing Drugs, Polypharmacy, and Drug-Drug Interactions in Robust Versus Frail Hospitalised Falls Patients: A Prospective Cohort Study. In: Drugs &amp; aging.</w:t>
            </w:r>
          </w:p>
          <w:p w:rsidR="00E836C3" w:rsidRPr="00D430F1" w:rsidRDefault="00E836C3" w:rsidP="00D430F1">
            <w:pPr>
              <w:pStyle w:val="ListParagraph"/>
              <w:numPr>
                <w:ilvl w:val="0"/>
                <w:numId w:val="13"/>
              </w:numPr>
              <w:spacing w:line="276" w:lineRule="auto"/>
              <w:rPr>
                <w:lang w:val="en-AU"/>
              </w:rPr>
            </w:pPr>
            <w:r w:rsidRPr="00D430F1">
              <w:rPr>
                <w:b/>
                <w:lang w:val="en-AU"/>
              </w:rPr>
              <w:t>Matthews, Slade</w:t>
            </w:r>
            <w:r w:rsidRPr="00D430F1">
              <w:rPr>
                <w:lang w:val="en-AU"/>
              </w:rPr>
              <w:t xml:space="preserve"> (2013) One-Tailed Significance Tests And The Accounting For Alpha. Clin Exp Pharmacol Physiol.[doi: 10.1111/1440-1681.12128.]</w:t>
            </w:r>
          </w:p>
          <w:p w:rsidR="00E836C3" w:rsidRPr="00D430F1" w:rsidRDefault="00E836C3" w:rsidP="00D430F1">
            <w:pPr>
              <w:pStyle w:val="ListParagraph"/>
              <w:numPr>
                <w:ilvl w:val="0"/>
                <w:numId w:val="13"/>
              </w:numPr>
              <w:spacing w:line="276" w:lineRule="auto"/>
              <w:rPr>
                <w:lang w:val="en-AU"/>
              </w:rPr>
            </w:pPr>
            <w:r w:rsidRPr="00D430F1">
              <w:rPr>
                <w:lang w:val="en-AU"/>
              </w:rPr>
              <w:t xml:space="preserve">Ethan Ng, Brett Hambly, Herbert F. Jelinek, Joo-Mee  Hwang, Bing Yu, </w:t>
            </w:r>
            <w:r w:rsidRPr="00D430F1">
              <w:rPr>
                <w:b/>
                <w:lang w:val="en-AU"/>
              </w:rPr>
              <w:t>Slade Matthews</w:t>
            </w:r>
            <w:r w:rsidRPr="00D430F1">
              <w:rPr>
                <w:lang w:val="en-AU"/>
              </w:rPr>
              <w:t xml:space="preserve"> and Craig S. McLachlan. (2012) Angiotensin-converting enzyme gene (ACE) DD genotype is associated with increased systolic blood pressure in an Australian Caucasian Rural Type 2 Diabetic Cohort. Hypertension Research. (</w:t>
            </w:r>
            <w:r w:rsidRPr="00D430F1">
              <w:rPr>
                <w:rFonts w:ascii="Arial" w:hAnsi="Arial" w:cs="Arial"/>
                <w:color w:val="000000"/>
                <w:sz w:val="17"/>
                <w:szCs w:val="17"/>
                <w:shd w:val="clear" w:color="auto" w:fill="FFFFFF"/>
              </w:rPr>
              <w:t>2012 Dec 13. doi: 10.1038/hr.2012.195).</w:t>
            </w:r>
          </w:p>
          <w:p w:rsidR="00E836C3" w:rsidRPr="00D430F1" w:rsidRDefault="00E836C3" w:rsidP="00D430F1">
            <w:pPr>
              <w:pStyle w:val="ListParagraph"/>
              <w:numPr>
                <w:ilvl w:val="0"/>
                <w:numId w:val="13"/>
              </w:numPr>
              <w:spacing w:line="276" w:lineRule="auto"/>
              <w:rPr>
                <w:lang w:val="en-AU"/>
              </w:rPr>
            </w:pPr>
            <w:r w:rsidRPr="00D430F1">
              <w:rPr>
                <w:b/>
                <w:lang w:val="en-AU"/>
              </w:rPr>
              <w:t>Slade Matthews,</w:t>
            </w:r>
            <w:r w:rsidRPr="00D430F1">
              <w:rPr>
                <w:lang w:val="en-AU"/>
              </w:rPr>
              <w:t xml:space="preserve"> Sara Vafaeiafraz, Herbert Jelinek, Craig S. McLachlan. (2012) Heart rate stability and decreased parasympathetic heart rate variability in healthy young adults during perceived stress. International Journ</w:t>
            </w:r>
            <w:r w:rsidR="00494767">
              <w:rPr>
                <w:lang w:val="en-AU"/>
              </w:rPr>
              <w:t>al of Cardiology (156): 337–338</w:t>
            </w:r>
          </w:p>
          <w:p w:rsidR="00E836C3" w:rsidRPr="00D430F1" w:rsidRDefault="00E836C3" w:rsidP="00D430F1">
            <w:pPr>
              <w:pStyle w:val="ListParagraph"/>
              <w:numPr>
                <w:ilvl w:val="0"/>
                <w:numId w:val="13"/>
              </w:numPr>
              <w:spacing w:line="276" w:lineRule="auto"/>
              <w:rPr>
                <w:lang w:val="en-AU"/>
              </w:rPr>
            </w:pPr>
            <w:r w:rsidRPr="00D430F1">
              <w:rPr>
                <w:lang w:val="en-AU"/>
              </w:rPr>
              <w:t xml:space="preserve">Vanessa A McMahon, </w:t>
            </w:r>
            <w:r w:rsidRPr="00D430F1">
              <w:rPr>
                <w:b/>
                <w:lang w:val="en-AU"/>
              </w:rPr>
              <w:t>Slade Matthews</w:t>
            </w:r>
            <w:r w:rsidRPr="00D430F1">
              <w:rPr>
                <w:lang w:val="en-AU"/>
              </w:rPr>
              <w:t xml:space="preserve">, Hugh Capper, Jessica B Chudleigh, Craig S McLachlan (2012). Understanding Decision and Enabling Factors Influencing Clinical Trial Participation in Australia: A View Point. Asian Pacific Journal of Cancer Prevention </w:t>
            </w:r>
            <w:r w:rsidRPr="00D430F1">
              <w:rPr>
                <w:rFonts w:ascii="Arial" w:hAnsi="Arial" w:cs="Arial"/>
                <w:color w:val="000000"/>
                <w:sz w:val="18"/>
                <w:szCs w:val="18"/>
                <w:shd w:val="clear" w:color="auto" w:fill="FFFFFF"/>
              </w:rPr>
              <w:t>12(11):3153-6</w:t>
            </w:r>
            <w:r w:rsidR="00494767">
              <w:rPr>
                <w:lang w:val="en-AU"/>
              </w:rPr>
              <w:t>.</w:t>
            </w:r>
          </w:p>
          <w:p w:rsidR="00E836C3" w:rsidRPr="00D430F1" w:rsidRDefault="00E836C3" w:rsidP="00D430F1">
            <w:pPr>
              <w:pStyle w:val="ListParagraph"/>
              <w:numPr>
                <w:ilvl w:val="0"/>
                <w:numId w:val="13"/>
              </w:numPr>
              <w:spacing w:line="276" w:lineRule="auto"/>
              <w:rPr>
                <w:lang w:val="en-AU"/>
              </w:rPr>
            </w:pPr>
            <w:r>
              <w:t xml:space="preserve">Andrew H. Kemp, Daniel S. Quintana, Kim L. Felmingham, </w:t>
            </w:r>
            <w:r w:rsidRPr="00D430F1">
              <w:rPr>
                <w:b/>
              </w:rPr>
              <w:t>Slade Matthews</w:t>
            </w:r>
            <w:r>
              <w:t xml:space="preserve">, Herbert F. Jelinek, (2012) Depression, Comorbid Anxiety Disorders, and Heart Rate Variability in Physically Healthy, Unmedicated Patients: Implications for Cardiovascular Risk. PLoS ONE </w:t>
            </w:r>
            <w:r w:rsidRPr="00477D50">
              <w:t>7(2): e30777</w:t>
            </w:r>
            <w:r w:rsidR="00494767">
              <w:t>.</w:t>
            </w:r>
          </w:p>
          <w:p w:rsidR="00E836C3" w:rsidRPr="00D430F1" w:rsidRDefault="00E836C3" w:rsidP="00D430F1">
            <w:pPr>
              <w:pStyle w:val="ListParagraph"/>
              <w:numPr>
                <w:ilvl w:val="0"/>
                <w:numId w:val="13"/>
              </w:numPr>
              <w:spacing w:line="276" w:lineRule="auto"/>
              <w:rPr>
                <w:lang w:val="en-AU"/>
              </w:rPr>
            </w:pPr>
            <w:r w:rsidRPr="00D430F1">
              <w:rPr>
                <w:b/>
                <w:lang w:val="en-AU"/>
              </w:rPr>
              <w:t>Slade Matthews</w:t>
            </w:r>
            <w:r w:rsidRPr="00D430F1">
              <w:rPr>
                <w:lang w:val="en-AU"/>
              </w:rPr>
              <w:t>, Petter Succar, Brent McParland, Herbert Jelinek, Michael Buckland, Craig S McLachlan. (2012)</w:t>
            </w:r>
            <w:r>
              <w:t xml:space="preserve"> </w:t>
            </w:r>
            <w:r w:rsidRPr="00D430F1">
              <w:rPr>
                <w:lang w:val="en-AU"/>
              </w:rPr>
              <w:t>Classification of Oligodendrogliomas:  molecular and immuno-histochemical targets in the context of diagnostic “classical” histological assessment. Asia Pacific Journal of</w:t>
            </w:r>
            <w:r w:rsidR="00494767">
              <w:rPr>
                <w:lang w:val="en-AU"/>
              </w:rPr>
              <w:t xml:space="preserve"> Clinical Oncology (8) 213-126.</w:t>
            </w:r>
          </w:p>
          <w:p w:rsidR="00E836C3" w:rsidRPr="00D430F1" w:rsidRDefault="00E836C3" w:rsidP="00D430F1">
            <w:pPr>
              <w:pStyle w:val="ListParagraph"/>
              <w:numPr>
                <w:ilvl w:val="0"/>
                <w:numId w:val="13"/>
              </w:numPr>
              <w:spacing w:line="276" w:lineRule="auto"/>
              <w:rPr>
                <w:lang w:val="en-AU"/>
              </w:rPr>
            </w:pPr>
            <w:r w:rsidRPr="00D430F1">
              <w:rPr>
                <w:lang w:val="en-AU"/>
              </w:rPr>
              <w:t xml:space="preserve">Alice Kane, Peter R Carroll, </w:t>
            </w:r>
            <w:r w:rsidRPr="00D430F1">
              <w:rPr>
                <w:b/>
                <w:lang w:val="en-AU"/>
              </w:rPr>
              <w:t>Slade T Matthews,</w:t>
            </w:r>
            <w:r w:rsidRPr="00D430F1">
              <w:rPr>
                <w:lang w:val="en-AU"/>
              </w:rPr>
              <w:t xml:space="preserve"> Sarah N Hilmer (2012) Characteristics of Younger and Older Patients with Suspected Paracetamol Toxicity. Australasian Journal on Ageing doi: 1</w:t>
            </w:r>
            <w:r w:rsidR="00494767">
              <w:rPr>
                <w:lang w:val="en-AU"/>
              </w:rPr>
              <w:t>0.1111/j.1741-6612.2012.00598.x</w:t>
            </w:r>
          </w:p>
          <w:p w:rsidR="00E836C3" w:rsidRPr="00D430F1" w:rsidRDefault="00E836C3" w:rsidP="00D430F1">
            <w:pPr>
              <w:pStyle w:val="ListParagraph"/>
              <w:numPr>
                <w:ilvl w:val="0"/>
                <w:numId w:val="13"/>
              </w:numPr>
              <w:spacing w:line="276" w:lineRule="auto"/>
              <w:rPr>
                <w:lang w:val="en-AU"/>
              </w:rPr>
            </w:pPr>
            <w:r w:rsidRPr="00D430F1">
              <w:rPr>
                <w:lang w:val="en-AU"/>
              </w:rPr>
              <w:t xml:space="preserve">Claire F Johnston, Peter R Carroll, </w:t>
            </w:r>
            <w:r w:rsidRPr="00D430F1">
              <w:rPr>
                <w:b/>
                <w:lang w:val="en-AU"/>
              </w:rPr>
              <w:t>Slade T Matthews,</w:t>
            </w:r>
            <w:r w:rsidRPr="00D430F1">
              <w:rPr>
                <w:lang w:val="en-AU"/>
              </w:rPr>
              <w:t xml:space="preserve"> Sarah J Mitchell, Sarah N Hilmer (2011) ‘You Look Like a 240 mg’:</w:t>
            </w:r>
            <w:r>
              <w:t xml:space="preserve"> </w:t>
            </w:r>
            <w:r w:rsidRPr="00D430F1">
              <w:rPr>
                <w:lang w:val="en-AU"/>
              </w:rPr>
              <w:t>Gentamicin Dosing in a Sydney Teaching Hospital. Journal of Pharmacy Practice and Research. 41 (4) 267-9.</w:t>
            </w:r>
          </w:p>
          <w:p w:rsidR="00E836C3" w:rsidRPr="00D430F1" w:rsidRDefault="00E836C3" w:rsidP="00D430F1">
            <w:pPr>
              <w:pStyle w:val="ListParagraph"/>
              <w:numPr>
                <w:ilvl w:val="0"/>
                <w:numId w:val="13"/>
              </w:numPr>
              <w:spacing w:line="276" w:lineRule="auto"/>
              <w:rPr>
                <w:lang w:val="en-AU"/>
              </w:rPr>
            </w:pPr>
            <w:r>
              <w:t>Sarah N Hilmer, Kim Tran, Patrick Rubie, Jason Wright, Danijela Gnjidic, Sarah J Mitchell</w:t>
            </w:r>
            <w:r w:rsidRPr="00CE4D32">
              <w:t xml:space="preserve">, </w:t>
            </w:r>
            <w:r w:rsidRPr="00D430F1">
              <w:rPr>
                <w:b/>
              </w:rPr>
              <w:t>Slade Matthews,</w:t>
            </w:r>
            <w:r>
              <w:t xml:space="preserve"> Peter R Carroll (2011) Gentamicin Pharmacokinetics in Old Age and Frailty. British Journal of Clinical Pharmacology. 71:224-31</w:t>
            </w:r>
            <w:r w:rsidR="00494767">
              <w:t>.</w:t>
            </w:r>
            <w:r>
              <w:t xml:space="preserve"> </w:t>
            </w:r>
          </w:p>
          <w:p w:rsidR="00E836C3" w:rsidRPr="00D430F1" w:rsidRDefault="00E836C3" w:rsidP="00D430F1">
            <w:pPr>
              <w:pStyle w:val="ListParagraph"/>
              <w:numPr>
                <w:ilvl w:val="0"/>
                <w:numId w:val="13"/>
              </w:numPr>
              <w:spacing w:line="276" w:lineRule="auto"/>
              <w:rPr>
                <w:lang w:val="en-AU"/>
              </w:rPr>
            </w:pPr>
            <w:r w:rsidRPr="00D430F1">
              <w:rPr>
                <w:lang w:val="en-AU"/>
              </w:rPr>
              <w:t xml:space="preserve">Wang CM, Almsherqi ZA, McLachlan CS, </w:t>
            </w:r>
            <w:r w:rsidRPr="00D430F1">
              <w:rPr>
                <w:b/>
                <w:lang w:val="en-AU"/>
              </w:rPr>
              <w:t>Matthews</w:t>
            </w:r>
            <w:r w:rsidRPr="00D430F1">
              <w:rPr>
                <w:lang w:val="en-AU"/>
              </w:rPr>
              <w:t xml:space="preserve"> ST, Ramachandran M, Tay KH, Deng Y (2011). Acute starvation in C57BL/6J mice increases UCP2 and UCP3 protein expression levels and decreases mitochondrial bio-energetic function in the myocardium. Stress- The International Journal on the Biology of Stress </w:t>
            </w:r>
            <w:r w:rsidRPr="00D430F1">
              <w:rPr>
                <w:rFonts w:ascii="Arial" w:hAnsi="Arial" w:cs="Arial"/>
                <w:sz w:val="18"/>
                <w:szCs w:val="18"/>
              </w:rPr>
              <w:t>14(1):66-72.</w:t>
            </w:r>
          </w:p>
          <w:p w:rsidR="00E836C3" w:rsidRPr="00D430F1" w:rsidRDefault="00E836C3" w:rsidP="00D430F1">
            <w:pPr>
              <w:pStyle w:val="ListParagraph"/>
              <w:numPr>
                <w:ilvl w:val="0"/>
                <w:numId w:val="13"/>
              </w:numPr>
              <w:spacing w:line="276" w:lineRule="auto"/>
              <w:rPr>
                <w:lang w:val="en-AU"/>
              </w:rPr>
            </w:pPr>
            <w:r w:rsidRPr="00D430F1">
              <w:rPr>
                <w:lang w:val="en-AU"/>
              </w:rPr>
              <w:t xml:space="preserve">S. J. Mitchell, S. N. Hilmer, B. P. Murnion, S. </w:t>
            </w:r>
            <w:r w:rsidRPr="00D430F1">
              <w:rPr>
                <w:b/>
                <w:lang w:val="en-AU"/>
              </w:rPr>
              <w:t>Matthews</w:t>
            </w:r>
            <w:r w:rsidRPr="00D430F1">
              <w:rPr>
                <w:lang w:val="en-AU"/>
              </w:rPr>
              <w:t>. (2010) Hepatotoxicity of therapeutic short-course paracetamol in hospital inpatients: impact of ageing and frailty.</w:t>
            </w:r>
            <w:r>
              <w:t xml:space="preserve"> </w:t>
            </w:r>
            <w:r w:rsidRPr="00D430F1">
              <w:rPr>
                <w:lang w:val="en-AU"/>
              </w:rPr>
              <w:t xml:space="preserve">Journal of Clinical Pharmacy and Therapeutics. </w:t>
            </w:r>
            <w:r>
              <w:t>0:doi:10.1111/j.1365-2710.2010.01193.</w:t>
            </w:r>
            <w:r w:rsidRPr="00D430F1">
              <w:rPr>
                <w:lang w:val="en-AU"/>
              </w:rPr>
              <w:t>).</w:t>
            </w:r>
            <w:r w:rsidRPr="00D430F1">
              <w:rPr>
                <w:b/>
                <w:lang w:val="en-AU"/>
              </w:rPr>
              <w:t xml:space="preserve"> </w:t>
            </w:r>
          </w:p>
          <w:p w:rsidR="00E836C3" w:rsidRPr="00D430F1" w:rsidRDefault="00E836C3" w:rsidP="00D430F1">
            <w:pPr>
              <w:pStyle w:val="ListParagraph"/>
              <w:numPr>
                <w:ilvl w:val="0"/>
                <w:numId w:val="13"/>
              </w:numPr>
              <w:spacing w:line="276" w:lineRule="auto"/>
              <w:rPr>
                <w:lang w:val="en-AU"/>
              </w:rPr>
            </w:pPr>
            <w:r w:rsidRPr="00D430F1">
              <w:rPr>
                <w:lang w:val="en-AU"/>
              </w:rPr>
              <w:t xml:space="preserve">McLachan CS, Taylor CB, Li Y, Willenberg L, </w:t>
            </w:r>
            <w:r w:rsidRPr="00D430F1">
              <w:rPr>
                <w:b/>
                <w:lang w:val="en-AU"/>
              </w:rPr>
              <w:t>Matthews S</w:t>
            </w:r>
            <w:r w:rsidRPr="00D430F1">
              <w:rPr>
                <w:lang w:val="en-AU"/>
              </w:rPr>
              <w:t xml:space="preserve">, Glass P, Myburgh J. (2010) Severe falciparum malaria patients transferred "late" to a high level ICU in India represents a difficult research capture point to </w:t>
            </w:r>
            <w:r w:rsidRPr="00D430F1">
              <w:rPr>
                <w:lang w:val="en-AU"/>
              </w:rPr>
              <w:lastRenderedPageBreak/>
              <w:t xml:space="preserve">comment on predictors of mortality and related organ dysfunction. Singapore Medical Journal 51(9): 752-3. </w:t>
            </w:r>
          </w:p>
          <w:p w:rsidR="00E836C3" w:rsidRPr="00D430F1" w:rsidRDefault="00E836C3" w:rsidP="00D430F1">
            <w:pPr>
              <w:pStyle w:val="ListParagraph"/>
              <w:numPr>
                <w:ilvl w:val="0"/>
                <w:numId w:val="13"/>
              </w:numPr>
              <w:spacing w:line="276" w:lineRule="auto"/>
              <w:rPr>
                <w:lang w:val="en-AU"/>
              </w:rPr>
            </w:pPr>
            <w:r w:rsidRPr="00D430F1">
              <w:rPr>
                <w:lang w:val="en-AU"/>
              </w:rPr>
              <w:t xml:space="preserve">Craig S. McLachlan, PhD, MPH, Ryan Ocsan, MSc, Ian Spence, PhD, Brett Hambly, MD, PhD, </w:t>
            </w:r>
            <w:r w:rsidRPr="00D430F1">
              <w:rPr>
                <w:b/>
                <w:lang w:val="en-AU"/>
              </w:rPr>
              <w:t>Slade Matthews</w:t>
            </w:r>
            <w:r w:rsidRPr="00D430F1">
              <w:rPr>
                <w:lang w:val="en-AU"/>
              </w:rPr>
              <w:t xml:space="preserve">, PhD, Lexin Wang, MD, PhD, and Herbert F. Jelinek, PhD. (2010) Increased total heart rate variability and enhanced cardiac vagal autonomic activity in healthy humans with sinus bradycardia. Proc (Bayl Univ Med Cent) 23(3):1–3. </w:t>
            </w:r>
          </w:p>
          <w:p w:rsidR="00E836C3" w:rsidRPr="00D430F1" w:rsidRDefault="00E836C3" w:rsidP="00D430F1">
            <w:pPr>
              <w:pStyle w:val="ListParagraph"/>
              <w:numPr>
                <w:ilvl w:val="0"/>
                <w:numId w:val="13"/>
              </w:numPr>
              <w:spacing w:line="276" w:lineRule="auto"/>
              <w:rPr>
                <w:lang w:val="en-AU"/>
              </w:rPr>
            </w:pPr>
            <w:r w:rsidRPr="00D430F1">
              <w:rPr>
                <w:lang w:val="en-AU"/>
              </w:rPr>
              <w:t xml:space="preserve">Slack, K., Billing, R., </w:t>
            </w:r>
            <w:r w:rsidRPr="00D430F1">
              <w:rPr>
                <w:b/>
                <w:lang w:val="en-AU"/>
              </w:rPr>
              <w:t>Matthews</w:t>
            </w:r>
            <w:r w:rsidRPr="00D430F1">
              <w:rPr>
                <w:lang w:val="en-AU"/>
              </w:rPr>
              <w:t xml:space="preserve">, S., Allbutt, H.N., Einstein, R. and Henderson, J.M. (2010) Subtle cardiovascular dysfunction in the unilateral 6-hydroxydopamine-lesioned rat. Parkinsons Disease 2010: 1-10. </w:t>
            </w:r>
          </w:p>
          <w:p w:rsidR="00E836C3" w:rsidRPr="00D430F1" w:rsidRDefault="00E836C3" w:rsidP="00D430F1">
            <w:pPr>
              <w:pStyle w:val="ListParagraph"/>
              <w:numPr>
                <w:ilvl w:val="0"/>
                <w:numId w:val="13"/>
              </w:numPr>
              <w:spacing w:line="276" w:lineRule="auto"/>
              <w:rPr>
                <w:lang w:val="en-AU"/>
              </w:rPr>
            </w:pPr>
            <w:r w:rsidRPr="00D430F1">
              <w:rPr>
                <w:lang w:val="en-AU"/>
              </w:rPr>
              <w:t xml:space="preserve">Hilmer, S. Mitchell, S., Perera, V. Murnion, B., Bajorek, B., </w:t>
            </w:r>
            <w:r w:rsidRPr="00D430F1">
              <w:rPr>
                <w:b/>
                <w:lang w:val="en-AU"/>
              </w:rPr>
              <w:t>Matthews</w:t>
            </w:r>
            <w:r w:rsidRPr="00D430F1">
              <w:rPr>
                <w:lang w:val="en-AU"/>
              </w:rPr>
              <w:t xml:space="preserve">, S., </w:t>
            </w:r>
            <w:r w:rsidRPr="00C1734A">
              <w:t>Rolfson D</w:t>
            </w:r>
            <w:r>
              <w:t>.</w:t>
            </w:r>
            <w:r w:rsidRPr="00D430F1">
              <w:rPr>
                <w:lang w:val="en-AU"/>
              </w:rPr>
              <w:t xml:space="preserve"> (2009) The Assessment of Frailty in Older People in Acute Care. Australasian Journal on Ageing 28(4):182-8.</w:t>
            </w:r>
            <w:r w:rsidRPr="00D430F1">
              <w:rPr>
                <w:rFonts w:ascii="Times New Roman" w:hAnsi="Times New Roman"/>
                <w:b/>
                <w:sz w:val="18"/>
                <w:szCs w:val="18"/>
              </w:rPr>
              <w:t xml:space="preserve">  </w:t>
            </w:r>
          </w:p>
          <w:p w:rsidR="00E836C3" w:rsidRPr="00D430F1" w:rsidRDefault="00E836C3" w:rsidP="00D430F1">
            <w:pPr>
              <w:pStyle w:val="ListParagraph"/>
              <w:numPr>
                <w:ilvl w:val="0"/>
                <w:numId w:val="13"/>
              </w:numPr>
              <w:spacing w:line="276" w:lineRule="auto"/>
              <w:rPr>
                <w:lang w:val="en-AU"/>
              </w:rPr>
            </w:pPr>
            <w:r w:rsidRPr="00D430F1">
              <w:rPr>
                <w:lang w:val="en-AU"/>
              </w:rPr>
              <w:t xml:space="preserve">Sarah J Mitchell, Bridin P Murnion, Slade T </w:t>
            </w:r>
            <w:r w:rsidRPr="00D430F1">
              <w:rPr>
                <w:b/>
                <w:lang w:val="en-AU"/>
              </w:rPr>
              <w:t>Matthews</w:t>
            </w:r>
            <w:r w:rsidRPr="00D430F1">
              <w:rPr>
                <w:lang w:val="en-AU"/>
              </w:rPr>
              <w:t>, Sarah N Hilmer (2009) Compliance with Paracetamol Prescribing Policies at a Sydney Hospital. Journal of Pharmacy Practice and Research 39 (2): 124-129.</w:t>
            </w:r>
            <w:r w:rsidRPr="00D430F1">
              <w:rPr>
                <w:rFonts w:ascii="Times New Roman" w:hAnsi="Times New Roman"/>
                <w:b/>
              </w:rPr>
              <w:t xml:space="preserve"> </w:t>
            </w:r>
          </w:p>
          <w:p w:rsidR="00E836C3" w:rsidRPr="00D430F1" w:rsidRDefault="00E836C3" w:rsidP="00D430F1">
            <w:pPr>
              <w:pStyle w:val="ListParagraph"/>
              <w:numPr>
                <w:ilvl w:val="0"/>
                <w:numId w:val="13"/>
              </w:numPr>
              <w:spacing w:line="276" w:lineRule="auto"/>
              <w:rPr>
                <w:lang w:val="en-AU"/>
              </w:rPr>
            </w:pPr>
            <w:r w:rsidRPr="00D430F1">
              <w:rPr>
                <w:lang w:val="en-AU"/>
              </w:rPr>
              <w:t xml:space="preserve">Perera, V., Bajorek, B., </w:t>
            </w:r>
            <w:r w:rsidRPr="00D430F1">
              <w:rPr>
                <w:b/>
                <w:lang w:val="en-AU"/>
              </w:rPr>
              <w:t>Matthews</w:t>
            </w:r>
            <w:r w:rsidRPr="00D430F1">
              <w:rPr>
                <w:lang w:val="en-AU"/>
              </w:rPr>
              <w:t>, S. and Hilmer, S. (2009) The impact of frailty on the utilisation of antithrombotic therapy in older patients with atrial fibrillation. Age and Ageing 38: 156-162.</w:t>
            </w:r>
            <w:r w:rsidRPr="00D430F1">
              <w:rPr>
                <w:rFonts w:ascii="Times New Roman" w:hAnsi="Times New Roman"/>
                <w:b/>
                <w:sz w:val="18"/>
                <w:szCs w:val="18"/>
              </w:rPr>
              <w:t xml:space="preserve"> </w:t>
            </w:r>
          </w:p>
          <w:p w:rsidR="00E836C3" w:rsidRPr="00D430F1" w:rsidRDefault="00E836C3" w:rsidP="00D430F1">
            <w:pPr>
              <w:pStyle w:val="ListParagraph"/>
              <w:numPr>
                <w:ilvl w:val="0"/>
                <w:numId w:val="13"/>
              </w:numPr>
              <w:spacing w:line="276" w:lineRule="auto"/>
              <w:rPr>
                <w:lang w:val="en-AU"/>
              </w:rPr>
            </w:pPr>
            <w:r w:rsidRPr="00D430F1">
              <w:rPr>
                <w:rStyle w:val="apple-style-span"/>
                <w:rFonts w:ascii="Verdana" w:hAnsi="Verdana"/>
                <w:color w:val="000000"/>
              </w:rPr>
              <w:t xml:space="preserve">V. Perera, B. V. Bajorek, S. </w:t>
            </w:r>
            <w:r w:rsidRPr="00D430F1">
              <w:rPr>
                <w:rStyle w:val="apple-style-span"/>
                <w:rFonts w:ascii="Verdana" w:hAnsi="Verdana"/>
                <w:b/>
                <w:color w:val="000000"/>
              </w:rPr>
              <w:t>Matthews</w:t>
            </w:r>
            <w:r w:rsidRPr="00D430F1">
              <w:rPr>
                <w:rStyle w:val="apple-style-span"/>
                <w:rFonts w:ascii="Verdana" w:hAnsi="Verdana"/>
                <w:color w:val="000000"/>
              </w:rPr>
              <w:t>, and S. N. Hilmer</w:t>
            </w:r>
            <w:r w:rsidRPr="00D430F1">
              <w:rPr>
                <w:rFonts w:ascii="Verdana" w:hAnsi="Verdana"/>
                <w:color w:val="000000"/>
              </w:rPr>
              <w:t>. Warfarin can be safe and effective in the extreme elderly</w:t>
            </w:r>
            <w:r>
              <w:t xml:space="preserve">. </w:t>
            </w:r>
            <w:r w:rsidRPr="00D430F1">
              <w:rPr>
                <w:rStyle w:val="apple-style-span"/>
                <w:rFonts w:ascii="Verdana" w:hAnsi="Verdana"/>
                <w:color w:val="000000"/>
              </w:rPr>
              <w:t>Age Ageing, November 1, 2009; 38(6): 763 - 764.</w:t>
            </w:r>
            <w:r w:rsidRPr="00D430F1">
              <w:rPr>
                <w:rFonts w:cs="Tahoma"/>
                <w:b/>
                <w:sz w:val="18"/>
                <w:szCs w:val="18"/>
              </w:rPr>
              <w:t xml:space="preserve"> </w:t>
            </w:r>
          </w:p>
          <w:p w:rsidR="00E836C3" w:rsidRPr="00D430F1" w:rsidRDefault="00E836C3" w:rsidP="00D430F1">
            <w:pPr>
              <w:pStyle w:val="ListParagraph"/>
              <w:numPr>
                <w:ilvl w:val="0"/>
                <w:numId w:val="13"/>
              </w:numPr>
              <w:spacing w:line="276" w:lineRule="auto"/>
              <w:rPr>
                <w:lang w:val="en-AU"/>
              </w:rPr>
            </w:pPr>
            <w:r w:rsidRPr="00D430F1">
              <w:rPr>
                <w:lang w:val="en-AU"/>
              </w:rPr>
              <w:t xml:space="preserve">McLachlan, CS, Almsherqi, Z, Deng, Y, </w:t>
            </w:r>
            <w:r w:rsidRPr="00D430F1">
              <w:rPr>
                <w:b/>
                <w:lang w:val="en-AU"/>
              </w:rPr>
              <w:t>Matthews</w:t>
            </w:r>
            <w:r w:rsidRPr="00D430F1">
              <w:rPr>
                <w:lang w:val="en-AU"/>
              </w:rPr>
              <w:t>, S, Mossop, P (2008) Vitamin C and mitochondrial uncoupling protein in enhanced dobutamine myocardial contractility. American Heart Journal 155 (4)e29.</w:t>
            </w:r>
            <w:r w:rsidRPr="00D430F1">
              <w:rPr>
                <w:rFonts w:ascii="Times New Roman" w:hAnsi="Times New Roman"/>
                <w:b/>
                <w:sz w:val="18"/>
                <w:szCs w:val="18"/>
              </w:rPr>
              <w:t xml:space="preserve"> </w:t>
            </w:r>
          </w:p>
          <w:p w:rsidR="00E836C3" w:rsidRPr="00D430F1" w:rsidRDefault="00E836C3" w:rsidP="00D430F1">
            <w:pPr>
              <w:pStyle w:val="ListParagraph"/>
              <w:numPr>
                <w:ilvl w:val="0"/>
                <w:numId w:val="13"/>
              </w:numPr>
              <w:spacing w:line="276" w:lineRule="auto"/>
              <w:rPr>
                <w:lang w:val="en-AU"/>
              </w:rPr>
            </w:pPr>
            <w:r w:rsidRPr="00D430F1">
              <w:rPr>
                <w:lang w:val="en-AU"/>
              </w:rPr>
              <w:t xml:space="preserve">Brancatisano, T, Wahlroos, S, </w:t>
            </w:r>
            <w:r w:rsidRPr="00D430F1">
              <w:rPr>
                <w:b/>
                <w:lang w:val="en-AU"/>
              </w:rPr>
              <w:t>Matthews</w:t>
            </w:r>
            <w:r w:rsidRPr="00D430F1">
              <w:rPr>
                <w:lang w:val="en-AU"/>
              </w:rPr>
              <w:t>, S, Brancatisano, R (2008) Gastric Banding for the Treatment of Type 2 Diabetes Mellitus in the Morbidly Obese. Surgery for Obesity and Related Diseases 4(3):423-9.</w:t>
            </w:r>
            <w:r w:rsidRPr="00D430F1">
              <w:rPr>
                <w:rStyle w:val="pages"/>
                <w:rFonts w:ascii="Times New Roman" w:hAnsi="Times New Roman"/>
                <w:b/>
              </w:rPr>
              <w:t xml:space="preserve"> </w:t>
            </w:r>
          </w:p>
          <w:p w:rsidR="00E836C3" w:rsidRPr="00D430F1" w:rsidRDefault="00E836C3" w:rsidP="00D430F1">
            <w:pPr>
              <w:pStyle w:val="ListParagraph"/>
              <w:numPr>
                <w:ilvl w:val="0"/>
                <w:numId w:val="13"/>
              </w:numPr>
              <w:spacing w:line="276" w:lineRule="auto"/>
              <w:rPr>
                <w:lang w:val="en-AU"/>
              </w:rPr>
            </w:pPr>
            <w:r w:rsidRPr="00D430F1">
              <w:rPr>
                <w:lang w:val="en-AU"/>
              </w:rPr>
              <w:t xml:space="preserve">Gething, L., Fethney, J., McKee, K., Persson, L., Goff, M., Churchward, M., </w:t>
            </w:r>
            <w:r w:rsidRPr="00D430F1">
              <w:rPr>
                <w:b/>
                <w:lang w:val="en-AU"/>
              </w:rPr>
              <w:t>Matthews</w:t>
            </w:r>
            <w:r w:rsidRPr="00D430F1">
              <w:rPr>
                <w:lang w:val="en-AU"/>
              </w:rPr>
              <w:t>, S., Halvarsson, M., Johannsson, I. (2004) Validation of the Reactions to Ageing Questionnaire: Assessing Similarities Across Several Countries. Journal Gerontological Nursing 30(9): 47-54.</w:t>
            </w:r>
            <w:r w:rsidRPr="00D430F1">
              <w:rPr>
                <w:rFonts w:ascii="Times New Roman" w:hAnsi="Times New Roman"/>
                <w:b/>
                <w:sz w:val="18"/>
                <w:szCs w:val="18"/>
              </w:rPr>
              <w:t xml:space="preserve"> </w:t>
            </w:r>
          </w:p>
          <w:p w:rsidR="00E836C3" w:rsidRPr="00D430F1" w:rsidRDefault="00E836C3" w:rsidP="00494767">
            <w:pPr>
              <w:pStyle w:val="ListParagraph"/>
              <w:numPr>
                <w:ilvl w:val="0"/>
                <w:numId w:val="13"/>
              </w:numPr>
              <w:spacing w:line="276" w:lineRule="auto"/>
              <w:ind w:right="-648"/>
              <w:rPr>
                <w:lang w:val="en-AU"/>
              </w:rPr>
            </w:pPr>
            <w:r w:rsidRPr="00D430F1">
              <w:rPr>
                <w:lang w:val="en-AU"/>
              </w:rPr>
              <w:t xml:space="preserve">Gething, L., Fethney, J., McKee, K., Goff, M., Churchward, M., and </w:t>
            </w:r>
            <w:r w:rsidRPr="00D430F1">
              <w:rPr>
                <w:b/>
                <w:lang w:val="en-AU"/>
              </w:rPr>
              <w:t>Matthews</w:t>
            </w:r>
            <w:r w:rsidRPr="00D430F1">
              <w:rPr>
                <w:lang w:val="en-AU"/>
              </w:rPr>
              <w:t>, S. (2002) Knowledge, stereotyping and attitudes towards self ageing. Australasian Journal on Ageing. 21(2): 74-79.</w:t>
            </w:r>
            <w:r w:rsidRPr="00D430F1">
              <w:rPr>
                <w:rFonts w:ascii="Times New Roman" w:hAnsi="Times New Roman"/>
                <w:b/>
                <w:sz w:val="18"/>
                <w:szCs w:val="18"/>
              </w:rPr>
              <w:t xml:space="preserve"> </w:t>
            </w:r>
          </w:p>
          <w:p w:rsidR="00E836C3" w:rsidRPr="00E55210" w:rsidRDefault="00E836C3" w:rsidP="00BE68A7">
            <w:pPr>
              <w:spacing w:before="120"/>
              <w:rPr>
                <w:b/>
                <w:lang w:val="en-AU"/>
              </w:rPr>
            </w:pPr>
            <w:r>
              <w:rPr>
                <w:b/>
                <w:lang w:val="en-AU"/>
              </w:rPr>
              <w:t xml:space="preserve">Published </w:t>
            </w:r>
            <w:r w:rsidRPr="00E55210">
              <w:rPr>
                <w:b/>
                <w:lang w:val="en-AU"/>
              </w:rPr>
              <w:t>Conference Proceedings</w:t>
            </w:r>
          </w:p>
          <w:p w:rsidR="00E836C3" w:rsidRPr="008E1B06" w:rsidRDefault="00E836C3" w:rsidP="008E1B06">
            <w:pPr>
              <w:numPr>
                <w:ilvl w:val="0"/>
                <w:numId w:val="11"/>
              </w:numPr>
              <w:spacing w:line="276" w:lineRule="auto"/>
              <w:rPr>
                <w:lang w:val="en-AU"/>
              </w:rPr>
            </w:pPr>
            <w:r w:rsidRPr="008E1B06">
              <w:rPr>
                <w:lang w:val="en-AU"/>
              </w:rPr>
              <w:t>Marzbanrad F, Hambly B, Ng E, Tamayo M, Matthews S, Karmakar C, Khandoker AH, Palaniswami M, Jelinek HF.</w:t>
            </w:r>
            <w:r>
              <w:rPr>
                <w:lang w:val="en-AU"/>
              </w:rPr>
              <w:t xml:space="preserve"> (2014) </w:t>
            </w:r>
            <w:r w:rsidRPr="008E1B06">
              <w:rPr>
                <w:lang w:val="en-AU"/>
              </w:rPr>
              <w:t>Relationship between Heart Rate Variability and angiotensinogen gene polymorphism in diabetic and control individuals.</w:t>
            </w:r>
            <w:r>
              <w:rPr>
                <w:lang w:val="en-AU"/>
              </w:rPr>
              <w:t xml:space="preserve"> </w:t>
            </w:r>
            <w:r>
              <w:rPr>
                <w:rStyle w:val="jrnl"/>
                <w:rFonts w:ascii="Arial" w:hAnsi="Arial" w:cs="Arial"/>
                <w:color w:val="000000"/>
                <w:sz w:val="18"/>
                <w:szCs w:val="18"/>
                <w:shd w:val="clear" w:color="auto" w:fill="FFFFFF"/>
              </w:rPr>
              <w:t>Conf Proc IEEE Eng Med Biol Soc</w:t>
            </w:r>
            <w:r>
              <w:rPr>
                <w:rFonts w:ascii="Arial" w:hAnsi="Arial" w:cs="Arial"/>
                <w:color w:val="000000"/>
                <w:sz w:val="18"/>
                <w:szCs w:val="18"/>
                <w:shd w:val="clear" w:color="auto" w:fill="FFFFFF"/>
              </w:rPr>
              <w:t>. doi: 10.1109/EMBC.2014.6945161.</w:t>
            </w:r>
          </w:p>
          <w:p w:rsidR="00E836C3" w:rsidRDefault="00E836C3" w:rsidP="00076C22">
            <w:pPr>
              <w:numPr>
                <w:ilvl w:val="0"/>
                <w:numId w:val="11"/>
              </w:numPr>
              <w:spacing w:line="276" w:lineRule="auto"/>
              <w:rPr>
                <w:lang w:val="en-AU"/>
              </w:rPr>
            </w:pPr>
            <w:r w:rsidRPr="00BF3100">
              <w:rPr>
                <w:b/>
                <w:lang w:val="en-AU"/>
              </w:rPr>
              <w:t>Matthews, S</w:t>
            </w:r>
            <w:r>
              <w:rPr>
                <w:lang w:val="en-AU"/>
              </w:rPr>
              <w:t xml:space="preserve">., Spence, I., Jelinek, H., and McLachlan, C. (2012) </w:t>
            </w:r>
            <w:r w:rsidRPr="009A7468">
              <w:rPr>
                <w:lang w:val="en-AU"/>
              </w:rPr>
              <w:t>Neuron Cell Classification using Machine Learning Algorithms: Methodological Considerations</w:t>
            </w:r>
            <w:r>
              <w:rPr>
                <w:lang w:val="en-AU"/>
              </w:rPr>
              <w:t xml:space="preserve"> IASTED 2012, Austria.</w:t>
            </w:r>
          </w:p>
          <w:p w:rsidR="00E836C3" w:rsidRDefault="00E836C3" w:rsidP="00E84398">
            <w:pPr>
              <w:spacing w:line="276" w:lineRule="auto"/>
              <w:ind w:left="720"/>
              <w:rPr>
                <w:lang w:val="en-AU"/>
              </w:rPr>
            </w:pPr>
            <w:r>
              <w:t>(</w:t>
            </w:r>
            <w:r w:rsidRPr="00B71780">
              <w:rPr>
                <w:rFonts w:ascii="Helvetica" w:hAnsi="Helvetica" w:cs="Helvetica"/>
                <w:color w:val="000000"/>
                <w:sz w:val="18"/>
                <w:szCs w:val="18"/>
                <w:shd w:val="clear" w:color="auto" w:fill="FFFFFF"/>
              </w:rPr>
              <w:t>DOI: </w:t>
            </w:r>
            <w:hyperlink r:id="rId11" w:history="1">
              <w:r w:rsidRPr="00B71780">
                <w:rPr>
                  <w:rFonts w:ascii="Helvetica" w:hAnsi="Helvetica" w:cs="Helvetica"/>
                  <w:color w:val="CC0000"/>
                  <w:sz w:val="18"/>
                  <w:szCs w:val="18"/>
                  <w:shd w:val="clear" w:color="auto" w:fill="FFFFFF"/>
                </w:rPr>
                <w:t>10.2316/P.2012.764-083</w:t>
              </w:r>
            </w:hyperlink>
            <w:r>
              <w:t>)</w:t>
            </w:r>
          </w:p>
          <w:p w:rsidR="00E836C3" w:rsidRDefault="00E836C3" w:rsidP="00076C22">
            <w:pPr>
              <w:numPr>
                <w:ilvl w:val="0"/>
                <w:numId w:val="11"/>
              </w:numPr>
              <w:spacing w:line="276" w:lineRule="auto"/>
              <w:rPr>
                <w:lang w:val="en-AU"/>
              </w:rPr>
            </w:pPr>
            <w:r>
              <w:rPr>
                <w:lang w:val="en-AU"/>
              </w:rPr>
              <w:t xml:space="preserve">Ng, E., Hambley, B., </w:t>
            </w:r>
            <w:r w:rsidRPr="00BF3100">
              <w:rPr>
                <w:b/>
                <w:lang w:val="en-AU"/>
              </w:rPr>
              <w:t>Matthews, S</w:t>
            </w:r>
            <w:r>
              <w:rPr>
                <w:lang w:val="en-AU"/>
              </w:rPr>
              <w:t xml:space="preserve">., McLachlan, C., and Jelinek H. (2012) </w:t>
            </w:r>
            <w:r w:rsidRPr="009A7468">
              <w:rPr>
                <w:lang w:val="en-AU"/>
              </w:rPr>
              <w:t>Weka Machine Learning Classification in Identifying Autonomic Dysfunction Parameters Associated with</w:t>
            </w:r>
            <w:r>
              <w:rPr>
                <w:lang w:val="en-AU"/>
              </w:rPr>
              <w:t xml:space="preserve"> </w:t>
            </w:r>
            <w:r w:rsidRPr="009A7468">
              <w:rPr>
                <w:lang w:val="en-AU"/>
              </w:rPr>
              <w:t>Ace Insertion/Deletion Genotypes</w:t>
            </w:r>
            <w:r>
              <w:rPr>
                <w:lang w:val="en-AU"/>
              </w:rPr>
              <w:t xml:space="preserve"> IASTED 2012, Austria.</w:t>
            </w:r>
          </w:p>
          <w:p w:rsidR="00E836C3" w:rsidRPr="00B71780" w:rsidRDefault="00E836C3" w:rsidP="00B71780">
            <w:pPr>
              <w:spacing w:line="276" w:lineRule="auto"/>
              <w:ind w:left="720"/>
              <w:rPr>
                <w:lang w:val="en-AU"/>
              </w:rPr>
            </w:pPr>
            <w:r w:rsidRPr="00B71780">
              <w:rPr>
                <w:rFonts w:ascii="Helvetica" w:hAnsi="Helvetica" w:cs="Helvetica"/>
                <w:color w:val="000000"/>
                <w:sz w:val="18"/>
                <w:szCs w:val="18"/>
                <w:shd w:val="clear" w:color="auto" w:fill="FFFFFF"/>
              </w:rPr>
              <w:t>DOI: </w:t>
            </w:r>
            <w:hyperlink r:id="rId12" w:history="1">
              <w:r w:rsidRPr="00B71780">
                <w:rPr>
                  <w:rFonts w:ascii="Helvetica" w:hAnsi="Helvetica" w:cs="Helvetica"/>
                  <w:color w:val="CC0000"/>
                  <w:sz w:val="18"/>
                  <w:szCs w:val="18"/>
                  <w:shd w:val="clear" w:color="auto" w:fill="FFFFFF"/>
                </w:rPr>
                <w:t>10.2316/P.2012.764-084</w:t>
              </w:r>
            </w:hyperlink>
          </w:p>
          <w:p w:rsidR="00E836C3" w:rsidRDefault="00E836C3" w:rsidP="00076C22">
            <w:pPr>
              <w:numPr>
                <w:ilvl w:val="0"/>
                <w:numId w:val="11"/>
              </w:numPr>
              <w:spacing w:line="276" w:lineRule="auto"/>
              <w:rPr>
                <w:lang w:val="en-AU"/>
              </w:rPr>
            </w:pPr>
            <w:r>
              <w:rPr>
                <w:lang w:val="en-AU"/>
              </w:rPr>
              <w:t xml:space="preserve">Jelinek, H., Ahammer, H., </w:t>
            </w:r>
            <w:r w:rsidRPr="00BF3100">
              <w:rPr>
                <w:b/>
                <w:lang w:val="en-AU"/>
              </w:rPr>
              <w:t>Matthews, S</w:t>
            </w:r>
            <w:r>
              <w:rPr>
                <w:lang w:val="en-AU"/>
              </w:rPr>
              <w:t xml:space="preserve">., Succar, P., McLachlan, C., and Buckland, M. (2012) </w:t>
            </w:r>
            <w:r w:rsidRPr="009A7468">
              <w:rPr>
                <w:lang w:val="en-AU"/>
              </w:rPr>
              <w:t>Establishing a Reference Range for Oligondendroglioma Classification using Higuchi Dimension Analysis</w:t>
            </w:r>
            <w:r>
              <w:rPr>
                <w:lang w:val="en-AU"/>
              </w:rPr>
              <w:t xml:space="preserve"> IASTED 2012, Austria.</w:t>
            </w:r>
          </w:p>
          <w:p w:rsidR="00E836C3" w:rsidRDefault="00E836C3" w:rsidP="00E84398">
            <w:pPr>
              <w:spacing w:line="276" w:lineRule="auto"/>
              <w:ind w:left="720"/>
              <w:rPr>
                <w:lang w:val="en-AU"/>
              </w:rPr>
            </w:pPr>
            <w:r w:rsidRPr="00B71780">
              <w:rPr>
                <w:rFonts w:ascii="Helvetica" w:hAnsi="Helvetica" w:cs="Helvetica"/>
                <w:color w:val="000000"/>
                <w:sz w:val="18"/>
                <w:szCs w:val="18"/>
                <w:shd w:val="clear" w:color="auto" w:fill="FFFFFF"/>
              </w:rPr>
              <w:t>DOI: </w:t>
            </w:r>
            <w:hyperlink r:id="rId13" w:history="1">
              <w:r w:rsidRPr="00B71780">
                <w:rPr>
                  <w:rFonts w:ascii="Helvetica" w:hAnsi="Helvetica" w:cs="Helvetica"/>
                  <w:color w:val="CC0000"/>
                  <w:sz w:val="18"/>
                  <w:szCs w:val="18"/>
                  <w:shd w:val="clear" w:color="auto" w:fill="FFFFFF"/>
                </w:rPr>
                <w:t>10.2316/P.2012.764-039</w:t>
              </w:r>
            </w:hyperlink>
          </w:p>
          <w:p w:rsidR="00E836C3" w:rsidRPr="00E55210" w:rsidRDefault="00E836C3" w:rsidP="00076C22">
            <w:pPr>
              <w:numPr>
                <w:ilvl w:val="0"/>
                <w:numId w:val="11"/>
              </w:numPr>
              <w:spacing w:line="276" w:lineRule="auto"/>
              <w:rPr>
                <w:lang w:val="en-AU"/>
              </w:rPr>
            </w:pPr>
            <w:r w:rsidRPr="00BF3100">
              <w:rPr>
                <w:b/>
                <w:lang w:val="en-AU"/>
              </w:rPr>
              <w:t>Matthews, S</w:t>
            </w:r>
            <w:r w:rsidRPr="00E55210">
              <w:rPr>
                <w:lang w:val="en-AU"/>
              </w:rPr>
              <w:t>., Jelinek, H., McLachlan, C., Spence, I. (2008) Supervised machine learning algorithms predict “correct” classification of retinal ganglia neuron subtypes. 21</w:t>
            </w:r>
            <w:r w:rsidRPr="00E55210">
              <w:rPr>
                <w:vertAlign w:val="superscript"/>
                <w:lang w:val="en-AU"/>
              </w:rPr>
              <w:t>st</w:t>
            </w:r>
            <w:r w:rsidRPr="00E55210">
              <w:rPr>
                <w:lang w:val="en-AU"/>
              </w:rPr>
              <w:t xml:space="preserve"> European College of Neuropsychopharmacology Congress, Barcelona, Spain.</w:t>
            </w:r>
            <w:r>
              <w:rPr>
                <w:lang w:val="en-AU"/>
              </w:rPr>
              <w:t xml:space="preserve"> </w:t>
            </w:r>
            <w:r w:rsidRPr="006F1C26">
              <w:rPr>
                <w:lang w:val="en-AU"/>
              </w:rPr>
              <w:t>The Journal of the European College of Neuropsychopharmacology, Volume 18 Supplement 4, Page S218</w:t>
            </w:r>
          </w:p>
          <w:p w:rsidR="00E836C3" w:rsidRDefault="00E836C3" w:rsidP="00076C22">
            <w:pPr>
              <w:numPr>
                <w:ilvl w:val="0"/>
                <w:numId w:val="11"/>
              </w:numPr>
              <w:spacing w:line="276" w:lineRule="auto"/>
              <w:rPr>
                <w:lang w:val="en-AU"/>
              </w:rPr>
            </w:pPr>
            <w:r w:rsidRPr="00E55210">
              <w:rPr>
                <w:lang w:val="en-AU"/>
              </w:rPr>
              <w:t xml:space="preserve">Spence, I. and </w:t>
            </w:r>
            <w:r w:rsidRPr="00BF3100">
              <w:rPr>
                <w:b/>
                <w:lang w:val="en-AU"/>
              </w:rPr>
              <w:t>Matthews, S.</w:t>
            </w:r>
            <w:r w:rsidRPr="00E55210">
              <w:rPr>
                <w:lang w:val="en-AU"/>
              </w:rPr>
              <w:t xml:space="preserve"> (2008) Selection and Success: Are they linked? Reflections from undergraduate and graduate entry. Proceedings of the 5</w:t>
            </w:r>
            <w:r w:rsidRPr="00E55210">
              <w:rPr>
                <w:vertAlign w:val="superscript"/>
                <w:lang w:val="en-AU"/>
              </w:rPr>
              <w:t>th</w:t>
            </w:r>
            <w:r w:rsidRPr="00E55210">
              <w:rPr>
                <w:lang w:val="en-AU"/>
              </w:rPr>
              <w:t xml:space="preserve"> Asia Pacific Medical Education Conference, National University of Singapore. </w:t>
            </w:r>
          </w:p>
          <w:p w:rsidR="00E836C3" w:rsidRPr="00B52FCB" w:rsidRDefault="00E836C3" w:rsidP="00076C22">
            <w:pPr>
              <w:numPr>
                <w:ilvl w:val="0"/>
                <w:numId w:val="11"/>
              </w:numPr>
              <w:spacing w:line="276" w:lineRule="auto"/>
            </w:pPr>
            <w:r w:rsidRPr="00B52FCB">
              <w:t>Sarah N Hilmer, Vidya Perera, Sarah Mitchell, Jonathan Dent,</w:t>
            </w:r>
            <w:r>
              <w:t xml:space="preserve"> </w:t>
            </w:r>
            <w:r w:rsidRPr="00B52FCB">
              <w:t xml:space="preserve">Bridin P Murnion, Beata Bajorek, </w:t>
            </w:r>
            <w:r w:rsidRPr="00BF3100">
              <w:rPr>
                <w:b/>
              </w:rPr>
              <w:t>Slade Matthews</w:t>
            </w:r>
            <w:r w:rsidRPr="00B52FCB">
              <w:t>, Darryl B</w:t>
            </w:r>
            <w:r>
              <w:t>. Rolfson (2008) T</w:t>
            </w:r>
            <w:r w:rsidRPr="00206930">
              <w:t>he assessment of frailty in older patients in acute care.</w:t>
            </w:r>
            <w:r>
              <w:t xml:space="preserve"> </w:t>
            </w:r>
            <w:r w:rsidRPr="001C13D8">
              <w:t>Internal Medicine Journal. 38 Suppl 5:A128</w:t>
            </w:r>
            <w:r>
              <w:t>.</w:t>
            </w:r>
          </w:p>
          <w:p w:rsidR="00E836C3" w:rsidRDefault="00E836C3" w:rsidP="00311259">
            <w:pPr>
              <w:numPr>
                <w:ilvl w:val="0"/>
                <w:numId w:val="11"/>
              </w:numPr>
              <w:spacing w:line="276" w:lineRule="auto"/>
              <w:rPr>
                <w:lang w:val="en-AU"/>
              </w:rPr>
            </w:pPr>
            <w:r w:rsidRPr="00E55210">
              <w:rPr>
                <w:lang w:val="en-AU"/>
              </w:rPr>
              <w:t xml:space="preserve">Edington, L.J., </w:t>
            </w:r>
            <w:r w:rsidRPr="00BF3100">
              <w:rPr>
                <w:b/>
                <w:lang w:val="en-AU"/>
              </w:rPr>
              <w:t>Matthews, S.T.,</w:t>
            </w:r>
            <w:r w:rsidRPr="00E55210">
              <w:rPr>
                <w:lang w:val="en-AU"/>
              </w:rPr>
              <w:t xml:space="preserve"> Hijazi, S., Russell, J., and Spence, I. (2004) Predicting Outcomes in Eating Disorder Patients Using Artificial Neural Networks. Clinical and Experimental Pharmacology Physiology, 31(s1):A124. </w:t>
            </w:r>
            <w:r w:rsidRPr="00311259">
              <w:rPr>
                <w:lang w:val="en-AU"/>
              </w:rPr>
              <w:t xml:space="preserve"> </w:t>
            </w:r>
          </w:p>
          <w:p w:rsidR="00A31870" w:rsidRPr="00E55210" w:rsidRDefault="00A31870" w:rsidP="00A31870">
            <w:pPr>
              <w:spacing w:before="120"/>
              <w:rPr>
                <w:b/>
                <w:lang w:val="en-AU"/>
              </w:rPr>
            </w:pPr>
            <w:r>
              <w:rPr>
                <w:b/>
                <w:lang w:val="en-AU"/>
              </w:rPr>
              <w:t>Book Chapters</w:t>
            </w:r>
          </w:p>
          <w:p w:rsidR="00A31870" w:rsidRPr="00311259" w:rsidRDefault="00A31870" w:rsidP="00A31870">
            <w:pPr>
              <w:spacing w:line="276" w:lineRule="auto"/>
              <w:ind w:left="720"/>
              <w:rPr>
                <w:lang w:val="en-AU"/>
              </w:rPr>
            </w:pPr>
            <w:r w:rsidRPr="00A31870">
              <w:rPr>
                <w:lang w:val="en-AU"/>
              </w:rPr>
              <w:t xml:space="preserve">Voigt, A., Trompf, J., Tamayo, M., Ng, E., Zhou, Y., Lu, Y., Matthews, S., Hambly, B., Jelinek, H. (2018). Associations between Genetic Polymorphisms and Heart Rate Variability. In Herbert F. Jelinek, David J. Cornforth, Ahsan H. Khandoker (Eds.), ECG Time Series Variability Analysis: Engineering and Medicine, (pp. </w:t>
            </w:r>
            <w:r w:rsidRPr="00A31870">
              <w:rPr>
                <w:lang w:val="en-AU"/>
              </w:rPr>
              <w:lastRenderedPageBreak/>
              <w:t>453-466). United States: CRC Press.</w:t>
            </w:r>
          </w:p>
        </w:tc>
      </w:tr>
      <w:tr w:rsidR="00E836C3" w:rsidRPr="007E650A" w:rsidTr="00402A7D">
        <w:trPr>
          <w:trHeight w:val="255"/>
        </w:trPr>
        <w:tc>
          <w:tcPr>
            <w:tcW w:w="10207" w:type="dxa"/>
            <w:gridSpan w:val="4"/>
            <w:tcBorders>
              <w:top w:val="single" w:sz="4" w:space="0" w:color="999999"/>
              <w:left w:val="nil"/>
              <w:bottom w:val="single" w:sz="4" w:space="0" w:color="999999"/>
              <w:right w:val="nil"/>
            </w:tcBorders>
          </w:tcPr>
          <w:p w:rsidR="00E836C3" w:rsidRPr="007E650A" w:rsidRDefault="00E836C3" w:rsidP="007E650A">
            <w:pPr>
              <w:pStyle w:val="Heading1"/>
              <w:rPr>
                <w:lang w:val="en-AU"/>
              </w:rPr>
            </w:pPr>
            <w:r>
              <w:rPr>
                <w:lang w:val="en-AU"/>
              </w:rPr>
              <w:lastRenderedPageBreak/>
              <w:t>FINANCIAL SUPPORT</w:t>
            </w:r>
          </w:p>
        </w:tc>
      </w:tr>
      <w:tr w:rsidR="00E836C3" w:rsidRPr="007E650A" w:rsidTr="00402A7D">
        <w:trPr>
          <w:trHeight w:val="255"/>
        </w:trPr>
        <w:tc>
          <w:tcPr>
            <w:tcW w:w="10207" w:type="dxa"/>
            <w:gridSpan w:val="4"/>
            <w:tcBorders>
              <w:top w:val="single" w:sz="4" w:space="0" w:color="999999"/>
              <w:left w:val="nil"/>
              <w:bottom w:val="single" w:sz="4" w:space="0" w:color="999999"/>
              <w:right w:val="nil"/>
            </w:tcBorders>
          </w:tcPr>
          <w:p w:rsidR="00CB1149" w:rsidRDefault="00566CD2" w:rsidP="006A78D5">
            <w:pPr>
              <w:numPr>
                <w:ilvl w:val="0"/>
                <w:numId w:val="12"/>
              </w:numPr>
              <w:spacing w:line="276" w:lineRule="auto"/>
            </w:pPr>
            <w:r>
              <w:t xml:space="preserve">Matthews, S. (2019) </w:t>
            </w:r>
            <w:r>
              <w:t>Metabolism-Aware Strain-Specific Model for Ames Mutagenicity Prediction</w:t>
            </w:r>
            <w:r w:rsidR="006A78D5">
              <w:t xml:space="preserve"> </w:t>
            </w:r>
            <w:r>
              <w:t>Using Multitask Deep Learning</w:t>
            </w:r>
            <w:r>
              <w:t>. Faculty of Medicine and Health Ignition Seed Fund Grant.</w:t>
            </w:r>
          </w:p>
          <w:p w:rsidR="002C1739" w:rsidRDefault="002C1739" w:rsidP="002C1739">
            <w:pPr>
              <w:numPr>
                <w:ilvl w:val="0"/>
                <w:numId w:val="12"/>
              </w:numPr>
              <w:spacing w:line="276" w:lineRule="auto"/>
              <w:rPr>
                <w:lang w:val="en-AU"/>
              </w:rPr>
            </w:pPr>
            <w:r>
              <w:rPr>
                <w:lang w:val="en-AU"/>
              </w:rPr>
              <w:t xml:space="preserve">Matthews, S. Lloyd, H., Van, C., Sani, B., Orr, R. (2019) </w:t>
            </w:r>
            <w:r>
              <w:t>Development of an ANKI card library for pharmacology foundation learning. Education Inovation Grant (USYD).</w:t>
            </w:r>
          </w:p>
          <w:p w:rsidR="00B23EC9" w:rsidRDefault="00B23EC9" w:rsidP="00B23EC9">
            <w:pPr>
              <w:numPr>
                <w:ilvl w:val="0"/>
                <w:numId w:val="12"/>
              </w:numPr>
              <w:spacing w:line="276" w:lineRule="auto"/>
            </w:pPr>
            <w:r w:rsidRPr="00B23EC9">
              <w:t xml:space="preserve">Randal N, Storey-Lewis B, Hinton T, Hochuli D, Gongora J, Hanrahan J, Carroll P, Quinnell R, Pye M, McParland B, Matthews S, Mimica J, Blanchflower J; </w:t>
            </w:r>
            <w:r>
              <w:t xml:space="preserve">(2019) </w:t>
            </w:r>
            <w:r w:rsidRPr="00B23EC9">
              <w:t>Development of Ethnopharmacology Educational Innovation Grant.</w:t>
            </w:r>
            <w:r>
              <w:t>(USYD)</w:t>
            </w:r>
          </w:p>
          <w:p w:rsidR="009323E5" w:rsidRPr="00B23EC9" w:rsidRDefault="009323E5" w:rsidP="00B23EC9">
            <w:pPr>
              <w:numPr>
                <w:ilvl w:val="0"/>
                <w:numId w:val="12"/>
              </w:numPr>
              <w:spacing w:line="276" w:lineRule="auto"/>
            </w:pPr>
            <w:r>
              <w:t xml:space="preserve">NVIDIA GPU-Cloud </w:t>
            </w:r>
            <w:r w:rsidR="00296565">
              <w:t>Titan-</w:t>
            </w:r>
            <w:r>
              <w:t>V Sponsorship (2018)</w:t>
            </w:r>
          </w:p>
          <w:p w:rsidR="00E836C3" w:rsidRPr="00307FA1" w:rsidRDefault="00E836C3" w:rsidP="002C1739">
            <w:pPr>
              <w:numPr>
                <w:ilvl w:val="0"/>
                <w:numId w:val="12"/>
              </w:numPr>
              <w:spacing w:line="276" w:lineRule="auto"/>
              <w:rPr>
                <w:lang w:val="en-AU"/>
              </w:rPr>
            </w:pPr>
            <w:r>
              <w:rPr>
                <w:lang w:val="en-AU"/>
              </w:rPr>
              <w:t>Guastella, A., Naismith, S., Hawes, D., Einfeld, S., Glozier, N., Hickie, I., Morley, K., De Rosnay, M., Lagapolous, J., Menzies, R., Matthews, S.</w:t>
            </w:r>
            <w:r w:rsidR="002C1739">
              <w:rPr>
                <w:lang w:val="en-AU"/>
              </w:rPr>
              <w:t xml:space="preserve"> (2014) </w:t>
            </w:r>
            <w:r w:rsidRPr="002E0C67">
              <w:rPr>
                <w:lang w:val="en-AU"/>
              </w:rPr>
              <w:t>Clinical observation and comprehensive psychophysiological recording and behavioural coding equipment</w:t>
            </w:r>
            <w:r>
              <w:rPr>
                <w:lang w:val="en-AU"/>
              </w:rPr>
              <w:t xml:space="preserve">. </w:t>
            </w:r>
            <w:r w:rsidRPr="00C61CEE">
              <w:rPr>
                <w:lang w:val="en-AU"/>
              </w:rPr>
              <w:t>NHMRC EQUIPMENT GRANT</w:t>
            </w:r>
          </w:p>
        </w:tc>
      </w:tr>
      <w:tr w:rsidR="00E836C3" w:rsidRPr="007E650A" w:rsidTr="00402A7D">
        <w:trPr>
          <w:trHeight w:val="255"/>
        </w:trPr>
        <w:tc>
          <w:tcPr>
            <w:tcW w:w="10207" w:type="dxa"/>
            <w:gridSpan w:val="4"/>
            <w:tcBorders>
              <w:top w:val="single" w:sz="4" w:space="0" w:color="999999"/>
              <w:left w:val="nil"/>
              <w:bottom w:val="single" w:sz="4" w:space="0" w:color="999999"/>
              <w:right w:val="nil"/>
            </w:tcBorders>
          </w:tcPr>
          <w:p w:rsidR="00E836C3" w:rsidRPr="007E650A" w:rsidRDefault="00E836C3" w:rsidP="009E770C">
            <w:pPr>
              <w:pStyle w:val="Heading1"/>
              <w:rPr>
                <w:lang w:val="en-AU"/>
              </w:rPr>
            </w:pPr>
            <w:r w:rsidRPr="007E650A">
              <w:rPr>
                <w:lang w:val="en-AU"/>
              </w:rPr>
              <w:t xml:space="preserve">ACKNOWLEDGEMENTS FOR STATISTICAL </w:t>
            </w:r>
            <w:r w:rsidR="009E770C">
              <w:rPr>
                <w:lang w:val="en-AU"/>
              </w:rPr>
              <w:t>preceptorship</w:t>
            </w:r>
          </w:p>
        </w:tc>
      </w:tr>
      <w:tr w:rsidR="00E836C3" w:rsidRPr="00B95C78" w:rsidTr="00402A7D">
        <w:trPr>
          <w:trHeight w:val="255"/>
        </w:trPr>
        <w:tc>
          <w:tcPr>
            <w:tcW w:w="284" w:type="dxa"/>
            <w:tcBorders>
              <w:top w:val="single" w:sz="4" w:space="0" w:color="999999"/>
              <w:left w:val="nil"/>
              <w:bottom w:val="single" w:sz="4" w:space="0" w:color="999999"/>
              <w:right w:val="nil"/>
            </w:tcBorders>
          </w:tcPr>
          <w:p w:rsidR="00E836C3" w:rsidRPr="00B95C78" w:rsidRDefault="00E836C3" w:rsidP="001444D1"/>
        </w:tc>
        <w:tc>
          <w:tcPr>
            <w:tcW w:w="9923" w:type="dxa"/>
            <w:gridSpan w:val="3"/>
            <w:tcBorders>
              <w:top w:val="single" w:sz="4" w:space="0" w:color="999999"/>
              <w:left w:val="nil"/>
              <w:bottom w:val="single" w:sz="4" w:space="0" w:color="999999"/>
              <w:right w:val="nil"/>
            </w:tcBorders>
          </w:tcPr>
          <w:p w:rsidR="00E836C3" w:rsidRDefault="00E836C3" w:rsidP="000906FB">
            <w:pPr>
              <w:tabs>
                <w:tab w:val="num" w:pos="288"/>
              </w:tabs>
              <w:spacing w:before="60"/>
              <w:ind w:left="288" w:hanging="288"/>
              <w:rPr>
                <w:bCs/>
              </w:rPr>
            </w:pPr>
            <w:r>
              <w:t>2008 Lau, J. Novel Genes Associated with Airway Smooth Muscle Proliferation in Asthma.</w:t>
            </w:r>
            <w:r>
              <w:rPr>
                <w:bCs/>
              </w:rPr>
              <w:t xml:space="preserve"> PhD Thesis. The University of Sydney </w:t>
            </w:r>
            <w:r w:rsidRPr="00B95C78">
              <w:t>[Acknowledgement for technical contribution (statistical)]</w:t>
            </w:r>
          </w:p>
          <w:p w:rsidR="00E836C3" w:rsidRDefault="00E836C3" w:rsidP="001444D1">
            <w:pPr>
              <w:tabs>
                <w:tab w:val="num" w:pos="288"/>
              </w:tabs>
              <w:spacing w:before="60"/>
              <w:ind w:left="288" w:hanging="288"/>
              <w:rPr>
                <w:bCs/>
              </w:rPr>
            </w:pPr>
            <w:r>
              <w:rPr>
                <w:bCs/>
              </w:rPr>
              <w:t xml:space="preserve">2007 Baraket, M. </w:t>
            </w:r>
            <w:r w:rsidRPr="0044173F">
              <w:rPr>
                <w:bCs/>
              </w:rPr>
              <w:t>Comparison of the effects of low dose and high dose inhaled corticosteroid treatment of mild to moderate asthma in adults</w:t>
            </w:r>
            <w:r>
              <w:rPr>
                <w:bCs/>
              </w:rPr>
              <w:t xml:space="preserve">. PhD Thesis. The University of Sydney </w:t>
            </w:r>
            <w:r w:rsidRPr="00B95C78">
              <w:t>[Acknowledgement for technical contribution (statistical)]</w:t>
            </w:r>
          </w:p>
          <w:p w:rsidR="00E836C3" w:rsidRPr="00B95C78" w:rsidRDefault="00E836C3" w:rsidP="001444D1">
            <w:pPr>
              <w:tabs>
                <w:tab w:val="num" w:pos="288"/>
              </w:tabs>
              <w:spacing w:before="60"/>
              <w:ind w:left="288" w:hanging="288"/>
            </w:pPr>
            <w:r w:rsidRPr="00B95C78">
              <w:rPr>
                <w:bCs/>
              </w:rPr>
              <w:t>2004</w:t>
            </w:r>
            <w:r w:rsidRPr="00B95C78">
              <w:t xml:space="preserve"> Schleimer SB, Hinton T, Dixon G, Johnston GAR.GABA Transporters GAT-1 and GAT-3 in the Human Dorsolateral Prefrontal Cortex in Schizophrenia. Neuropsychobiology </w:t>
            </w:r>
            <w:r w:rsidRPr="00B95C78">
              <w:rPr>
                <w:bCs/>
              </w:rPr>
              <w:t>50</w:t>
            </w:r>
            <w:r w:rsidRPr="00B95C78">
              <w:t xml:space="preserve">:226-230.[Acknowledgement for technical contribution (statistical)] </w:t>
            </w:r>
          </w:p>
          <w:p w:rsidR="00E836C3" w:rsidRPr="00B95C78" w:rsidRDefault="00E836C3" w:rsidP="001444D1">
            <w:pPr>
              <w:tabs>
                <w:tab w:val="num" w:pos="288"/>
              </w:tabs>
              <w:spacing w:before="60"/>
              <w:ind w:left="288" w:hanging="288"/>
            </w:pPr>
            <w:r w:rsidRPr="00B95C78">
              <w:rPr>
                <w:bCs/>
              </w:rPr>
              <w:t>2003</w:t>
            </w:r>
            <w:r w:rsidRPr="00B95C78">
              <w:t xml:space="preserve"> Turner, J., Glass, B., Agatonovic-Kustrin, S. Prediction of Drug Bioavailability Based on Molecular Structure. Analytica Chimica Acta. </w:t>
            </w:r>
            <w:r w:rsidRPr="00B95C78">
              <w:rPr>
                <w:bCs/>
              </w:rPr>
              <w:t>485</w:t>
            </w:r>
            <w:r w:rsidRPr="00B95C78">
              <w:t xml:space="preserve">:89-102. [Acknowledgement for technical contribution (statistical)] </w:t>
            </w:r>
          </w:p>
          <w:p w:rsidR="00E836C3" w:rsidRPr="00BE68A7" w:rsidRDefault="00E836C3" w:rsidP="00BE68A7">
            <w:pPr>
              <w:tabs>
                <w:tab w:val="num" w:pos="288"/>
              </w:tabs>
              <w:ind w:left="289" w:hanging="289"/>
              <w:rPr>
                <w:bCs/>
              </w:rPr>
            </w:pPr>
            <w:r>
              <w:rPr>
                <w:bCs/>
              </w:rPr>
              <w:t xml:space="preserve">2003 Turner, J. </w:t>
            </w:r>
            <w:r w:rsidRPr="00D22C81">
              <w:rPr>
                <w:bCs/>
              </w:rPr>
              <w:t>Application of artificial neural networks in pharmacokinetics</w:t>
            </w:r>
            <w:r>
              <w:rPr>
                <w:bCs/>
              </w:rPr>
              <w:t xml:space="preserve">. PhD Thesis. The University of Sydney </w:t>
            </w:r>
            <w:r w:rsidRPr="00B95C78">
              <w:t>[Acknowledgement for technical contribution (statistical)]</w:t>
            </w:r>
          </w:p>
        </w:tc>
      </w:tr>
      <w:tr w:rsidR="00E836C3" w:rsidRPr="00E55210" w:rsidTr="00402A7D">
        <w:trPr>
          <w:trHeight w:val="255"/>
        </w:trPr>
        <w:tc>
          <w:tcPr>
            <w:tcW w:w="10207" w:type="dxa"/>
            <w:gridSpan w:val="4"/>
            <w:tcBorders>
              <w:top w:val="single" w:sz="4" w:space="0" w:color="999999"/>
              <w:left w:val="nil"/>
              <w:bottom w:val="single" w:sz="4" w:space="0" w:color="999999"/>
              <w:right w:val="nil"/>
            </w:tcBorders>
          </w:tcPr>
          <w:p w:rsidR="00E836C3" w:rsidRPr="00E55210" w:rsidRDefault="00DC4EEF" w:rsidP="009E6EFB">
            <w:pPr>
              <w:pStyle w:val="Heading1"/>
              <w:rPr>
                <w:lang w:val="en-AU"/>
              </w:rPr>
            </w:pPr>
            <w:r>
              <w:rPr>
                <w:lang w:val="en-AU"/>
              </w:rPr>
              <w:t>CONSUL</w:t>
            </w:r>
            <w:r w:rsidR="00AC0022">
              <w:rPr>
                <w:lang w:val="en-AU"/>
              </w:rPr>
              <w:t>t</w:t>
            </w:r>
            <w:r>
              <w:rPr>
                <w:lang w:val="en-AU"/>
              </w:rPr>
              <w:t>ANCIES</w:t>
            </w:r>
            <w:r w:rsidR="009E6EFB">
              <w:rPr>
                <w:lang w:val="en-AU"/>
              </w:rPr>
              <w:t xml:space="preserve"> </w:t>
            </w:r>
            <w:r w:rsidR="009E6EFB">
              <w:rPr>
                <w:lang w:val="en-AU"/>
              </w:rPr>
              <w:t>and</w:t>
            </w:r>
            <w:r w:rsidR="009E6EFB" w:rsidRPr="00E55210">
              <w:rPr>
                <w:lang w:val="en-AU"/>
              </w:rPr>
              <w:t xml:space="preserve"> </w:t>
            </w:r>
            <w:r w:rsidR="009E6EFB" w:rsidRPr="00E55210">
              <w:rPr>
                <w:lang w:val="en-AU"/>
              </w:rPr>
              <w:t>Memberships</w:t>
            </w:r>
          </w:p>
        </w:tc>
      </w:tr>
      <w:tr w:rsidR="00E836C3" w:rsidRPr="00E55210" w:rsidTr="00402A7D">
        <w:trPr>
          <w:trHeight w:val="255"/>
        </w:trPr>
        <w:tc>
          <w:tcPr>
            <w:tcW w:w="284" w:type="dxa"/>
            <w:tcBorders>
              <w:top w:val="single" w:sz="4" w:space="0" w:color="999999"/>
              <w:left w:val="nil"/>
              <w:bottom w:val="single" w:sz="4" w:space="0" w:color="999999"/>
              <w:right w:val="nil"/>
            </w:tcBorders>
          </w:tcPr>
          <w:p w:rsidR="00E836C3" w:rsidRPr="00E55210" w:rsidRDefault="00E836C3" w:rsidP="006962EF">
            <w:pPr>
              <w:rPr>
                <w:lang w:val="en-AU"/>
              </w:rPr>
            </w:pPr>
          </w:p>
        </w:tc>
        <w:tc>
          <w:tcPr>
            <w:tcW w:w="9923" w:type="dxa"/>
            <w:gridSpan w:val="3"/>
            <w:tcBorders>
              <w:top w:val="single" w:sz="4" w:space="0" w:color="999999"/>
              <w:left w:val="nil"/>
              <w:bottom w:val="single" w:sz="4" w:space="0" w:color="999999"/>
              <w:right w:val="nil"/>
            </w:tcBorders>
          </w:tcPr>
          <w:p w:rsidR="00E836C3" w:rsidRDefault="00E836C3" w:rsidP="00644D20">
            <w:pPr>
              <w:pStyle w:val="bulletedlist"/>
              <w:rPr>
                <w:lang w:val="en-AU"/>
              </w:rPr>
            </w:pPr>
            <w:r>
              <w:rPr>
                <w:lang w:val="en-AU"/>
              </w:rPr>
              <w:t>NSW Poisons Advisory Committee (Pharmacologist member, NSW Government)</w:t>
            </w:r>
            <w:r w:rsidR="00195002">
              <w:rPr>
                <w:lang w:val="en-AU"/>
              </w:rPr>
              <w:t xml:space="preserve"> 2010 - Present</w:t>
            </w:r>
          </w:p>
          <w:p w:rsidR="00E836C3" w:rsidRDefault="00E836C3" w:rsidP="00256223">
            <w:pPr>
              <w:pStyle w:val="bulletedlist"/>
              <w:rPr>
                <w:lang w:val="en-AU"/>
              </w:rPr>
            </w:pPr>
            <w:r>
              <w:rPr>
                <w:lang w:val="en-AU"/>
              </w:rPr>
              <w:t>Scientific Advisory Panel, Therapeutic Goods Administration, Australian Federal Government</w:t>
            </w:r>
            <w:r w:rsidR="00195002">
              <w:rPr>
                <w:lang w:val="en-AU"/>
              </w:rPr>
              <w:t xml:space="preserve"> 2010 </w:t>
            </w:r>
            <w:r w:rsidR="009E6EFB">
              <w:rPr>
                <w:lang w:val="en-AU"/>
              </w:rPr>
              <w:t>–</w:t>
            </w:r>
            <w:r w:rsidR="00195002">
              <w:rPr>
                <w:lang w:val="en-AU"/>
              </w:rPr>
              <w:t xml:space="preserve"> Present</w:t>
            </w:r>
          </w:p>
          <w:p w:rsidR="009E6EFB" w:rsidRDefault="009E6EFB" w:rsidP="009E6EFB">
            <w:pPr>
              <w:pStyle w:val="bulletedlist"/>
              <w:numPr>
                <w:ilvl w:val="0"/>
                <w:numId w:val="0"/>
              </w:numPr>
              <w:rPr>
                <w:lang w:val="en-AU"/>
              </w:rPr>
            </w:pPr>
          </w:p>
          <w:p w:rsidR="00C82EFC" w:rsidRDefault="00C82EFC" w:rsidP="00256223">
            <w:pPr>
              <w:pStyle w:val="bulletedlist"/>
              <w:rPr>
                <w:lang w:val="en-AU"/>
              </w:rPr>
            </w:pPr>
            <w:r>
              <w:rPr>
                <w:lang w:val="en-AU"/>
              </w:rPr>
              <w:t>Australasian College of Toxicologists and Risk Assessors</w:t>
            </w:r>
          </w:p>
          <w:p w:rsidR="00E836C3" w:rsidRPr="00B633AC" w:rsidRDefault="00347BCA" w:rsidP="00B633AC">
            <w:pPr>
              <w:pStyle w:val="bulletedlist"/>
              <w:rPr>
                <w:lang w:val="en-AU"/>
              </w:rPr>
            </w:pPr>
            <w:r w:rsidRPr="00E55210">
              <w:rPr>
                <w:lang w:val="en-AU"/>
              </w:rPr>
              <w:t>Australian Society for Clinical and Experimental Pharmacologists and Toxicologists</w:t>
            </w:r>
            <w:r>
              <w:rPr>
                <w:lang w:val="en-AU"/>
              </w:rPr>
              <w:t xml:space="preserve"> </w:t>
            </w:r>
          </w:p>
          <w:p w:rsidR="00E836C3" w:rsidRDefault="00E836C3" w:rsidP="00256223">
            <w:pPr>
              <w:pStyle w:val="bulletedlist"/>
              <w:rPr>
                <w:lang w:val="en-AU"/>
              </w:rPr>
            </w:pPr>
            <w:r>
              <w:rPr>
                <w:lang w:val="en-AU"/>
              </w:rPr>
              <w:t>Grant Review Panel, Auckland Medical Research Foundation</w:t>
            </w:r>
          </w:p>
          <w:p w:rsidR="00E836C3" w:rsidRPr="00274D82" w:rsidRDefault="00E836C3" w:rsidP="004719F5">
            <w:pPr>
              <w:pStyle w:val="bulletedlist"/>
              <w:rPr>
                <w:lang w:val="en-AU"/>
              </w:rPr>
            </w:pPr>
            <w:r w:rsidRPr="00326D79">
              <w:rPr>
                <w:lang w:val="en-AU"/>
              </w:rPr>
              <w:t>Review</w:t>
            </w:r>
            <w:r>
              <w:rPr>
                <w:lang w:val="en-AU"/>
              </w:rPr>
              <w:t xml:space="preserve"> Editor, </w:t>
            </w:r>
            <w:r w:rsidRPr="00326D79">
              <w:rPr>
                <w:lang w:val="en-AU"/>
              </w:rPr>
              <w:t>Frontiers in Integrative Physiology</w:t>
            </w:r>
            <w:r w:rsidR="00DA0B36">
              <w:rPr>
                <w:lang w:val="en-AU"/>
              </w:rPr>
              <w:t xml:space="preserve"> &amp; Frontiers in </w:t>
            </w:r>
            <w:r w:rsidR="004719F5">
              <w:rPr>
                <w:lang w:val="en-AU"/>
              </w:rPr>
              <w:t xml:space="preserve">Autonomic </w:t>
            </w:r>
            <w:r w:rsidR="00DA0B36">
              <w:rPr>
                <w:lang w:val="en-AU"/>
              </w:rPr>
              <w:t>Neu</w:t>
            </w:r>
            <w:r w:rsidR="00E40DFB">
              <w:rPr>
                <w:lang w:val="en-AU"/>
              </w:rPr>
              <w:t>r</w:t>
            </w:r>
            <w:r w:rsidR="00DA0B36">
              <w:rPr>
                <w:lang w:val="en-AU"/>
              </w:rPr>
              <w:t>oscience</w:t>
            </w:r>
          </w:p>
        </w:tc>
      </w:tr>
      <w:tr w:rsidR="00E836C3" w:rsidRPr="00E55210" w:rsidTr="00402A7D">
        <w:trPr>
          <w:trHeight w:val="255"/>
        </w:trPr>
        <w:tc>
          <w:tcPr>
            <w:tcW w:w="10207" w:type="dxa"/>
            <w:gridSpan w:val="4"/>
            <w:tcBorders>
              <w:top w:val="single" w:sz="4" w:space="0" w:color="999999"/>
              <w:left w:val="nil"/>
              <w:bottom w:val="single" w:sz="4" w:space="0" w:color="999999"/>
              <w:right w:val="nil"/>
            </w:tcBorders>
          </w:tcPr>
          <w:p w:rsidR="00E836C3" w:rsidRPr="00E55210" w:rsidRDefault="00E836C3" w:rsidP="006D219E">
            <w:pPr>
              <w:pStyle w:val="Heading1"/>
              <w:rPr>
                <w:lang w:val="en-AU"/>
              </w:rPr>
            </w:pPr>
            <w:r w:rsidRPr="00E55210">
              <w:rPr>
                <w:lang w:val="en-AU"/>
              </w:rPr>
              <w:t>Research interests</w:t>
            </w:r>
          </w:p>
        </w:tc>
      </w:tr>
    </w:tbl>
    <w:p w:rsidR="003A3E00" w:rsidRDefault="003A3E00" w:rsidP="00B7014F">
      <w:pPr>
        <w:spacing w:line="240" w:lineRule="auto"/>
        <w:ind w:right="-617"/>
        <w:rPr>
          <w:rFonts w:ascii="Arial" w:hAnsi="Arial" w:cs="Arial"/>
          <w:color w:val="333333"/>
          <w:sz w:val="18"/>
          <w:szCs w:val="18"/>
          <w:shd w:val="clear" w:color="auto" w:fill="FFFFFF"/>
        </w:rPr>
      </w:pPr>
    </w:p>
    <w:p w:rsidR="00F660EA" w:rsidRPr="00E40018" w:rsidRDefault="000F3A99" w:rsidP="0070175A">
      <w:pPr>
        <w:spacing w:line="360" w:lineRule="auto"/>
        <w:ind w:right="-617"/>
        <w:rPr>
          <w:lang w:val="en-AU"/>
        </w:rPr>
      </w:pPr>
      <w:r w:rsidRPr="00E40018">
        <w:rPr>
          <w:rFonts w:ascii="Arial" w:hAnsi="Arial" w:cs="Arial"/>
          <w:sz w:val="18"/>
          <w:szCs w:val="18"/>
          <w:shd w:val="clear" w:color="auto" w:fill="FFFFFF"/>
        </w:rPr>
        <w:t xml:space="preserve">Prediction of toxicity is important </w:t>
      </w:r>
      <w:r w:rsidR="00A53DD6" w:rsidRPr="00E40018">
        <w:rPr>
          <w:rFonts w:ascii="Arial" w:hAnsi="Arial" w:cs="Arial"/>
          <w:sz w:val="18"/>
          <w:szCs w:val="18"/>
          <w:shd w:val="clear" w:color="auto" w:fill="FFFFFF"/>
        </w:rPr>
        <w:t xml:space="preserve">for </w:t>
      </w:r>
      <w:r w:rsidRPr="00E40018">
        <w:rPr>
          <w:rFonts w:ascii="Arial" w:hAnsi="Arial" w:cs="Arial"/>
          <w:sz w:val="18"/>
          <w:szCs w:val="18"/>
          <w:shd w:val="clear" w:color="auto" w:fill="FFFFFF"/>
        </w:rPr>
        <w:t>assessment of drugs during development. The cost associated with detection of drug toxicity late in drug development is enormous so it has become important to develop</w:t>
      </w:r>
      <w:r w:rsidR="00B7014F" w:rsidRPr="00E40018">
        <w:rPr>
          <w:rFonts w:ascii="Arial" w:hAnsi="Arial" w:cs="Arial"/>
          <w:sz w:val="18"/>
          <w:szCs w:val="18"/>
          <w:shd w:val="clear" w:color="auto" w:fill="FFFFFF"/>
        </w:rPr>
        <w:t xml:space="preserve"> </w:t>
      </w:r>
      <w:r w:rsidRPr="00E40018">
        <w:rPr>
          <w:rStyle w:val="Emphasis"/>
          <w:rFonts w:ascii="Arial" w:hAnsi="Arial" w:cs="Arial"/>
          <w:sz w:val="18"/>
          <w:szCs w:val="18"/>
          <w:shd w:val="clear" w:color="auto" w:fill="FFFFFF"/>
        </w:rPr>
        <w:t>in silico</w:t>
      </w:r>
      <w:r w:rsidR="00B7014F" w:rsidRPr="00E40018">
        <w:rPr>
          <w:rFonts w:ascii="Arial" w:hAnsi="Arial" w:cs="Arial"/>
          <w:sz w:val="18"/>
          <w:szCs w:val="18"/>
          <w:shd w:val="clear" w:color="auto" w:fill="FFFFFF"/>
        </w:rPr>
        <w:t xml:space="preserve"> </w:t>
      </w:r>
      <w:r w:rsidRPr="00E40018">
        <w:rPr>
          <w:rFonts w:ascii="Arial" w:hAnsi="Arial" w:cs="Arial"/>
          <w:sz w:val="18"/>
          <w:szCs w:val="18"/>
          <w:shd w:val="clear" w:color="auto" w:fill="FFFFFF"/>
        </w:rPr>
        <w:t>model</w:t>
      </w:r>
      <w:r w:rsidR="00DB3E48" w:rsidRPr="00E40018">
        <w:rPr>
          <w:rFonts w:ascii="Arial" w:hAnsi="Arial" w:cs="Arial"/>
          <w:sz w:val="18"/>
          <w:szCs w:val="18"/>
          <w:shd w:val="clear" w:color="auto" w:fill="FFFFFF"/>
        </w:rPr>
        <w:t>s to detect toxic effects early.</w:t>
      </w:r>
      <w:r w:rsidRPr="00E40018">
        <w:rPr>
          <w:rStyle w:val="Emphasis"/>
          <w:rFonts w:ascii="Arial" w:hAnsi="Arial" w:cs="Arial"/>
          <w:sz w:val="18"/>
          <w:szCs w:val="18"/>
          <w:shd w:val="clear" w:color="auto" w:fill="FFFFFF"/>
        </w:rPr>
        <w:t xml:space="preserve"> </w:t>
      </w:r>
      <w:r w:rsidR="00A86D37" w:rsidRPr="00E40018">
        <w:rPr>
          <w:rStyle w:val="Emphasis"/>
          <w:rFonts w:ascii="Arial" w:hAnsi="Arial" w:cs="Arial"/>
          <w:sz w:val="18"/>
          <w:szCs w:val="18"/>
          <w:shd w:val="clear" w:color="auto" w:fill="FFFFFF"/>
        </w:rPr>
        <w:t>Slade's group</w:t>
      </w:r>
      <w:r w:rsidRPr="00E40018">
        <w:rPr>
          <w:rStyle w:val="Emphasis"/>
          <w:rFonts w:ascii="Arial" w:hAnsi="Arial" w:cs="Arial"/>
          <w:sz w:val="18"/>
          <w:szCs w:val="18"/>
          <w:shd w:val="clear" w:color="auto" w:fill="FFFFFF"/>
        </w:rPr>
        <w:t xml:space="preserve"> uses computer technologies to uncover new re</w:t>
      </w:r>
      <w:r w:rsidR="00DC0800" w:rsidRPr="00E40018">
        <w:rPr>
          <w:rStyle w:val="Emphasis"/>
          <w:rFonts w:ascii="Arial" w:hAnsi="Arial" w:cs="Arial"/>
          <w:sz w:val="18"/>
          <w:szCs w:val="18"/>
          <w:shd w:val="clear" w:color="auto" w:fill="FFFFFF"/>
        </w:rPr>
        <w:t xml:space="preserve">lationships in biomedical data incorporating </w:t>
      </w:r>
      <w:r w:rsidRPr="00E40018">
        <w:rPr>
          <w:rStyle w:val="Emphasis"/>
          <w:rFonts w:ascii="Arial" w:hAnsi="Arial" w:cs="Arial"/>
          <w:sz w:val="18"/>
          <w:szCs w:val="18"/>
          <w:shd w:val="clear" w:color="auto" w:fill="FFFFFF"/>
        </w:rPr>
        <w:t>the principles of computerised data management, machine learning techniques and complexity analysis in a pharmacology</w:t>
      </w:r>
      <w:r w:rsidR="00511194" w:rsidRPr="00E40018">
        <w:rPr>
          <w:rStyle w:val="Emphasis"/>
          <w:rFonts w:ascii="Arial" w:hAnsi="Arial" w:cs="Arial"/>
          <w:sz w:val="18"/>
          <w:szCs w:val="18"/>
          <w:shd w:val="clear" w:color="auto" w:fill="FFFFFF"/>
        </w:rPr>
        <w:t xml:space="preserve"> </w:t>
      </w:r>
      <w:r w:rsidR="00CE5368" w:rsidRPr="00E40018">
        <w:rPr>
          <w:rStyle w:val="Emphasis"/>
          <w:rFonts w:ascii="Arial" w:hAnsi="Arial" w:cs="Arial"/>
          <w:sz w:val="18"/>
          <w:szCs w:val="18"/>
          <w:shd w:val="clear" w:color="auto" w:fill="FFFFFF"/>
        </w:rPr>
        <w:t>/</w:t>
      </w:r>
      <w:r w:rsidR="00511194" w:rsidRPr="00E40018">
        <w:rPr>
          <w:rStyle w:val="Emphasis"/>
          <w:rFonts w:ascii="Arial" w:hAnsi="Arial" w:cs="Arial"/>
          <w:sz w:val="18"/>
          <w:szCs w:val="18"/>
          <w:shd w:val="clear" w:color="auto" w:fill="FFFFFF"/>
        </w:rPr>
        <w:t xml:space="preserve"> </w:t>
      </w:r>
      <w:r w:rsidR="00CE5368" w:rsidRPr="00E40018">
        <w:rPr>
          <w:rStyle w:val="Emphasis"/>
          <w:rFonts w:ascii="Arial" w:hAnsi="Arial" w:cs="Arial"/>
          <w:sz w:val="18"/>
          <w:szCs w:val="18"/>
          <w:shd w:val="clear" w:color="auto" w:fill="FFFFFF"/>
        </w:rPr>
        <w:t>toxicology</w:t>
      </w:r>
      <w:r w:rsidRPr="00E40018">
        <w:rPr>
          <w:rStyle w:val="Emphasis"/>
          <w:rFonts w:ascii="Arial" w:hAnsi="Arial" w:cs="Arial"/>
          <w:sz w:val="18"/>
          <w:szCs w:val="18"/>
          <w:shd w:val="clear" w:color="auto" w:fill="FFFFFF"/>
        </w:rPr>
        <w:t xml:space="preserve"> context.</w:t>
      </w:r>
    </w:p>
    <w:sectPr w:rsidR="00F660EA" w:rsidRPr="00E40018" w:rsidSect="00B7014F">
      <w:footerReference w:type="default" r:id="rId14"/>
      <w:pgSz w:w="12240" w:h="15840"/>
      <w:pgMar w:top="1440" w:right="1800" w:bottom="1728"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13F" w:rsidRDefault="00D7513F" w:rsidP="00076C22">
      <w:pPr>
        <w:spacing w:line="240" w:lineRule="auto"/>
      </w:pPr>
      <w:r>
        <w:separator/>
      </w:r>
    </w:p>
  </w:endnote>
  <w:endnote w:type="continuationSeparator" w:id="0">
    <w:p w:rsidR="00D7513F" w:rsidRDefault="00D7513F" w:rsidP="0007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541374"/>
      <w:docPartObj>
        <w:docPartGallery w:val="Page Numbers (Bottom of Page)"/>
        <w:docPartUnique/>
      </w:docPartObj>
    </w:sdtPr>
    <w:sdtEndPr>
      <w:rPr>
        <w:noProof/>
      </w:rPr>
    </w:sdtEndPr>
    <w:sdtContent>
      <w:p w:rsidR="00076C22" w:rsidRDefault="00076C22">
        <w:pPr>
          <w:pStyle w:val="Footer"/>
          <w:jc w:val="right"/>
        </w:pPr>
        <w:r>
          <w:fldChar w:fldCharType="begin"/>
        </w:r>
        <w:r>
          <w:instrText xml:space="preserve"> PAGE   \* MERGEFORMAT </w:instrText>
        </w:r>
        <w:r>
          <w:fldChar w:fldCharType="separate"/>
        </w:r>
        <w:r w:rsidR="00AF0D57">
          <w:rPr>
            <w:noProof/>
          </w:rPr>
          <w:t>1</w:t>
        </w:r>
        <w:r>
          <w:rPr>
            <w:noProof/>
          </w:rPr>
          <w:fldChar w:fldCharType="end"/>
        </w:r>
      </w:p>
    </w:sdtContent>
  </w:sdt>
  <w:p w:rsidR="00076C22" w:rsidRDefault="00076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13F" w:rsidRDefault="00D7513F" w:rsidP="00076C22">
      <w:pPr>
        <w:spacing w:line="240" w:lineRule="auto"/>
      </w:pPr>
      <w:r>
        <w:separator/>
      </w:r>
    </w:p>
  </w:footnote>
  <w:footnote w:type="continuationSeparator" w:id="0">
    <w:p w:rsidR="00D7513F" w:rsidRDefault="00D7513F" w:rsidP="00076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04B2"/>
    <w:multiLevelType w:val="multilevel"/>
    <w:tmpl w:val="6164C044"/>
    <w:lvl w:ilvl="0">
      <w:start w:val="1"/>
      <w:numFmt w:val="decimal"/>
      <w:lvlText w:val="%1."/>
      <w:lvlJc w:val="left"/>
      <w:pPr>
        <w:tabs>
          <w:tab w:val="num" w:pos="720"/>
        </w:tabs>
        <w:ind w:left="72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8C2BD8"/>
    <w:multiLevelType w:val="hybridMultilevel"/>
    <w:tmpl w:val="6164C044"/>
    <w:lvl w:ilvl="0" w:tplc="0C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CA2159"/>
    <w:multiLevelType w:val="hybridMultilevel"/>
    <w:tmpl w:val="0FC8BB56"/>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473307"/>
    <w:multiLevelType w:val="hybridMultilevel"/>
    <w:tmpl w:val="7E589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2297016"/>
    <w:multiLevelType w:val="hybridMultilevel"/>
    <w:tmpl w:val="C5A03D0A"/>
    <w:lvl w:ilvl="0" w:tplc="F7FAB26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5918FC"/>
    <w:multiLevelType w:val="hybridMultilevel"/>
    <w:tmpl w:val="F542674C"/>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CEC2419"/>
    <w:multiLevelType w:val="hybridMultilevel"/>
    <w:tmpl w:val="F542674C"/>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3DB20B6"/>
    <w:multiLevelType w:val="hybridMultilevel"/>
    <w:tmpl w:val="640A39C4"/>
    <w:lvl w:ilvl="0" w:tplc="0C09000F">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2"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3" w15:restartNumberingAfterBreak="0">
    <w:nsid w:val="751C02F7"/>
    <w:multiLevelType w:val="multilevel"/>
    <w:tmpl w:val="BEC0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hint="default"/>
      </w:rPr>
    </w:lvl>
    <w:lvl w:ilvl="1" w:tplc="04090003">
      <w:start w:val="1"/>
      <w:numFmt w:val="bullet"/>
      <w:lvlText w:val="o"/>
      <w:lvlJc w:val="left"/>
      <w:pPr>
        <w:tabs>
          <w:tab w:val="num" w:pos="1872"/>
        </w:tabs>
        <w:ind w:left="1872" w:hanging="360"/>
      </w:pPr>
      <w:rPr>
        <w:rFonts w:ascii="Courier New" w:hAnsi="Courier New" w:hint="default"/>
      </w:rPr>
    </w:lvl>
    <w:lvl w:ilvl="2" w:tplc="04090005">
      <w:start w:val="1"/>
      <w:numFmt w:val="bullet"/>
      <w:lvlText w:val=""/>
      <w:lvlJc w:val="left"/>
      <w:pPr>
        <w:tabs>
          <w:tab w:val="num" w:pos="2592"/>
        </w:tabs>
        <w:ind w:left="2592" w:hanging="360"/>
      </w:pPr>
      <w:rPr>
        <w:rFonts w:ascii="Wingdings" w:hAnsi="Wingdings" w:hint="default"/>
      </w:rPr>
    </w:lvl>
    <w:lvl w:ilvl="3" w:tplc="04090001">
      <w:start w:val="1"/>
      <w:numFmt w:val="bullet"/>
      <w:lvlText w:val=""/>
      <w:lvlJc w:val="left"/>
      <w:pPr>
        <w:tabs>
          <w:tab w:val="num" w:pos="3312"/>
        </w:tabs>
        <w:ind w:left="3312" w:hanging="360"/>
      </w:pPr>
      <w:rPr>
        <w:rFonts w:ascii="Symbol" w:hAnsi="Symbol" w:hint="default"/>
      </w:rPr>
    </w:lvl>
    <w:lvl w:ilvl="4" w:tplc="04090003">
      <w:start w:val="1"/>
      <w:numFmt w:val="bullet"/>
      <w:lvlText w:val="o"/>
      <w:lvlJc w:val="left"/>
      <w:pPr>
        <w:tabs>
          <w:tab w:val="num" w:pos="4032"/>
        </w:tabs>
        <w:ind w:left="4032" w:hanging="360"/>
      </w:pPr>
      <w:rPr>
        <w:rFonts w:ascii="Courier New" w:hAnsi="Courier New" w:hint="default"/>
      </w:rPr>
    </w:lvl>
    <w:lvl w:ilvl="5" w:tplc="04090005">
      <w:start w:val="1"/>
      <w:numFmt w:val="bullet"/>
      <w:lvlText w:val=""/>
      <w:lvlJc w:val="left"/>
      <w:pPr>
        <w:tabs>
          <w:tab w:val="num" w:pos="4752"/>
        </w:tabs>
        <w:ind w:left="4752" w:hanging="360"/>
      </w:pPr>
      <w:rPr>
        <w:rFonts w:ascii="Wingdings" w:hAnsi="Wingdings" w:hint="default"/>
      </w:rPr>
    </w:lvl>
    <w:lvl w:ilvl="6" w:tplc="04090001">
      <w:start w:val="1"/>
      <w:numFmt w:val="bullet"/>
      <w:lvlText w:val=""/>
      <w:lvlJc w:val="left"/>
      <w:pPr>
        <w:tabs>
          <w:tab w:val="num" w:pos="5472"/>
        </w:tabs>
        <w:ind w:left="5472" w:hanging="360"/>
      </w:pPr>
      <w:rPr>
        <w:rFonts w:ascii="Symbol" w:hAnsi="Symbol" w:hint="default"/>
      </w:rPr>
    </w:lvl>
    <w:lvl w:ilvl="7" w:tplc="04090003">
      <w:start w:val="1"/>
      <w:numFmt w:val="bullet"/>
      <w:lvlText w:val="o"/>
      <w:lvlJc w:val="left"/>
      <w:pPr>
        <w:tabs>
          <w:tab w:val="num" w:pos="6192"/>
        </w:tabs>
        <w:ind w:left="6192" w:hanging="360"/>
      </w:pPr>
      <w:rPr>
        <w:rFonts w:ascii="Courier New" w:hAnsi="Courier New" w:hint="default"/>
      </w:rPr>
    </w:lvl>
    <w:lvl w:ilvl="8" w:tplc="04090005">
      <w:start w:val="1"/>
      <w:numFmt w:val="bullet"/>
      <w:lvlText w:val=""/>
      <w:lvlJc w:val="left"/>
      <w:pPr>
        <w:tabs>
          <w:tab w:val="num" w:pos="6912"/>
        </w:tabs>
        <w:ind w:left="6912" w:hanging="360"/>
      </w:pPr>
      <w:rPr>
        <w:rFonts w:ascii="Wingdings" w:hAnsi="Wingdings" w:hint="default"/>
      </w:rPr>
    </w:lvl>
  </w:abstractNum>
  <w:num w:numId="1">
    <w:abstractNumId w:val="14"/>
  </w:num>
  <w:num w:numId="2">
    <w:abstractNumId w:val="6"/>
  </w:num>
  <w:num w:numId="3">
    <w:abstractNumId w:val="2"/>
  </w:num>
  <w:num w:numId="4">
    <w:abstractNumId w:val="3"/>
  </w:num>
  <w:num w:numId="5">
    <w:abstractNumId w:val="5"/>
  </w:num>
  <w:num w:numId="6">
    <w:abstractNumId w:val="12"/>
  </w:num>
  <w:num w:numId="7">
    <w:abstractNumId w:val="8"/>
  </w:num>
  <w:num w:numId="8">
    <w:abstractNumId w:val="5"/>
  </w:num>
  <w:num w:numId="9">
    <w:abstractNumId w:val="4"/>
  </w:num>
  <w:num w:numId="10">
    <w:abstractNumId w:val="10"/>
  </w:num>
  <w:num w:numId="11">
    <w:abstractNumId w:val="11"/>
  </w:num>
  <w:num w:numId="12">
    <w:abstractNumId w:val="9"/>
  </w:num>
  <w:num w:numId="13">
    <w:abstractNumId w:val="1"/>
  </w:num>
  <w:num w:numId="14">
    <w:abstractNumId w:val="0"/>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D45"/>
    <w:rsid w:val="000022EB"/>
    <w:rsid w:val="000135E3"/>
    <w:rsid w:val="00014558"/>
    <w:rsid w:val="00016D1A"/>
    <w:rsid w:val="00020865"/>
    <w:rsid w:val="00022125"/>
    <w:rsid w:val="000266EE"/>
    <w:rsid w:val="00040571"/>
    <w:rsid w:val="000454DB"/>
    <w:rsid w:val="0006370A"/>
    <w:rsid w:val="00070938"/>
    <w:rsid w:val="000751E6"/>
    <w:rsid w:val="00075E73"/>
    <w:rsid w:val="00076C22"/>
    <w:rsid w:val="000826E2"/>
    <w:rsid w:val="000906FB"/>
    <w:rsid w:val="00093948"/>
    <w:rsid w:val="000A2BCB"/>
    <w:rsid w:val="000B07C1"/>
    <w:rsid w:val="000C1134"/>
    <w:rsid w:val="000C1674"/>
    <w:rsid w:val="000C27D9"/>
    <w:rsid w:val="000C635A"/>
    <w:rsid w:val="000D690A"/>
    <w:rsid w:val="000E1066"/>
    <w:rsid w:val="000E24FB"/>
    <w:rsid w:val="000E2F33"/>
    <w:rsid w:val="000E7364"/>
    <w:rsid w:val="000F2C5F"/>
    <w:rsid w:val="000F3A99"/>
    <w:rsid w:val="001026AF"/>
    <w:rsid w:val="00104C28"/>
    <w:rsid w:val="00107ADB"/>
    <w:rsid w:val="00116E31"/>
    <w:rsid w:val="00116F7C"/>
    <w:rsid w:val="00133633"/>
    <w:rsid w:val="00136F9B"/>
    <w:rsid w:val="0015009B"/>
    <w:rsid w:val="001516EE"/>
    <w:rsid w:val="001532EE"/>
    <w:rsid w:val="00162E56"/>
    <w:rsid w:val="001639F3"/>
    <w:rsid w:val="00177034"/>
    <w:rsid w:val="0018283B"/>
    <w:rsid w:val="0019203D"/>
    <w:rsid w:val="00195002"/>
    <w:rsid w:val="001A7364"/>
    <w:rsid w:val="001B33B9"/>
    <w:rsid w:val="001C13D8"/>
    <w:rsid w:val="001C14E8"/>
    <w:rsid w:val="001C3B31"/>
    <w:rsid w:val="001D14B2"/>
    <w:rsid w:val="001D25F0"/>
    <w:rsid w:val="001D2A9B"/>
    <w:rsid w:val="001D33D5"/>
    <w:rsid w:val="001D4B87"/>
    <w:rsid w:val="001E2743"/>
    <w:rsid w:val="001E6F38"/>
    <w:rsid w:val="001E7F5F"/>
    <w:rsid w:val="001F49A6"/>
    <w:rsid w:val="00206930"/>
    <w:rsid w:val="00211E81"/>
    <w:rsid w:val="00223B3C"/>
    <w:rsid w:val="00247039"/>
    <w:rsid w:val="00253133"/>
    <w:rsid w:val="00256223"/>
    <w:rsid w:val="00257CD4"/>
    <w:rsid w:val="00266BA2"/>
    <w:rsid w:val="00266BB4"/>
    <w:rsid w:val="00270CC7"/>
    <w:rsid w:val="00274D82"/>
    <w:rsid w:val="002757AF"/>
    <w:rsid w:val="0027620A"/>
    <w:rsid w:val="00280AF5"/>
    <w:rsid w:val="00286739"/>
    <w:rsid w:val="002911C8"/>
    <w:rsid w:val="00293FE0"/>
    <w:rsid w:val="00294D7B"/>
    <w:rsid w:val="00296565"/>
    <w:rsid w:val="00296FF0"/>
    <w:rsid w:val="002B2763"/>
    <w:rsid w:val="002B3F6E"/>
    <w:rsid w:val="002B5B93"/>
    <w:rsid w:val="002C1739"/>
    <w:rsid w:val="002C664F"/>
    <w:rsid w:val="002D02F4"/>
    <w:rsid w:val="002D176A"/>
    <w:rsid w:val="002D1EDF"/>
    <w:rsid w:val="002E0C67"/>
    <w:rsid w:val="002E54FF"/>
    <w:rsid w:val="002E7CD4"/>
    <w:rsid w:val="00301257"/>
    <w:rsid w:val="003033E3"/>
    <w:rsid w:val="00303ABF"/>
    <w:rsid w:val="00307FA1"/>
    <w:rsid w:val="00311259"/>
    <w:rsid w:val="00316C56"/>
    <w:rsid w:val="00326D79"/>
    <w:rsid w:val="003331F3"/>
    <w:rsid w:val="00342358"/>
    <w:rsid w:val="00346030"/>
    <w:rsid w:val="00347BCA"/>
    <w:rsid w:val="00355294"/>
    <w:rsid w:val="0036163E"/>
    <w:rsid w:val="00361AFB"/>
    <w:rsid w:val="00362517"/>
    <w:rsid w:val="00362AAB"/>
    <w:rsid w:val="00370847"/>
    <w:rsid w:val="0037206C"/>
    <w:rsid w:val="00373604"/>
    <w:rsid w:val="00374E86"/>
    <w:rsid w:val="0037709F"/>
    <w:rsid w:val="00377BA8"/>
    <w:rsid w:val="0038136A"/>
    <w:rsid w:val="003813D1"/>
    <w:rsid w:val="003826AC"/>
    <w:rsid w:val="00386181"/>
    <w:rsid w:val="0038738E"/>
    <w:rsid w:val="00393F15"/>
    <w:rsid w:val="003A1926"/>
    <w:rsid w:val="003A3E00"/>
    <w:rsid w:val="003A6F6B"/>
    <w:rsid w:val="003A70AA"/>
    <w:rsid w:val="003D176F"/>
    <w:rsid w:val="003E2F1D"/>
    <w:rsid w:val="003E4B31"/>
    <w:rsid w:val="003E6110"/>
    <w:rsid w:val="003E6BD9"/>
    <w:rsid w:val="003F6788"/>
    <w:rsid w:val="00402A7D"/>
    <w:rsid w:val="00423DDA"/>
    <w:rsid w:val="004268C0"/>
    <w:rsid w:val="00432B49"/>
    <w:rsid w:val="004352DC"/>
    <w:rsid w:val="00435C1F"/>
    <w:rsid w:val="004366A6"/>
    <w:rsid w:val="00443CB8"/>
    <w:rsid w:val="00452306"/>
    <w:rsid w:val="00460D5D"/>
    <w:rsid w:val="00460D93"/>
    <w:rsid w:val="00471216"/>
    <w:rsid w:val="004719F5"/>
    <w:rsid w:val="00471C53"/>
    <w:rsid w:val="004729A1"/>
    <w:rsid w:val="00474134"/>
    <w:rsid w:val="00476D7B"/>
    <w:rsid w:val="00477D50"/>
    <w:rsid w:val="00480AC8"/>
    <w:rsid w:val="00483337"/>
    <w:rsid w:val="00492B2C"/>
    <w:rsid w:val="00494767"/>
    <w:rsid w:val="0049501D"/>
    <w:rsid w:val="004A1BE7"/>
    <w:rsid w:val="004A2041"/>
    <w:rsid w:val="004A2963"/>
    <w:rsid w:val="004B7DF9"/>
    <w:rsid w:val="004C2689"/>
    <w:rsid w:val="004C4346"/>
    <w:rsid w:val="004D2152"/>
    <w:rsid w:val="004D2EC2"/>
    <w:rsid w:val="004D4501"/>
    <w:rsid w:val="004D5419"/>
    <w:rsid w:val="004E1212"/>
    <w:rsid w:val="004E4496"/>
    <w:rsid w:val="004F3A72"/>
    <w:rsid w:val="004F4354"/>
    <w:rsid w:val="00502FC4"/>
    <w:rsid w:val="00511194"/>
    <w:rsid w:val="00511498"/>
    <w:rsid w:val="00513282"/>
    <w:rsid w:val="00516BB0"/>
    <w:rsid w:val="00520505"/>
    <w:rsid w:val="005265C7"/>
    <w:rsid w:val="005317D3"/>
    <w:rsid w:val="005336F1"/>
    <w:rsid w:val="005344CB"/>
    <w:rsid w:val="00537B44"/>
    <w:rsid w:val="00544BAF"/>
    <w:rsid w:val="00545410"/>
    <w:rsid w:val="0054560A"/>
    <w:rsid w:val="00547428"/>
    <w:rsid w:val="005522FF"/>
    <w:rsid w:val="0055288F"/>
    <w:rsid w:val="00554153"/>
    <w:rsid w:val="0056093D"/>
    <w:rsid w:val="00566CD2"/>
    <w:rsid w:val="0057475D"/>
    <w:rsid w:val="005753DD"/>
    <w:rsid w:val="00575FD2"/>
    <w:rsid w:val="00576EF1"/>
    <w:rsid w:val="0057761E"/>
    <w:rsid w:val="00580701"/>
    <w:rsid w:val="005852E2"/>
    <w:rsid w:val="00596EA4"/>
    <w:rsid w:val="005973B0"/>
    <w:rsid w:val="005A08C4"/>
    <w:rsid w:val="005C4CA7"/>
    <w:rsid w:val="005C7C31"/>
    <w:rsid w:val="005D12C4"/>
    <w:rsid w:val="005D24D7"/>
    <w:rsid w:val="005F6FD9"/>
    <w:rsid w:val="00603CC2"/>
    <w:rsid w:val="00614D17"/>
    <w:rsid w:val="00616341"/>
    <w:rsid w:val="00620C69"/>
    <w:rsid w:val="006214AE"/>
    <w:rsid w:val="00623226"/>
    <w:rsid w:val="00625675"/>
    <w:rsid w:val="00635330"/>
    <w:rsid w:val="006442C0"/>
    <w:rsid w:val="006448D3"/>
    <w:rsid w:val="00644D20"/>
    <w:rsid w:val="006451EA"/>
    <w:rsid w:val="0065426F"/>
    <w:rsid w:val="006543F4"/>
    <w:rsid w:val="0065696D"/>
    <w:rsid w:val="00661F1E"/>
    <w:rsid w:val="006657B3"/>
    <w:rsid w:val="00671B26"/>
    <w:rsid w:val="00672286"/>
    <w:rsid w:val="00673235"/>
    <w:rsid w:val="00675955"/>
    <w:rsid w:val="006839F5"/>
    <w:rsid w:val="006866EC"/>
    <w:rsid w:val="00691954"/>
    <w:rsid w:val="006962EF"/>
    <w:rsid w:val="00697CA5"/>
    <w:rsid w:val="006A1300"/>
    <w:rsid w:val="006A78D5"/>
    <w:rsid w:val="006B1A96"/>
    <w:rsid w:val="006B1E53"/>
    <w:rsid w:val="006B5912"/>
    <w:rsid w:val="006C0CAA"/>
    <w:rsid w:val="006C2D6E"/>
    <w:rsid w:val="006C4EF6"/>
    <w:rsid w:val="006C7BEC"/>
    <w:rsid w:val="006D219E"/>
    <w:rsid w:val="006E2432"/>
    <w:rsid w:val="006E28FA"/>
    <w:rsid w:val="006E3262"/>
    <w:rsid w:val="006E54A0"/>
    <w:rsid w:val="006E5EF3"/>
    <w:rsid w:val="006F032A"/>
    <w:rsid w:val="006F1C26"/>
    <w:rsid w:val="0070175A"/>
    <w:rsid w:val="00707194"/>
    <w:rsid w:val="00717E4E"/>
    <w:rsid w:val="00722FB8"/>
    <w:rsid w:val="007244D9"/>
    <w:rsid w:val="00737552"/>
    <w:rsid w:val="007415B3"/>
    <w:rsid w:val="0075080B"/>
    <w:rsid w:val="00750997"/>
    <w:rsid w:val="007547F4"/>
    <w:rsid w:val="00755DC8"/>
    <w:rsid w:val="007571D7"/>
    <w:rsid w:val="00765687"/>
    <w:rsid w:val="00765D17"/>
    <w:rsid w:val="0077120F"/>
    <w:rsid w:val="00771500"/>
    <w:rsid w:val="007724E1"/>
    <w:rsid w:val="00773AAF"/>
    <w:rsid w:val="00776DDD"/>
    <w:rsid w:val="00783388"/>
    <w:rsid w:val="00783645"/>
    <w:rsid w:val="00790D50"/>
    <w:rsid w:val="0079475E"/>
    <w:rsid w:val="007A01E1"/>
    <w:rsid w:val="007A2F12"/>
    <w:rsid w:val="007A3230"/>
    <w:rsid w:val="007A580A"/>
    <w:rsid w:val="007A791C"/>
    <w:rsid w:val="007B396F"/>
    <w:rsid w:val="007B5D14"/>
    <w:rsid w:val="007E650A"/>
    <w:rsid w:val="007F23EA"/>
    <w:rsid w:val="007F31A2"/>
    <w:rsid w:val="00804603"/>
    <w:rsid w:val="008066C4"/>
    <w:rsid w:val="00813A00"/>
    <w:rsid w:val="00816A34"/>
    <w:rsid w:val="0082310F"/>
    <w:rsid w:val="00831E68"/>
    <w:rsid w:val="00833B06"/>
    <w:rsid w:val="0083469D"/>
    <w:rsid w:val="008511BB"/>
    <w:rsid w:val="008629A3"/>
    <w:rsid w:val="00863B87"/>
    <w:rsid w:val="008670F4"/>
    <w:rsid w:val="0087616B"/>
    <w:rsid w:val="00883650"/>
    <w:rsid w:val="00884146"/>
    <w:rsid w:val="00887DFD"/>
    <w:rsid w:val="008910D4"/>
    <w:rsid w:val="00894034"/>
    <w:rsid w:val="00895D46"/>
    <w:rsid w:val="008A250F"/>
    <w:rsid w:val="008A5F06"/>
    <w:rsid w:val="008C18D7"/>
    <w:rsid w:val="008C67B3"/>
    <w:rsid w:val="008D4834"/>
    <w:rsid w:val="008E18D5"/>
    <w:rsid w:val="008E1B06"/>
    <w:rsid w:val="008F2521"/>
    <w:rsid w:val="008F2B76"/>
    <w:rsid w:val="008F7789"/>
    <w:rsid w:val="0090595E"/>
    <w:rsid w:val="0090731C"/>
    <w:rsid w:val="00907793"/>
    <w:rsid w:val="00911FF2"/>
    <w:rsid w:val="0091497E"/>
    <w:rsid w:val="009169B1"/>
    <w:rsid w:val="009170B7"/>
    <w:rsid w:val="00917D8E"/>
    <w:rsid w:val="00927DA1"/>
    <w:rsid w:val="00927F05"/>
    <w:rsid w:val="009308CC"/>
    <w:rsid w:val="009323E5"/>
    <w:rsid w:val="009406FF"/>
    <w:rsid w:val="00943C52"/>
    <w:rsid w:val="009479C3"/>
    <w:rsid w:val="00956C8E"/>
    <w:rsid w:val="00964B14"/>
    <w:rsid w:val="00967ADA"/>
    <w:rsid w:val="0097117D"/>
    <w:rsid w:val="00993061"/>
    <w:rsid w:val="009973E1"/>
    <w:rsid w:val="00997742"/>
    <w:rsid w:val="009A19E1"/>
    <w:rsid w:val="009A7468"/>
    <w:rsid w:val="009B20A8"/>
    <w:rsid w:val="009B47AD"/>
    <w:rsid w:val="009D38AB"/>
    <w:rsid w:val="009D6EDA"/>
    <w:rsid w:val="009E6EFB"/>
    <w:rsid w:val="009E770C"/>
    <w:rsid w:val="009E7BC4"/>
    <w:rsid w:val="009F1271"/>
    <w:rsid w:val="00A07D6A"/>
    <w:rsid w:val="00A134F5"/>
    <w:rsid w:val="00A14EEE"/>
    <w:rsid w:val="00A1601D"/>
    <w:rsid w:val="00A22F7D"/>
    <w:rsid w:val="00A243D6"/>
    <w:rsid w:val="00A26896"/>
    <w:rsid w:val="00A27E27"/>
    <w:rsid w:val="00A31870"/>
    <w:rsid w:val="00A366A5"/>
    <w:rsid w:val="00A46139"/>
    <w:rsid w:val="00A4780D"/>
    <w:rsid w:val="00A50AA5"/>
    <w:rsid w:val="00A53DD6"/>
    <w:rsid w:val="00A6070B"/>
    <w:rsid w:val="00A65185"/>
    <w:rsid w:val="00A66CC2"/>
    <w:rsid w:val="00A70520"/>
    <w:rsid w:val="00A70F7E"/>
    <w:rsid w:val="00A72E92"/>
    <w:rsid w:val="00A75649"/>
    <w:rsid w:val="00A76C60"/>
    <w:rsid w:val="00A86D37"/>
    <w:rsid w:val="00A903EC"/>
    <w:rsid w:val="00A926DB"/>
    <w:rsid w:val="00AA3472"/>
    <w:rsid w:val="00AA43D9"/>
    <w:rsid w:val="00AA46FC"/>
    <w:rsid w:val="00AB30EB"/>
    <w:rsid w:val="00AC0022"/>
    <w:rsid w:val="00AC2B10"/>
    <w:rsid w:val="00AC5FE1"/>
    <w:rsid w:val="00AF0D57"/>
    <w:rsid w:val="00AF2D3E"/>
    <w:rsid w:val="00AF6742"/>
    <w:rsid w:val="00B00867"/>
    <w:rsid w:val="00B012E9"/>
    <w:rsid w:val="00B0243C"/>
    <w:rsid w:val="00B06E09"/>
    <w:rsid w:val="00B23EC9"/>
    <w:rsid w:val="00B301B1"/>
    <w:rsid w:val="00B30AA9"/>
    <w:rsid w:val="00B3181F"/>
    <w:rsid w:val="00B52FCB"/>
    <w:rsid w:val="00B54803"/>
    <w:rsid w:val="00B633AC"/>
    <w:rsid w:val="00B634D8"/>
    <w:rsid w:val="00B6606D"/>
    <w:rsid w:val="00B7014F"/>
    <w:rsid w:val="00B71780"/>
    <w:rsid w:val="00B75D33"/>
    <w:rsid w:val="00B80642"/>
    <w:rsid w:val="00B8347E"/>
    <w:rsid w:val="00B96677"/>
    <w:rsid w:val="00BA07AB"/>
    <w:rsid w:val="00BB616D"/>
    <w:rsid w:val="00BC0BDA"/>
    <w:rsid w:val="00BC7634"/>
    <w:rsid w:val="00BD159C"/>
    <w:rsid w:val="00BD7834"/>
    <w:rsid w:val="00BE407B"/>
    <w:rsid w:val="00BE68A7"/>
    <w:rsid w:val="00BF3100"/>
    <w:rsid w:val="00BF39DA"/>
    <w:rsid w:val="00C069B4"/>
    <w:rsid w:val="00C11BBA"/>
    <w:rsid w:val="00C17064"/>
    <w:rsid w:val="00C1734A"/>
    <w:rsid w:val="00C237A7"/>
    <w:rsid w:val="00C27EF2"/>
    <w:rsid w:val="00C302EE"/>
    <w:rsid w:val="00C31CF9"/>
    <w:rsid w:val="00C33B90"/>
    <w:rsid w:val="00C52BB6"/>
    <w:rsid w:val="00C53A26"/>
    <w:rsid w:val="00C61CEE"/>
    <w:rsid w:val="00C778A0"/>
    <w:rsid w:val="00C82EFC"/>
    <w:rsid w:val="00C876AD"/>
    <w:rsid w:val="00C87926"/>
    <w:rsid w:val="00C9060B"/>
    <w:rsid w:val="00C97455"/>
    <w:rsid w:val="00CA1389"/>
    <w:rsid w:val="00CA3B1C"/>
    <w:rsid w:val="00CB1149"/>
    <w:rsid w:val="00CB19EC"/>
    <w:rsid w:val="00CB6054"/>
    <w:rsid w:val="00CC1FB5"/>
    <w:rsid w:val="00CC222D"/>
    <w:rsid w:val="00CC631B"/>
    <w:rsid w:val="00CC6A71"/>
    <w:rsid w:val="00CD22BE"/>
    <w:rsid w:val="00CD2439"/>
    <w:rsid w:val="00CD2FEB"/>
    <w:rsid w:val="00CD48D4"/>
    <w:rsid w:val="00CE1222"/>
    <w:rsid w:val="00CE4D32"/>
    <w:rsid w:val="00CE5368"/>
    <w:rsid w:val="00CE7E85"/>
    <w:rsid w:val="00CF0881"/>
    <w:rsid w:val="00CF21BB"/>
    <w:rsid w:val="00CF7E55"/>
    <w:rsid w:val="00D04D46"/>
    <w:rsid w:val="00D14E76"/>
    <w:rsid w:val="00D1519C"/>
    <w:rsid w:val="00D1782C"/>
    <w:rsid w:val="00D24654"/>
    <w:rsid w:val="00D24F9E"/>
    <w:rsid w:val="00D25788"/>
    <w:rsid w:val="00D35138"/>
    <w:rsid w:val="00D35F07"/>
    <w:rsid w:val="00D360BC"/>
    <w:rsid w:val="00D42247"/>
    <w:rsid w:val="00D42AE7"/>
    <w:rsid w:val="00D430F1"/>
    <w:rsid w:val="00D44974"/>
    <w:rsid w:val="00D46DC6"/>
    <w:rsid w:val="00D6229E"/>
    <w:rsid w:val="00D666C7"/>
    <w:rsid w:val="00D7164C"/>
    <w:rsid w:val="00D720EA"/>
    <w:rsid w:val="00D72AD3"/>
    <w:rsid w:val="00D73B25"/>
    <w:rsid w:val="00D7513F"/>
    <w:rsid w:val="00D805B5"/>
    <w:rsid w:val="00D85423"/>
    <w:rsid w:val="00D902F3"/>
    <w:rsid w:val="00D928B7"/>
    <w:rsid w:val="00D95C78"/>
    <w:rsid w:val="00D97489"/>
    <w:rsid w:val="00DA0B36"/>
    <w:rsid w:val="00DA7F78"/>
    <w:rsid w:val="00DB1248"/>
    <w:rsid w:val="00DB3E48"/>
    <w:rsid w:val="00DC0800"/>
    <w:rsid w:val="00DC4EEF"/>
    <w:rsid w:val="00DD553B"/>
    <w:rsid w:val="00DD569F"/>
    <w:rsid w:val="00DE45FC"/>
    <w:rsid w:val="00DE6543"/>
    <w:rsid w:val="00DE7766"/>
    <w:rsid w:val="00DF4EA5"/>
    <w:rsid w:val="00DF7289"/>
    <w:rsid w:val="00E02280"/>
    <w:rsid w:val="00E0229C"/>
    <w:rsid w:val="00E051B6"/>
    <w:rsid w:val="00E12EF0"/>
    <w:rsid w:val="00E140B1"/>
    <w:rsid w:val="00E200A6"/>
    <w:rsid w:val="00E221AE"/>
    <w:rsid w:val="00E25A6C"/>
    <w:rsid w:val="00E26424"/>
    <w:rsid w:val="00E27399"/>
    <w:rsid w:val="00E318E7"/>
    <w:rsid w:val="00E33FCE"/>
    <w:rsid w:val="00E40018"/>
    <w:rsid w:val="00E40DFB"/>
    <w:rsid w:val="00E533C9"/>
    <w:rsid w:val="00E55210"/>
    <w:rsid w:val="00E5536C"/>
    <w:rsid w:val="00E56E7F"/>
    <w:rsid w:val="00E66601"/>
    <w:rsid w:val="00E70138"/>
    <w:rsid w:val="00E81A09"/>
    <w:rsid w:val="00E836C3"/>
    <w:rsid w:val="00E83C87"/>
    <w:rsid w:val="00E84398"/>
    <w:rsid w:val="00E95A81"/>
    <w:rsid w:val="00EA2E73"/>
    <w:rsid w:val="00EB5860"/>
    <w:rsid w:val="00EB77B2"/>
    <w:rsid w:val="00EC0A27"/>
    <w:rsid w:val="00EC6F0C"/>
    <w:rsid w:val="00EE2E82"/>
    <w:rsid w:val="00EE374F"/>
    <w:rsid w:val="00EF13DE"/>
    <w:rsid w:val="00EF2115"/>
    <w:rsid w:val="00EF2401"/>
    <w:rsid w:val="00F03163"/>
    <w:rsid w:val="00F0668B"/>
    <w:rsid w:val="00F07A24"/>
    <w:rsid w:val="00F1011E"/>
    <w:rsid w:val="00F1022D"/>
    <w:rsid w:val="00F14099"/>
    <w:rsid w:val="00F41CF7"/>
    <w:rsid w:val="00F510D1"/>
    <w:rsid w:val="00F54E87"/>
    <w:rsid w:val="00F5504E"/>
    <w:rsid w:val="00F57BA3"/>
    <w:rsid w:val="00F633E2"/>
    <w:rsid w:val="00F660EA"/>
    <w:rsid w:val="00F66127"/>
    <w:rsid w:val="00F6766E"/>
    <w:rsid w:val="00F716C6"/>
    <w:rsid w:val="00F769A2"/>
    <w:rsid w:val="00F77D99"/>
    <w:rsid w:val="00F911CF"/>
    <w:rsid w:val="00F96157"/>
    <w:rsid w:val="00FB2298"/>
    <w:rsid w:val="00FB3A1C"/>
    <w:rsid w:val="00FC1888"/>
    <w:rsid w:val="00FC59A4"/>
    <w:rsid w:val="00FD0B17"/>
    <w:rsid w:val="00FD1E95"/>
    <w:rsid w:val="00FD3D45"/>
    <w:rsid w:val="00FD5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80607E"/>
  <w15:docId w15:val="{ACAAA29A-9CB0-42D4-99A3-E6358BE7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766"/>
    <w:pPr>
      <w:spacing w:line="220" w:lineRule="exact"/>
    </w:pPr>
    <w:rPr>
      <w:rFonts w:ascii="Tahoma" w:hAnsi="Tahoma"/>
      <w:spacing w:val="10"/>
      <w:sz w:val="16"/>
      <w:szCs w:val="16"/>
      <w:lang w:val="en-US" w:eastAsia="en-US"/>
    </w:rPr>
  </w:style>
  <w:style w:type="paragraph" w:styleId="Heading1">
    <w:name w:val="heading 1"/>
    <w:basedOn w:val="Normal"/>
    <w:next w:val="Normal"/>
    <w:link w:val="Heading1Char"/>
    <w:uiPriority w:val="99"/>
    <w:qFormat/>
    <w:rsid w:val="00DE7766"/>
    <w:pPr>
      <w:spacing w:before="80" w:after="60"/>
      <w:outlineLvl w:val="0"/>
    </w:pPr>
    <w:rPr>
      <w:caps/>
    </w:rPr>
  </w:style>
  <w:style w:type="paragraph" w:styleId="Heading2">
    <w:name w:val="heading 2"/>
    <w:basedOn w:val="Normal"/>
    <w:next w:val="Normal"/>
    <w:link w:val="Heading2Char"/>
    <w:uiPriority w:val="99"/>
    <w:qFormat/>
    <w:rsid w:val="003826AC"/>
    <w:pPr>
      <w:spacing w:before="60"/>
      <w:outlineLvl w:val="1"/>
    </w:pPr>
    <w:rPr>
      <w:i/>
    </w:rPr>
  </w:style>
  <w:style w:type="paragraph" w:styleId="Heading3">
    <w:name w:val="heading 3"/>
    <w:basedOn w:val="Normal"/>
    <w:next w:val="Normal"/>
    <w:link w:val="Heading3Char"/>
    <w:uiPriority w:val="99"/>
    <w:qFormat/>
    <w:rsid w:val="008A5F06"/>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27E27"/>
    <w:rPr>
      <w:rFonts w:ascii="Cambria" w:hAnsi="Cambria" w:cs="Times New Roman"/>
      <w:b/>
      <w:bCs/>
      <w:spacing w:val="10"/>
      <w:kern w:val="32"/>
      <w:sz w:val="32"/>
      <w:szCs w:val="32"/>
      <w:lang w:val="en-US" w:eastAsia="en-US"/>
    </w:rPr>
  </w:style>
  <w:style w:type="character" w:customStyle="1" w:styleId="Heading2Char">
    <w:name w:val="Heading 2 Char"/>
    <w:basedOn w:val="DefaultParagraphFont"/>
    <w:link w:val="Heading2"/>
    <w:uiPriority w:val="99"/>
    <w:locked/>
    <w:rsid w:val="003826AC"/>
    <w:rPr>
      <w:rFonts w:ascii="Tahoma" w:hAnsi="Tahoma" w:cs="Times New Roman"/>
      <w:i/>
      <w:spacing w:val="10"/>
      <w:sz w:val="16"/>
      <w:szCs w:val="16"/>
      <w:lang w:val="en-US" w:eastAsia="en-US" w:bidi="ar-SA"/>
    </w:rPr>
  </w:style>
  <w:style w:type="character" w:customStyle="1" w:styleId="Heading3Char">
    <w:name w:val="Heading 3 Char"/>
    <w:basedOn w:val="DefaultParagraphFont"/>
    <w:link w:val="Heading3"/>
    <w:uiPriority w:val="99"/>
    <w:locked/>
    <w:rsid w:val="008A5F06"/>
    <w:rPr>
      <w:rFonts w:ascii="Tahoma" w:hAnsi="Tahoma" w:cs="Times New Roman"/>
      <w:i/>
      <w:spacing w:val="10"/>
      <w:sz w:val="16"/>
      <w:szCs w:val="16"/>
      <w:lang w:val="en-US" w:eastAsia="en-US" w:bidi="ar-SA"/>
    </w:rPr>
  </w:style>
  <w:style w:type="paragraph" w:styleId="BalloonText">
    <w:name w:val="Balloon Text"/>
    <w:basedOn w:val="Normal"/>
    <w:link w:val="BalloonTextChar"/>
    <w:uiPriority w:val="99"/>
    <w:semiHidden/>
    <w:rsid w:val="00DE7766"/>
    <w:rPr>
      <w:rFonts w:cs="Tahoma"/>
    </w:rPr>
  </w:style>
  <w:style w:type="character" w:customStyle="1" w:styleId="BalloonTextChar">
    <w:name w:val="Balloon Text Char"/>
    <w:basedOn w:val="DefaultParagraphFont"/>
    <w:link w:val="BalloonText"/>
    <w:uiPriority w:val="99"/>
    <w:semiHidden/>
    <w:locked/>
    <w:rsid w:val="00A27E27"/>
    <w:rPr>
      <w:rFonts w:cs="Times New Roman"/>
      <w:spacing w:val="10"/>
      <w:sz w:val="2"/>
      <w:lang w:val="en-US" w:eastAsia="en-US"/>
    </w:rPr>
  </w:style>
  <w:style w:type="paragraph" w:styleId="Date">
    <w:name w:val="Date"/>
    <w:basedOn w:val="Normal"/>
    <w:next w:val="Normal"/>
    <w:link w:val="DateChar"/>
    <w:uiPriority w:val="99"/>
    <w:rsid w:val="006E54A0"/>
    <w:pPr>
      <w:spacing w:before="60"/>
      <w:jc w:val="right"/>
    </w:pPr>
    <w:rPr>
      <w:b/>
    </w:rPr>
  </w:style>
  <w:style w:type="character" w:customStyle="1" w:styleId="DateChar">
    <w:name w:val="Date Char"/>
    <w:basedOn w:val="DefaultParagraphFont"/>
    <w:link w:val="Date"/>
    <w:uiPriority w:val="99"/>
    <w:semiHidden/>
    <w:locked/>
    <w:rsid w:val="00A27E27"/>
    <w:rPr>
      <w:rFonts w:ascii="Tahoma" w:hAnsi="Tahoma" w:cs="Times New Roman"/>
      <w:spacing w:val="10"/>
      <w:sz w:val="16"/>
      <w:szCs w:val="16"/>
      <w:lang w:val="en-US" w:eastAsia="en-US"/>
    </w:rPr>
  </w:style>
  <w:style w:type="paragraph" w:styleId="BodyText">
    <w:name w:val="Body Text"/>
    <w:basedOn w:val="Normal"/>
    <w:link w:val="BodyTextChar"/>
    <w:uiPriority w:val="99"/>
    <w:rsid w:val="005A08C4"/>
    <w:pPr>
      <w:spacing w:after="160"/>
    </w:pPr>
  </w:style>
  <w:style w:type="character" w:customStyle="1" w:styleId="BodyTextChar">
    <w:name w:val="Body Text Char"/>
    <w:basedOn w:val="DefaultParagraphFont"/>
    <w:link w:val="BodyText"/>
    <w:uiPriority w:val="99"/>
    <w:semiHidden/>
    <w:locked/>
    <w:rsid w:val="00A27E27"/>
    <w:rPr>
      <w:rFonts w:ascii="Tahoma" w:hAnsi="Tahoma" w:cs="Times New Roman"/>
      <w:spacing w:val="10"/>
      <w:sz w:val="16"/>
      <w:szCs w:val="16"/>
      <w:lang w:val="en-US" w:eastAsia="en-US"/>
    </w:rPr>
  </w:style>
  <w:style w:type="paragraph" w:customStyle="1" w:styleId="e-mailaddress">
    <w:name w:val="e-mail address"/>
    <w:basedOn w:val="Normal"/>
    <w:uiPriority w:val="99"/>
    <w:rsid w:val="005A08C4"/>
    <w:pPr>
      <w:spacing w:after="160"/>
    </w:pPr>
    <w:rPr>
      <w:szCs w:val="20"/>
    </w:rPr>
  </w:style>
  <w:style w:type="paragraph" w:customStyle="1" w:styleId="DatewnoSpaceBefore">
    <w:name w:val="Date w/no Space Before"/>
    <w:basedOn w:val="Date"/>
    <w:uiPriority w:val="99"/>
    <w:rsid w:val="00E0229C"/>
    <w:pPr>
      <w:spacing w:before="0"/>
    </w:pPr>
  </w:style>
  <w:style w:type="paragraph" w:customStyle="1" w:styleId="bulletedlist">
    <w:name w:val="bulleted list"/>
    <w:basedOn w:val="Normal"/>
    <w:uiPriority w:val="99"/>
    <w:rsid w:val="006E54A0"/>
    <w:pPr>
      <w:numPr>
        <w:numId w:val="5"/>
      </w:numPr>
      <w:spacing w:before="60"/>
    </w:pPr>
  </w:style>
  <w:style w:type="paragraph" w:styleId="Title">
    <w:name w:val="Title"/>
    <w:basedOn w:val="Normal"/>
    <w:link w:val="TitleChar"/>
    <w:uiPriority w:val="99"/>
    <w:qFormat/>
    <w:rsid w:val="00040571"/>
    <w:rPr>
      <w:b/>
    </w:rPr>
  </w:style>
  <w:style w:type="character" w:customStyle="1" w:styleId="TitleChar">
    <w:name w:val="Title Char"/>
    <w:basedOn w:val="DefaultParagraphFont"/>
    <w:link w:val="Title"/>
    <w:uiPriority w:val="99"/>
    <w:locked/>
    <w:rsid w:val="00040571"/>
    <w:rPr>
      <w:rFonts w:ascii="Tahoma" w:hAnsi="Tahoma" w:cs="Times New Roman"/>
      <w:b/>
      <w:spacing w:val="10"/>
      <w:sz w:val="16"/>
      <w:szCs w:val="16"/>
      <w:lang w:val="en-US" w:eastAsia="en-US" w:bidi="ar-SA"/>
    </w:rPr>
  </w:style>
  <w:style w:type="character" w:customStyle="1" w:styleId="pages">
    <w:name w:val="pages"/>
    <w:basedOn w:val="DefaultParagraphFont"/>
    <w:uiPriority w:val="99"/>
    <w:rsid w:val="00136F9B"/>
    <w:rPr>
      <w:rFonts w:cs="Times New Roman"/>
    </w:rPr>
  </w:style>
  <w:style w:type="character" w:customStyle="1" w:styleId="apple-style-span">
    <w:name w:val="apple-style-span"/>
    <w:basedOn w:val="DefaultParagraphFont"/>
    <w:uiPriority w:val="99"/>
    <w:rsid w:val="00783388"/>
    <w:rPr>
      <w:rFonts w:cs="Times New Roman"/>
    </w:rPr>
  </w:style>
  <w:style w:type="character" w:styleId="Strong">
    <w:name w:val="Strong"/>
    <w:basedOn w:val="DefaultParagraphFont"/>
    <w:uiPriority w:val="22"/>
    <w:qFormat/>
    <w:locked/>
    <w:rsid w:val="00783388"/>
    <w:rPr>
      <w:rFonts w:cs="Times New Roman"/>
      <w:b/>
      <w:bCs/>
    </w:rPr>
  </w:style>
  <w:style w:type="character" w:customStyle="1" w:styleId="apple-converted-space">
    <w:name w:val="apple-converted-space"/>
    <w:basedOn w:val="DefaultParagraphFont"/>
    <w:rsid w:val="00783388"/>
    <w:rPr>
      <w:rFonts w:cs="Times New Roman"/>
    </w:rPr>
  </w:style>
  <w:style w:type="paragraph" w:customStyle="1" w:styleId="Default">
    <w:name w:val="Default"/>
    <w:rsid w:val="00773AAF"/>
    <w:pPr>
      <w:autoSpaceDE w:val="0"/>
      <w:autoSpaceDN w:val="0"/>
      <w:adjustRightInd w:val="0"/>
    </w:pPr>
    <w:rPr>
      <w:color w:val="000000"/>
      <w:sz w:val="24"/>
      <w:szCs w:val="24"/>
    </w:rPr>
  </w:style>
  <w:style w:type="paragraph" w:styleId="Header">
    <w:name w:val="header"/>
    <w:basedOn w:val="Normal"/>
    <w:link w:val="HeaderChar"/>
    <w:uiPriority w:val="99"/>
    <w:unhideWhenUsed/>
    <w:rsid w:val="00076C22"/>
    <w:pPr>
      <w:tabs>
        <w:tab w:val="center" w:pos="4513"/>
        <w:tab w:val="right" w:pos="9026"/>
      </w:tabs>
      <w:spacing w:line="240" w:lineRule="auto"/>
    </w:pPr>
  </w:style>
  <w:style w:type="character" w:customStyle="1" w:styleId="HeaderChar">
    <w:name w:val="Header Char"/>
    <w:basedOn w:val="DefaultParagraphFont"/>
    <w:link w:val="Header"/>
    <w:uiPriority w:val="99"/>
    <w:rsid w:val="00076C22"/>
    <w:rPr>
      <w:rFonts w:ascii="Tahoma" w:hAnsi="Tahoma"/>
      <w:spacing w:val="10"/>
      <w:sz w:val="16"/>
      <w:szCs w:val="16"/>
      <w:lang w:val="en-US" w:eastAsia="en-US"/>
    </w:rPr>
  </w:style>
  <w:style w:type="paragraph" w:styleId="Footer">
    <w:name w:val="footer"/>
    <w:basedOn w:val="Normal"/>
    <w:link w:val="FooterChar"/>
    <w:uiPriority w:val="99"/>
    <w:unhideWhenUsed/>
    <w:rsid w:val="00076C22"/>
    <w:pPr>
      <w:tabs>
        <w:tab w:val="center" w:pos="4513"/>
        <w:tab w:val="right" w:pos="9026"/>
      </w:tabs>
      <w:spacing w:line="240" w:lineRule="auto"/>
    </w:pPr>
  </w:style>
  <w:style w:type="character" w:customStyle="1" w:styleId="FooterChar">
    <w:name w:val="Footer Char"/>
    <w:basedOn w:val="DefaultParagraphFont"/>
    <w:link w:val="Footer"/>
    <w:uiPriority w:val="99"/>
    <w:rsid w:val="00076C22"/>
    <w:rPr>
      <w:rFonts w:ascii="Tahoma" w:hAnsi="Tahoma"/>
      <w:spacing w:val="10"/>
      <w:sz w:val="16"/>
      <w:szCs w:val="16"/>
      <w:lang w:val="en-US" w:eastAsia="en-US"/>
    </w:rPr>
  </w:style>
  <w:style w:type="character" w:styleId="Hyperlink">
    <w:name w:val="Hyperlink"/>
    <w:basedOn w:val="DefaultParagraphFont"/>
    <w:uiPriority w:val="99"/>
    <w:unhideWhenUsed/>
    <w:rsid w:val="00E84398"/>
    <w:rPr>
      <w:color w:val="0000FF"/>
      <w:u w:val="single"/>
    </w:rPr>
  </w:style>
  <w:style w:type="character" w:styleId="FollowedHyperlink">
    <w:name w:val="FollowedHyperlink"/>
    <w:basedOn w:val="DefaultParagraphFont"/>
    <w:uiPriority w:val="99"/>
    <w:semiHidden/>
    <w:unhideWhenUsed/>
    <w:rsid w:val="00B71780"/>
    <w:rPr>
      <w:color w:val="800080" w:themeColor="followedHyperlink"/>
      <w:u w:val="single"/>
    </w:rPr>
  </w:style>
  <w:style w:type="character" w:customStyle="1" w:styleId="jrnl">
    <w:name w:val="jrnl"/>
    <w:basedOn w:val="DefaultParagraphFont"/>
    <w:rsid w:val="008E1B06"/>
  </w:style>
  <w:style w:type="paragraph" w:styleId="ListParagraph">
    <w:name w:val="List Paragraph"/>
    <w:basedOn w:val="Normal"/>
    <w:uiPriority w:val="34"/>
    <w:qFormat/>
    <w:rsid w:val="002B5B93"/>
    <w:pPr>
      <w:ind w:left="720"/>
      <w:contextualSpacing/>
    </w:pPr>
  </w:style>
  <w:style w:type="character" w:styleId="Emphasis">
    <w:name w:val="Emphasis"/>
    <w:basedOn w:val="DefaultParagraphFont"/>
    <w:uiPriority w:val="20"/>
    <w:qFormat/>
    <w:locked/>
    <w:rsid w:val="00B23E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0661">
      <w:bodyDiv w:val="1"/>
      <w:marLeft w:val="0"/>
      <w:marRight w:val="0"/>
      <w:marTop w:val="0"/>
      <w:marBottom w:val="0"/>
      <w:divBdr>
        <w:top w:val="none" w:sz="0" w:space="0" w:color="auto"/>
        <w:left w:val="none" w:sz="0" w:space="0" w:color="auto"/>
        <w:bottom w:val="none" w:sz="0" w:space="0" w:color="auto"/>
        <w:right w:val="none" w:sz="0" w:space="0" w:color="auto"/>
      </w:divBdr>
    </w:div>
    <w:div w:id="388263378">
      <w:bodyDiv w:val="1"/>
      <w:marLeft w:val="0"/>
      <w:marRight w:val="0"/>
      <w:marTop w:val="0"/>
      <w:marBottom w:val="0"/>
      <w:divBdr>
        <w:top w:val="none" w:sz="0" w:space="0" w:color="auto"/>
        <w:left w:val="none" w:sz="0" w:space="0" w:color="auto"/>
        <w:bottom w:val="none" w:sz="0" w:space="0" w:color="auto"/>
        <w:right w:val="none" w:sz="0" w:space="0" w:color="auto"/>
      </w:divBdr>
    </w:div>
    <w:div w:id="908425938">
      <w:bodyDiv w:val="1"/>
      <w:marLeft w:val="0"/>
      <w:marRight w:val="0"/>
      <w:marTop w:val="0"/>
      <w:marBottom w:val="0"/>
      <w:divBdr>
        <w:top w:val="none" w:sz="0" w:space="0" w:color="auto"/>
        <w:left w:val="none" w:sz="0" w:space="0" w:color="auto"/>
        <w:bottom w:val="none" w:sz="0" w:space="0" w:color="auto"/>
        <w:right w:val="none" w:sz="0" w:space="0" w:color="auto"/>
      </w:divBdr>
    </w:div>
    <w:div w:id="1179933352">
      <w:bodyDiv w:val="1"/>
      <w:marLeft w:val="0"/>
      <w:marRight w:val="0"/>
      <w:marTop w:val="0"/>
      <w:marBottom w:val="0"/>
      <w:divBdr>
        <w:top w:val="none" w:sz="0" w:space="0" w:color="auto"/>
        <w:left w:val="none" w:sz="0" w:space="0" w:color="auto"/>
        <w:bottom w:val="none" w:sz="0" w:space="0" w:color="auto"/>
        <w:right w:val="none" w:sz="0" w:space="0" w:color="auto"/>
      </w:divBdr>
    </w:div>
    <w:div w:id="1311910313">
      <w:bodyDiv w:val="1"/>
      <w:marLeft w:val="0"/>
      <w:marRight w:val="0"/>
      <w:marTop w:val="0"/>
      <w:marBottom w:val="0"/>
      <w:divBdr>
        <w:top w:val="none" w:sz="0" w:space="0" w:color="auto"/>
        <w:left w:val="none" w:sz="0" w:space="0" w:color="auto"/>
        <w:bottom w:val="none" w:sz="0" w:space="0" w:color="auto"/>
        <w:right w:val="none" w:sz="0" w:space="0" w:color="auto"/>
      </w:divBdr>
    </w:div>
    <w:div w:id="1687174449">
      <w:bodyDiv w:val="1"/>
      <w:marLeft w:val="0"/>
      <w:marRight w:val="0"/>
      <w:marTop w:val="0"/>
      <w:marBottom w:val="0"/>
      <w:divBdr>
        <w:top w:val="none" w:sz="0" w:space="0" w:color="auto"/>
        <w:left w:val="none" w:sz="0" w:space="0" w:color="auto"/>
        <w:bottom w:val="none" w:sz="0" w:space="0" w:color="auto"/>
        <w:right w:val="none" w:sz="0" w:space="0" w:color="auto"/>
      </w:divBdr>
    </w:div>
    <w:div w:id="1834877699">
      <w:bodyDiv w:val="1"/>
      <w:marLeft w:val="0"/>
      <w:marRight w:val="0"/>
      <w:marTop w:val="0"/>
      <w:marBottom w:val="0"/>
      <w:divBdr>
        <w:top w:val="none" w:sz="0" w:space="0" w:color="auto"/>
        <w:left w:val="none" w:sz="0" w:space="0" w:color="auto"/>
        <w:bottom w:val="none" w:sz="0" w:space="0" w:color="auto"/>
        <w:right w:val="none" w:sz="0" w:space="0" w:color="auto"/>
      </w:divBdr>
    </w:div>
    <w:div w:id="20021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lade.matthews@sydney.edu.au" TargetMode="External"/><Relationship Id="rId13" Type="http://schemas.openxmlformats.org/officeDocument/2006/relationships/hyperlink" Target="http://dx.doi.org/10.2316/P.2012.764-039"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dx.doi.org/10.2316/P.2012.764-08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2316/P.2012.764-08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ydney.edu.au/medicine/people/academics/profiles/slade.matthews.php" TargetMode="External"/><Relationship Id="rId4" Type="http://schemas.openxmlformats.org/officeDocument/2006/relationships/webSettings" Target="webSettings.xml"/><Relationship Id="rId9" Type="http://schemas.openxmlformats.org/officeDocument/2006/relationships/hyperlink" Target="https://www.linkedin.com/in/slade-matthew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lade\Application%20Data\Microsoft\Templates\Curriculum%20vita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vitae.dot</Template>
  <TotalTime>73</TotalTime>
  <Pages>4</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Dr</vt:lpstr>
    </vt:vector>
  </TitlesOfParts>
  <Company>Microsoft Corporation</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Slade Mathews</dc:creator>
  <cp:lastModifiedBy>Slade Matthews</cp:lastModifiedBy>
  <cp:revision>66</cp:revision>
  <cp:lastPrinted>2009-03-10T02:11:00Z</cp:lastPrinted>
  <dcterms:created xsi:type="dcterms:W3CDTF">2019-07-11T05:36:00Z</dcterms:created>
  <dcterms:modified xsi:type="dcterms:W3CDTF">2019-07-11T06:56:00Z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TC063695031033</vt:lpwstr>
  </property>
</Properties>
</file>