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rPr>
          <w:b/>
          <w:bCs/>
          <w:color w:val="B38E3D"/>
          <w:sz w:val="24"/>
          <w:szCs w:val="24"/>
        </w:rPr>
        <w:t xml:space="preserve">UNDIVIDED</w:t>
      </w:r>
    </w:p>
    <w:p>
      <w:pPr>
        <w:pStyle w:val="Title"/>
        <w:spacing w:after="100" w:before="200"/>
      </w:pPr>
      <w:r>
        <w:rPr>
          <w:color w:val="1C2224"/>
        </w:rPr>
        <w:t xml:space="preserve">Kinetic</w:t>
      </w:r>
    </w:p>
    <w:p>
      <w:pPr>
        <w:spacing w:after="300"/>
      </w:pPr>
      <w:r>
        <w:rPr>
          <w:i/>
          <w:iCs/>
          <w:color w:val="5F5E5A"/>
          <w:sz w:val="28"/>
          <w:szCs w:val="28"/>
        </w:rPr>
        <w:t xml:space="preserve">Undivided Potential — a thesis on mutualized economics and the re-pricing of real-world assets</w:t>
      </w:r>
    </w:p>
    <w:p>
      <w:pPr>
        <w:pBdr>
          <w:bottom w:val="single" w:color="B38E3D" w:sz="6"/>
        </w:pBdr>
        <w:spacing w:after="200" w:before="200"/>
      </w:pPr>
    </w:p>
    <w:p>
      <w:pPr>
        <w:spacing w:after="160" w:line="300"/>
      </w:pPr>
      <w:r>
        <w:rPr>
          <w:b w:val="false"/>
          <w:bCs w:val="false"/>
          <w:i w:val="false"/>
          <w:iCs w:val="false"/>
          <w:color w:val="1C2224"/>
          <w:sz w:val="22"/>
          <w:szCs w:val="22"/>
        </w:rPr>
        <w:t xml:space="preserve">Working draft v0.1 · July 2026 · Working title — naming under review</w:t>
      </w:r>
    </w:p>
    <w:p>
      <w:pPr>
        <w:spacing w:after="120" w:line="260"/>
      </w:pPr>
      <w:r>
        <w:rPr>
          <w:i/>
          <w:iCs/>
          <w:color w:val="5F5E5A"/>
          <w:sz w:val="18"/>
          <w:szCs w:val="18"/>
        </w:rPr>
        <w:t xml:space="preserve">Thought leadership. This document is not an offer to sell or a solicitation of an offer to buy any security. All bracketed figures are unverified placeholders and must be independently sourced before any client-facing use.</w:t>
      </w:r>
    </w:p>
    <w:p>
      <w:r>
        <w:br w:type="page"/>
      </w:r>
    </w:p>
    <w:p>
      <w:pPr>
        <w:pStyle w:val="Heading1"/>
        <w:spacing w:after="200" w:before="400"/>
      </w:pPr>
      <w:r>
        <w:rPr>
          <w:color w:val="1C22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color w:val="1C2224"/>
        </w:rPr>
        <w:t xml:space="preserve">Executive summary</w:t>
      </w:r>
    </w:p>
    <w:p>
      <w:pPr>
        <w:spacing w:after="160" w:line="300"/>
      </w:pPr>
      <w:r>
        <w:rPr>
          <w:b w:val="false"/>
          <w:bCs w:val="false"/>
          <w:i w:val="false"/>
          <w:iCs w:val="false"/>
          <w:color w:val="1C2224"/>
          <w:sz w:val="22"/>
          <w:szCs w:val="22"/>
        </w:rPr>
        <w:t xml:space="preserve">Real-world assets — real estate, energy, logistics, agriculture, infrastructure — are among the largest and least liquid asset classes on earth. Much of their value is trapped: not because the assets are unsound, but because the administrative layer around them cannot be continuously proven. Markets respond by pricing information asymmetry into every credit spread and every illiquidity discount.</w:t>
      </w:r>
    </w:p>
    <w:p>
      <w:pPr>
        <w:spacing w:after="160" w:line="300"/>
      </w:pPr>
      <w:r>
        <w:rPr>
          <w:b w:val="false"/>
          <w:bCs w:val="false"/>
          <w:i w:val="false"/>
          <w:iCs w:val="false"/>
          <w:color w:val="1C2224"/>
          <w:sz w:val="22"/>
          <w:szCs w:val="22"/>
        </w:rPr>
        <w:t xml:space="preserve">This thesis argues that when an asset's administrative reality is made continuous, verifiable, and computable, that asymmetry collapses — and the asset re-prices. The spread between administratively opaque and continuously provable is the return. It is structural, not speculative, and uncorrelated to conventional market beta.</w:t>
      </w:r>
    </w:p>
    <w:p>
      <w:pPr>
        <w:spacing w:after="160" w:line="300"/>
      </w:pPr>
      <w:r>
        <w:rPr>
          <w:b w:val="false"/>
          <w:bCs w:val="false"/>
          <w:i w:val="false"/>
          <w:iCs w:val="false"/>
          <w:color w:val="1C2224"/>
          <w:sz w:val="22"/>
          <w:szCs w:val="22"/>
        </w:rPr>
        <w:t xml:space="preserve">The argument follows one arc, in three stages: trapped value (potential), risk removed through proof (the conversion), and three layers made one (kinetic, sustained). Undivided's role is the integration: a strategy and origination layer operating on the Conduit substrate, with a capital stack deployed through it.</w:t>
      </w:r>
    </w:p>
    <w:p>
      <w:pPr>
        <w:pBdr>
          <w:bottom w:val="single" w:color="B38E3D" w:sz="6"/>
        </w:pBdr>
        <w:spacing w:after="200" w:before="200"/>
      </w:pPr>
    </w:p>
    <w:p>
      <w:pPr>
        <w:pStyle w:val="Heading1"/>
        <w:spacing w:after="200" w:before="400"/>
      </w:pPr>
      <w:r>
        <w:rPr>
          <w:color w:val="1C2224"/>
        </w:rPr>
        <w:t xml:space="preserve">1. Releasing trapped value (Potential)</w:t>
      </w:r>
    </w:p>
    <w:p>
      <w:pPr>
        <w:spacing w:after="160" w:line="300"/>
      </w:pPr>
      <w:r>
        <w:rPr>
          <w:b w:val="false"/>
          <w:bCs w:val="false"/>
          <w:i w:val="false"/>
          <w:iCs w:val="false"/>
          <w:color w:val="1C2224"/>
          <w:sz w:val="22"/>
          <w:szCs w:val="22"/>
        </w:rPr>
        <w:t xml:space="preserve">Most portfolios rest on a return profile that has quietly stopped working. Capital is trapped as working capital. Credit risk is priced into every position. Returns are correlated to the same macro factors everyone else holds, so diversification is nominal rather than real.</w:t>
      </w:r>
    </w:p>
    <w:p>
      <w:pPr>
        <w:spacing w:after="160" w:line="300"/>
      </w:pPr>
      <w:r>
        <w:rPr>
          <w:b w:val="false"/>
          <w:bCs w:val="false"/>
          <w:i w:val="false"/>
          <w:iCs w:val="false"/>
          <w:color w:val="1C2224"/>
          <w:sz w:val="22"/>
          <w:szCs w:val="22"/>
        </w:rPr>
        <w:t xml:space="preserve">The deepest inefficiency sits in real-world assets. They are real, income-producing, and structurally sound — yet they remain stuck, because ownership records are incomplete, encumbrances are unclear, and rights are entangled with obligations in ways no third party can verify at speed. The asset is sound; the paperwork is the liability. Serious capital will not touch it at velocity, and so the value sits — stored, waiting, doing no work.</w:t>
      </w:r>
    </w:p>
    <w:p>
      <w:pPr>
        <w:spacing w:after="160" w:line="300"/>
      </w:pPr>
      <w:r>
        <w:rPr>
          <w:b w:val="false"/>
          <w:bCs w:val="false"/>
          <w:i w:val="false"/>
          <w:iCs w:val="false"/>
          <w:color w:val="1C2224"/>
          <w:sz w:val="22"/>
          <w:szCs w:val="22"/>
        </w:rPr>
        <w:t xml:space="preserve">That stuck value is potential energy. This thesis is about converting it into motion.</w:t>
      </w:r>
    </w:p>
    <w:p>
      <w:pPr>
        <w:pStyle w:val="Heading1"/>
        <w:spacing w:after="200" w:before="400"/>
      </w:pPr>
      <w:r>
        <w:rPr>
          <w:color w:val="1C2224"/>
        </w:rPr>
        <w:t xml:space="preserve">2. Risk removed through proof (the conversion)</w:t>
      </w:r>
    </w:p>
    <w:p>
      <w:pPr>
        <w:spacing w:after="160" w:line="300"/>
      </w:pPr>
      <w:r>
        <w:rPr>
          <w:b w:val="false"/>
          <w:bCs w:val="false"/>
          <w:i w:val="false"/>
          <w:iCs w:val="false"/>
          <w:color w:val="1C2224"/>
          <w:sz w:val="22"/>
          <w:szCs w:val="22"/>
        </w:rPr>
        <w:t xml:space="preserve">The reason those assets are mispriced is information asymmetry: no one can continuously prove what an asset is, who holds which rights to it, and what it is producing. The market charges a premium for that uncertainty on every credit spread and every illiquidity discount.</w:t>
      </w:r>
    </w:p>
    <w:p>
      <w:pPr>
        <w:pStyle w:val="Heading2"/>
        <w:spacing w:after="160" w:before="300"/>
      </w:pPr>
      <w:r>
        <w:rPr>
          <w:color w:val="1C2224"/>
        </w:rPr>
        <w:t xml:space="preserve">Synchronized accounting: audit once, prove many</w:t>
      </w:r>
    </w:p>
    <w:p>
      <w:pPr>
        <w:spacing w:after="160" w:line="300"/>
      </w:pPr>
      <w:r>
        <w:rPr>
          <w:b w:val="false"/>
          <w:bCs w:val="false"/>
          <w:i w:val="false"/>
          <w:iCs w:val="false"/>
          <w:color w:val="1C2224"/>
          <w:sz w:val="22"/>
          <w:szCs w:val="22"/>
        </w:rPr>
        <w:t xml:space="preserve">The conversion mechanism is a synchronized-accounting layer in which a single computable event projects atomically onto five peer surfaces — legal, identity, accounting and asset registry, payment, and risk. The books, the register, rights transfers, settlement, and the live risk state are always in agreement because they are projections of one event, not separate records reconciled after the fact.</w:t>
      </w:r>
    </w:p>
    <w:p>
      <w:pPr>
        <w:spacing w:after="160" w:line="300"/>
      </w:pPr>
      <w:r>
        <w:rPr>
          <w:b w:val="false"/>
          <w:bCs w:val="false"/>
          <w:i w:val="false"/>
          <w:iCs w:val="false"/>
          <w:color w:val="1C2224"/>
          <w:sz w:val="22"/>
          <w:szCs w:val="22"/>
        </w:rPr>
        <w:t xml:space="preserve">Assurance inverts: instead of sampling transactions after the fact, the computable logic is certified once up front and then runs, continuously provable, across every transaction it governs. When state becomes continuously provable, the asymmetry premium has nothing left to price — and markets that have embedded that premium into spreads and discounts can re-price as the asymmetry closes. That re-pricing is the return engine. The risk is reduced, not repackaged, because the fund removes the informational cause of the premium rather than absorbing hidden exposure.</w:t>
      </w:r>
    </w:p>
    <w:p>
      <w:pPr>
        <w:pStyle w:val="Heading2"/>
        <w:spacing w:after="160" w:before="300"/>
      </w:pPr>
      <w:r>
        <w:rPr>
          <w:color w:val="1C2224"/>
        </w:rPr>
        <w:t xml:space="preserve">How it lands on the balance sheet</w:t>
      </w:r>
    </w:p>
    <w:p>
      <w:pPr>
        <w:spacing w:after="160" w:line="300"/>
      </w:pPr>
      <w:r>
        <w:rPr>
          <w:b w:val="false"/>
          <w:bCs w:val="false"/>
          <w:i w:val="false"/>
          <w:iCs w:val="false"/>
          <w:color w:val="1C2224"/>
          <w:sz w:val="22"/>
          <w:szCs w:val="22"/>
        </w:rPr>
        <w:t xml:space="preserve">The re-rated assets arrive as a new, non-correlated asset class through well-understood legal machinery: assets held in trust and monetized through a convertible instrument that sits inside the existing asset-backed-securities framework. Nothing about the instrument is legally exotic. What is novel is the operational layer beneath it — synchronized accounting, the digital twin, and on-demand tokenization — which makes the underlying claim continuously verifiable in a way conventional ABS cannot match.</w:t>
      </w:r>
    </w:p>
    <w:p>
      <w:pPr>
        <w:spacing w:after="160" w:line="300"/>
      </w:pPr>
      <w:r>
        <w:rPr>
          <w:b w:val="false"/>
          <w:bCs w:val="false"/>
          <w:i w:val="false"/>
          <w:iCs w:val="false"/>
          <w:color w:val="1C2224"/>
          <w:sz w:val="22"/>
          <w:szCs w:val="22"/>
        </w:rPr>
        <w:t xml:space="preserve">The analog is deliberate: this is what a commercial bank's structured-finance group does — originate, package, and distribute — except the underlying is a debt-free, trust-held, income-producing real-world asset carrying a 110% asset-backing floor. The holder's value derives from the asset's own productive output and the closing of its administrative asymmetry, not from market beta.</w:t>
      </w:r>
    </w:p>
    <w:p>
      <w:pPr>
        <w:pStyle w:val="Heading2"/>
        <w:spacing w:after="160" w:before="300"/>
      </w:pPr>
      <w:r>
        <w:rPr>
          <w:color w:val="1C2224"/>
        </w:rPr>
        <w:t xml:space="preserve">Underwritten the way allocators already underwrite</w:t>
      </w:r>
    </w:p>
    <w:p>
      <w:pPr>
        <w:spacing w:after="160" w:line="300"/>
      </w:pPr>
      <w:r>
        <w:rPr>
          <w:b w:val="false"/>
          <w:bCs w:val="false"/>
          <w:i w:val="false"/>
          <w:iCs w:val="false"/>
          <w:color w:val="1C2224"/>
          <w:sz w:val="22"/>
          <w:szCs w:val="22"/>
        </w:rPr>
        <w:t xml:space="preserve">Returns are modeled on a discounted-cash-flow basis: each asset's yield is valued at NPV under an explicit discount-factor mechanism [Discount Factor ~48 at 10% growth / 25% risk over a 25-year horizon — re-source before client use]. Cost reduction and yield accrue together, because the same mechanism that removes asymmetry also lowers the cost of administering the asset. Freed working capital recycles into the next cycle; cycle velocity, not per-cycle margin, is the primary driver of return on capital. This is a DCF story with a structural tailwind, not a momentum story.</w:t>
      </w:r>
    </w:p>
    <w:p>
      <w:pPr>
        <w:pStyle w:val="Heading1"/>
        <w:spacing w:after="200" w:before="400"/>
      </w:pPr>
      <w:r>
        <w:rPr>
          <w:color w:val="1C2224"/>
        </w:rPr>
        <w:t xml:space="preserve">3. Three layers made one (Kinetic, sustained)</w:t>
      </w:r>
    </w:p>
    <w:p>
      <w:pPr>
        <w:spacing w:after="160" w:line="300"/>
      </w:pPr>
      <w:r>
        <w:rPr>
          <w:b w:val="false"/>
          <w:bCs w:val="false"/>
          <w:i w:val="false"/>
          <w:iCs w:val="false"/>
          <w:color w:val="1C2224"/>
          <w:sz w:val="22"/>
          <w:szCs w:val="22"/>
        </w:rPr>
        <w:t xml:space="preserve">A single re-rating is a trade. A machine that produces re-ratings repeatedly is a fund. What makes this repeatable is the integration of three layers into one flow:</w:t>
      </w:r>
    </w:p>
    <w:p>
      <w:pPr>
        <w:pStyle w:val="ListParagraph"/>
        <w:numPr>
          <w:ilvl w:val="0"/>
          <w:numId w:val="2"/>
        </w:numPr>
        <w:spacing w:after="100" w:line="280"/>
      </w:pPr>
      <w:r>
        <w:rPr>
          <w:color w:val="1C2224"/>
          <w:sz w:val="22"/>
          <w:szCs w:val="22"/>
        </w:rPr>
        <w:t xml:space="preserve">The substrate (Layer 0). Conduit's core services: distributed authority mapped into the ledger; computable contracts — a superset of smart contracts that separate rights from obligations on a temporal ledger; and reality-mirroring digital twins that record encumbrances before tokenization and materialize tradable claims on demand. Its authors describe it as an open, network-wide security infrastructure that was missing from the original design of the internet — the substance behind the claim that Conduit is to commerce what TCP/IP was to the internet.</w:t>
      </w:r>
    </w:p>
    <w:p>
      <w:pPr>
        <w:pStyle w:val="ListParagraph"/>
        <w:numPr>
          <w:ilvl w:val="0"/>
          <w:numId w:val="2"/>
        </w:numPr>
        <w:spacing w:after="100" w:line="280"/>
      </w:pPr>
      <w:r>
        <w:rPr>
          <w:color w:val="1C2224"/>
          <w:sz w:val="22"/>
          <w:szCs w:val="22"/>
        </w:rPr>
        <w:t xml:space="preserve">The capital stack, deployed through the substrate. The trust and bond vehicle, DCF reward economics, and the asset-backing floor — capital that moves natively through the provable layer rather than sitting beside it.</w:t>
      </w:r>
    </w:p>
    <w:p>
      <w:pPr>
        <w:pStyle w:val="ListParagraph"/>
        <w:numPr>
          <w:ilvl w:val="0"/>
          <w:numId w:val="2"/>
        </w:numPr>
        <w:spacing w:after="100" w:line="280"/>
      </w:pPr>
      <w:r>
        <w:rPr>
          <w:color w:val="1C2224"/>
          <w:sz w:val="22"/>
          <w:szCs w:val="22"/>
        </w:rPr>
        <w:t xml:space="preserve">The business-development engine. Origination of real-world assets into the stack: the motion that keeps the flywheel turning.</w:t>
      </w:r>
    </w:p>
    <w:p>
      <w:pPr>
        <w:spacing w:after="160" w:line="300"/>
      </w:pPr>
      <w:r>
        <w:rPr>
          <w:b w:val="false"/>
          <w:bCs w:val="false"/>
          <w:i w:val="false"/>
          <w:iCs w:val="false"/>
          <w:color w:val="1C2224"/>
          <w:sz w:val="22"/>
          <w:szCs w:val="22"/>
        </w:rPr>
        <w:t xml:space="preserve">Undivided operates this integration — a Layer 1 on Conduit's Layer 0, with a capital stack deployed through it. That seam is the innovation and the moat. A competitor cannot reach continuously provable state by bolting tokenization onto conventional records; provability must be designed in from the substrate up, and the origination engine must be built alongside it.</w:t>
      </w:r>
    </w:p>
    <w:p>
      <w:pPr>
        <w:pStyle w:val="Heading2"/>
        <w:spacing w:after="160" w:before="300"/>
      </w:pPr>
      <w:r>
        <w:rPr>
          <w:color w:val="1C2224"/>
        </w:rPr>
        <w:t xml:space="preserve">The flywheel</w:t>
      </w:r>
    </w:p>
    <w:p>
      <w:pPr>
        <w:spacing w:after="160" w:line="300"/>
      </w:pPr>
      <w:r>
        <w:rPr>
          <w:b w:val="false"/>
          <w:bCs w:val="false"/>
          <w:i w:val="false"/>
          <w:iCs w:val="false"/>
          <w:color w:val="1C2224"/>
          <w:sz w:val="22"/>
          <w:szCs w:val="22"/>
        </w:rPr>
        <w:t xml:space="preserve">Value compounds through three coordinated vehicles. The organiser (CDM) turns messy real-world assets into clean, verified computable assets. The banker (MS) packages those assets into bonds for institutional capital — fifty years of securitization practice applied to a new underlying. The demand engine (MRN) brings everyday participants in, converting rewards into real ownership. Each vehicle's output is the next vehicle's input, and demand pulls more assets into computable form — closing the loop. Alignment across the three is structural, not negotiated: every treasury holds all three of the system's tokens.</w:t>
      </w:r>
    </w:p>
    <w:p>
      <w:pPr>
        <w:pStyle w:val="Heading2"/>
        <w:spacing w:after="160" w:before="300"/>
      </w:pPr>
      <w:r>
        <w:rPr>
          <w:color w:val="1C2224"/>
        </w:rPr>
        <w:t xml:space="preserve">Why now</w:t>
      </w:r>
    </w:p>
    <w:p>
      <w:pPr>
        <w:spacing w:after="160" w:line="300"/>
      </w:pPr>
      <w:r>
        <w:rPr>
          <w:b w:val="false"/>
          <w:bCs w:val="false"/>
          <w:i w:val="false"/>
          <w:iCs w:val="false"/>
          <w:color w:val="1C2224"/>
          <w:sz w:val="22"/>
          <w:szCs w:val="22"/>
        </w:rPr>
        <w:t xml:space="preserve">The 2025 Nobel work on innovation-driven growth framed value captured in opaque economic structures that stall the feedback loop between capital and productivity. The system described here is one operational answer: re-opening trapped real-world value by making it legible.</w:t>
      </w:r>
    </w:p>
    <w:p>
      <w:pPr>
        <w:pStyle w:val="Heading1"/>
        <w:spacing w:after="200" w:before="400"/>
      </w:pPr>
      <w:r>
        <w:rPr>
          <w:color w:val="1C2224"/>
        </w:rPr>
        <w:t xml:space="preserve">4. Engagement: choose your on-ramp</w:t>
      </w:r>
    </w:p>
    <w:p>
      <w:pPr>
        <w:spacing w:after="160" w:line="300"/>
      </w:pPr>
      <w:r>
        <w:rPr>
          <w:b w:val="false"/>
          <w:bCs w:val="false"/>
          <w:i w:val="false"/>
          <w:iCs w:val="false"/>
          <w:color w:val="1C2224"/>
          <w:sz w:val="22"/>
          <w:szCs w:val="22"/>
        </w:rPr>
        <w:t xml:space="preserve">The strategy converges regardless of entry point.</w:t>
      </w:r>
    </w:p>
    <w:p>
      <w:pPr>
        <w:pStyle w:val="ListParagraph"/>
        <w:numPr>
          <w:ilvl w:val="0"/>
          <w:numId w:val="2"/>
        </w:numPr>
        <w:spacing w:after="100" w:line="280"/>
      </w:pPr>
      <w:r>
        <w:rPr>
          <w:color w:val="1C2224"/>
          <w:sz w:val="22"/>
          <w:szCs w:val="22"/>
        </w:rPr>
        <w:t xml:space="preserve">Family offices and diversified allocators enter at Story 1: a non-correlated, income-producing real-world-asset sleeve — debt-free, trust-held, asset-backed, DCF-underwritten.</w:t>
      </w:r>
    </w:p>
    <w:p>
      <w:pPr>
        <w:pStyle w:val="ListParagraph"/>
        <w:numPr>
          <w:ilvl w:val="0"/>
          <w:numId w:val="2"/>
        </w:numPr>
        <w:spacing w:after="100" w:line="280"/>
      </w:pPr>
      <w:r>
        <w:rPr>
          <w:color w:val="1C2224"/>
          <w:sz w:val="22"/>
          <w:szCs w:val="22"/>
        </w:rPr>
        <w:t xml:space="preserve">Institutional and pre-IPO capital enters at Story 3: an origination engine that scales like a structured-finance platform, with a conventional path to listing.</w:t>
      </w:r>
    </w:p>
    <w:p>
      <w:pPr>
        <w:pStyle w:val="ListParagraph"/>
        <w:numPr>
          <w:ilvl w:val="0"/>
          <w:numId w:val="2"/>
        </w:numPr>
        <w:spacing w:after="100" w:line="280"/>
      </w:pPr>
      <w:r>
        <w:rPr>
          <w:color w:val="1C2224"/>
          <w:sz w:val="22"/>
          <w:szCs w:val="22"/>
        </w:rPr>
        <w:t xml:space="preserve">Sovereign and development-linked mandates enter at Story 3 through a societal lens: the same substrate underwriting productive-economy formation at national scale, returns tied to real economic activity.</w:t>
      </w:r>
    </w:p>
    <w:p>
      <w:pPr>
        <w:spacing w:after="160" w:line="300"/>
      </w:pPr>
      <w:r>
        <w:rPr>
          <w:b w:val="false"/>
          <w:bCs w:val="false"/>
          <w:i w:val="false"/>
          <w:iCs w:val="false"/>
          <w:color w:val="1C2224"/>
          <w:sz w:val="22"/>
          <w:szCs w:val="22"/>
        </w:rPr>
        <w:t xml:space="preserve">Specific terms, sizing, and structure are engagement-specific and deliberately absent from this document.</w:t>
      </w:r>
    </w:p>
    <w:p>
      <w:r>
        <w:br w:type="page"/>
      </w:r>
    </w:p>
    <w:p>
      <w:pPr>
        <w:pStyle w:val="Heading1"/>
        <w:spacing w:after="200" w:before="400"/>
      </w:pPr>
      <w:r>
        <w:rPr>
          <w:color w:val="1C2224"/>
        </w:rPr>
        <w:t xml:space="preserve">Appendix A — Technical companion (token economics)</w:t>
      </w:r>
    </w:p>
    <w:p>
      <w:pPr>
        <w:spacing w:after="120" w:line="260"/>
      </w:pPr>
      <w:r>
        <w:rPr>
          <w:i/>
          <w:iCs/>
          <w:color w:val="5F5E5A"/>
          <w:sz w:val="18"/>
          <w:szCs w:val="18"/>
        </w:rPr>
        <w:t xml:space="preserve">Audience-gated: for institutional and technically sophisticated readers. Per the corpus's brand-voice standard, token-forward framing is not used in participant-facing or conservative-allocator-facing contexts.</w:t>
      </w:r>
    </w:p>
    <w:p>
      <w:pPr>
        <w:pStyle w:val="Heading2"/>
        <w:spacing w:after="160" w:before="300"/>
      </w:pPr>
      <w:r>
        <w:rPr>
          <w:color w:val="1C2224"/>
        </w:rPr>
        <w:t xml:space="preserve">Proof of Economic Activity</w:t>
      </w:r>
    </w:p>
    <w:p>
      <w:pPr>
        <w:spacing w:after="160" w:line="300"/>
      </w:pPr>
      <w:r>
        <w:rPr>
          <w:b w:val="false"/>
          <w:bCs w:val="false"/>
          <w:i w:val="false"/>
          <w:iCs w:val="false"/>
          <w:color w:val="1C2224"/>
          <w:sz w:val="22"/>
          <w:szCs w:val="22"/>
        </w:rPr>
        <w:t xml:space="preserve">The substrate's consensus mechanism, Proof of Economic Activity (PoEA), mines against economic contribution rather than computation. There is no mining race: each party mines on its own distributed ledger, with blocks validated by registry nodes. Issuance is triggered by contribution thresholds attached to real transactions, so token creation tracks real economic activity — a proxy for GDP. Confirmation takes roughly one second versus Bitcoin's ten minutes, at approximately [78 kWh per token versus 143,000+ — verify], an energy differential of three orders of magnitude.</w:t>
      </w:r>
    </w:p>
    <w:p>
      <w:pPr>
        <w:pStyle w:val="Heading2"/>
        <w:spacing w:after="160" w:before="300"/>
      </w:pPr>
      <w:r>
        <w:rPr>
          <w:color w:val="1C2224"/>
        </w:rPr>
        <w:t xml:space="preserve">The three-token loop</w:t>
      </w:r>
    </w:p>
    <w:p>
      <w:pPr>
        <w:pStyle w:val="ListParagraph"/>
        <w:numPr>
          <w:ilvl w:val="0"/>
          <w:numId w:val="2"/>
        </w:numPr>
        <w:spacing w:after="100" w:line="280"/>
      </w:pPr>
      <w:r>
        <w:rPr>
          <w:color w:val="1C2224"/>
          <w:sz w:val="22"/>
          <w:szCs w:val="22"/>
        </w:rPr>
        <w:t xml:space="preserve">CNDT — asset-backed IP token; fixed maximum supply of 1,006,632,960; mined by PoEA across 60 phases; burned to pay IP fees, creating a deflationary floor.</w:t>
      </w:r>
    </w:p>
    <w:p>
      <w:pPr>
        <w:pStyle w:val="ListParagraph"/>
        <w:numPr>
          <w:ilvl w:val="0"/>
          <w:numId w:val="2"/>
        </w:numPr>
        <w:spacing w:after="100" w:line="280"/>
      </w:pPr>
      <w:r>
        <w:rPr>
          <w:color w:val="1C2224"/>
          <w:sz w:val="22"/>
          <w:szCs w:val="22"/>
        </w:rPr>
        <w:t xml:space="preserve">SWCx — option and governance token; PoEA-mined; burned for Squares or, together with CNDT, to mint MDPN.</w:t>
      </w:r>
    </w:p>
    <w:p>
      <w:pPr>
        <w:pStyle w:val="ListParagraph"/>
        <w:numPr>
          <w:ilvl w:val="0"/>
          <w:numId w:val="2"/>
        </w:numPr>
        <w:spacing w:after="100" w:line="280"/>
      </w:pPr>
      <w:r>
        <w:rPr>
          <w:color w:val="1C2224"/>
          <w:sz w:val="22"/>
          <w:szCs w:val="22"/>
        </w:rPr>
        <w:t xml:space="preserve">MDPN — universal settlement currency; minted only by burning CNDT and SWCx.</w:t>
      </w:r>
    </w:p>
    <w:p>
      <w:pPr>
        <w:spacing w:after="160" w:line="300"/>
      </w:pPr>
      <w:r>
        <w:rPr>
          <w:b w:val="false"/>
          <w:bCs w:val="false"/>
          <w:i w:val="false"/>
          <w:iCs w:val="false"/>
          <w:color w:val="1C2224"/>
          <w:sz w:val="22"/>
          <w:szCs w:val="22"/>
        </w:rPr>
        <w:t xml:space="preserve">Terminology preserved from source: Square minting is governed by Proof of Economic Growth (PoEG), a high-water-mark mechanism distinct from PoEA.</w:t>
      </w:r>
    </w:p>
    <w:p>
      <w:pPr>
        <w:pStyle w:val="Heading2"/>
        <w:spacing w:after="160" w:before="300"/>
      </w:pPr>
      <w:r>
        <w:rPr>
          <w:color w:val="1C2224"/>
        </w:rPr>
        <w:t xml:space="preserve">Two return modes</w:t>
      </w:r>
    </w:p>
    <w:p>
      <w:pPr>
        <w:spacing w:after="160" w:line="300"/>
      </w:pPr>
      <w:r>
        <w:rPr>
          <w:b w:val="false"/>
          <w:bCs w:val="false"/>
          <w:i w:val="false"/>
          <w:iCs w:val="false"/>
          <w:color w:val="1C2224"/>
          <w:sz w:val="22"/>
          <w:szCs w:val="22"/>
        </w:rPr>
        <w:t xml:space="preserve">Fund exposure is structured so that conventional asset returns underwrite the position (the whole of the main document), while substrate-token treasury appreciation is a non-correlated overlay driven by network economic throughput. The token layer is never the underwriting basis.</w:t>
      </w:r>
    </w:p>
    <w:p>
      <w:r>
        <w:br w:type="page"/>
      </w:r>
    </w:p>
    <w:p>
      <w:pPr>
        <w:pStyle w:val="Heading1"/>
        <w:spacing w:after="200" w:before="400"/>
      </w:pPr>
      <w:r>
        <w:rPr>
          <w:color w:val="1C2224"/>
        </w:rPr>
        <w:t xml:space="preserve">Appendix B — Attribution and sources</w:t>
      </w:r>
    </w:p>
    <w:p>
      <w:pPr>
        <w:spacing w:after="160" w:line="300"/>
      </w:pPr>
      <w:r>
        <w:rPr>
          <w:b w:val="false"/>
          <w:bCs w:val="false"/>
          <w:i w:val="false"/>
          <w:iCs w:val="false"/>
          <w:color w:val="1C2224"/>
          <w:sz w:val="22"/>
          <w:szCs w:val="22"/>
        </w:rPr>
        <w:t xml:space="preserve">Undivided is a practitioner and synthesizer of the framework described here, not its originator. The substrate intellectual property belongs to its authors and is cited, never claimed:</w:t>
      </w:r>
    </w:p>
    <w:p>
      <w:pPr>
        <w:pStyle w:val="ListParagraph"/>
        <w:numPr>
          <w:ilvl w:val="0"/>
          <w:numId w:val="2"/>
        </w:numPr>
        <w:spacing w:after="100" w:line="280"/>
      </w:pPr>
      <w:r>
        <w:rPr>
          <w:color w:val="1C2224"/>
          <w:sz w:val="22"/>
          <w:szCs w:val="22"/>
        </w:rPr>
        <w:t xml:space="preserve">Mutualized Rewards foundational framework — Scott Nelson (2022).</w:t>
      </w:r>
    </w:p>
    <w:p>
      <w:pPr>
        <w:pStyle w:val="ListParagraph"/>
        <w:numPr>
          <w:ilvl w:val="0"/>
          <w:numId w:val="2"/>
        </w:numPr>
        <w:spacing w:after="100" w:line="280"/>
      </w:pPr>
      <w:r>
        <w:rPr>
          <w:color w:val="1C2224"/>
          <w:sz w:val="22"/>
          <w:szCs w:val="22"/>
        </w:rPr>
        <w:t xml:space="preserve">Mutualized Assets, trust structures, and asset-bond constructs — Scott Nelson.</w:t>
      </w:r>
    </w:p>
    <w:p>
      <w:pPr>
        <w:pStyle w:val="ListParagraph"/>
        <w:numPr>
          <w:ilvl w:val="0"/>
          <w:numId w:val="2"/>
        </w:numPr>
        <w:spacing w:after="100" w:line="280"/>
      </w:pPr>
      <w:r>
        <w:rPr>
          <w:color w:val="1C2224"/>
          <w:sz w:val="22"/>
          <w:szCs w:val="22"/>
        </w:rPr>
        <w:t xml:space="preserve">Synchronized Accounting (v2.0) — Scott Nelson.</w:t>
      </w:r>
    </w:p>
    <w:p>
      <w:pPr>
        <w:pStyle w:val="ListParagraph"/>
        <w:numPr>
          <w:ilvl w:val="0"/>
          <w:numId w:val="2"/>
        </w:numPr>
        <w:spacing w:after="100" w:line="280"/>
      </w:pPr>
      <w:r>
        <w:rPr>
          <w:color w:val="1C2224"/>
          <w:sz w:val="22"/>
          <w:szCs w:val="22"/>
        </w:rPr>
        <w:t xml:space="preserve">CNDT, SWCx, and MDPN token architectures — Scott Nelson.</w:t>
      </w:r>
    </w:p>
    <w:p>
      <w:pPr>
        <w:pStyle w:val="ListParagraph"/>
        <w:numPr>
          <w:ilvl w:val="0"/>
          <w:numId w:val="2"/>
        </w:numPr>
        <w:spacing w:after="100" w:line="280"/>
      </w:pPr>
      <w:r>
        <w:rPr>
          <w:color w:val="1C2224"/>
          <w:sz w:val="22"/>
          <w:szCs w:val="22"/>
        </w:rPr>
        <w:t xml:space="preserve">Conduit core services, hardware, and reward-system architecture — Conduit Network (2024).</w:t>
      </w:r>
    </w:p>
    <w:p>
      <w:pPr>
        <w:pStyle w:val="ListParagraph"/>
        <w:numPr>
          <w:ilvl w:val="0"/>
          <w:numId w:val="2"/>
        </w:numPr>
        <w:spacing w:after="100" w:line="280"/>
      </w:pPr>
      <w:r>
        <w:rPr>
          <w:color w:val="1C2224"/>
          <w:sz w:val="22"/>
          <w:szCs w:val="22"/>
        </w:rPr>
        <w:t xml:space="preserve">Real-estate tokenization framework — Michael Hiles and Scott Nelson.</w:t>
      </w:r>
    </w:p>
    <w:p>
      <w:pPr>
        <w:pStyle w:val="ListParagraph"/>
        <w:numPr>
          <w:ilvl w:val="0"/>
          <w:numId w:val="2"/>
        </w:numPr>
        <w:spacing w:after="100" w:line="280"/>
      </w:pPr>
      <w:r>
        <w:rPr>
          <w:color w:val="1C2224"/>
          <w:sz w:val="22"/>
          <w:szCs w:val="22"/>
        </w:rPr>
        <w:t xml:space="preserve">The Accord — Sweetbridge (Accord v4).</w:t>
      </w:r>
    </w:p>
    <w:p>
      <w:pPr>
        <w:spacing w:after="160" w:line="300"/>
      </w:pPr>
      <w:r>
        <w:rPr>
          <w:b w:val="false"/>
          <w:bCs w:val="false"/>
          <w:i w:val="false"/>
          <w:iCs w:val="false"/>
          <w:color w:val="1C2224"/>
          <w:sz w:val="22"/>
          <w:szCs w:val="22"/>
        </w:rPr>
        <w:t xml:space="preserve">Undivided's ownable contribution is the fund strategy, the synthesis, the three-story arc, and the Layer 1 integration — the seam where substrate, capital stack, and origination engine meet.</w:t>
      </w:r>
    </w:p>
    <w:p>
      <w:pPr>
        <w:pBdr>
          <w:bottom w:val="single" w:color="B38E3D" w:sz="6"/>
        </w:pBdr>
        <w:spacing w:after="200" w:before="200"/>
      </w:pPr>
    </w:p>
    <w:p>
      <w:pPr>
        <w:pStyle w:val="Heading2"/>
        <w:spacing w:after="160" w:before="300"/>
      </w:pPr>
      <w:r>
        <w:rPr>
          <w:color w:val="1C2224"/>
        </w:rPr>
        <w:t xml:space="preserve">Important notices</w:t>
      </w:r>
    </w:p>
    <w:p>
      <w:pPr>
        <w:spacing w:after="120" w:line="260"/>
      </w:pPr>
      <w:r>
        <w:rPr>
          <w:i/>
          <w:iCs/>
          <w:color w:val="5F5E5A"/>
          <w:sz w:val="18"/>
          <w:szCs w:val="18"/>
        </w:rPr>
        <w:t xml:space="preserve">This document is thought leadership and general information. It is not an offer to sell, or a solicitation of an offer to buy, any security or investment product, and it does not constitute investment, legal, accounting, or tax advice. Any investment vehicle referenced conceptually herein would be offered only through definitive offering documents to eligible investors. Figures in brackets are unverified placeholders drawn from source materials and must be independently verified before any client-facing use. Statements about technology and economic mechanisms summarize third-party source documents and have not been independently audited. Prospective participants should conduct their own diligence and consult their own advisors.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22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C2224"/>
      <w:sz w:val="34"/>
      <w:szCs w:val="34"/>
    </w:rPr>
  </w:style>
  <w:style w:type="paragraph" w:styleId="Heading2">
    <w:name w:val="Heading 2"/>
    <w:basedOn w:val="Normal"/>
    <w:next w:val="Normal"/>
    <w:qFormat/>
    <w:rPr>
      <w:rFonts w:ascii="Georgia" w:cs="Georgia" w:eastAsia="Georgia" w:hAnsi="Georgia"/>
      <w:b/>
      <w:bCs/>
      <w:color w:val="B38E3D"/>
      <w:sz w:val="27"/>
      <w:szCs w:val="27"/>
    </w:rPr>
  </w:style>
  <w:style w:type="paragraph" w:styleId="Title">
    <w:name w:val="Title"/>
    <w:basedOn w:val="Normal"/>
    <w:rPr>
      <w:rFonts w:ascii="Georgia" w:cs="Georgia" w:eastAsia="Georgia" w:hAnsi="Georgia"/>
      <w:b/>
      <w:bCs/>
      <w:color w:val="1C2224"/>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2026-07-07T20:36:00.095Z</dcterms:created>
  <dcterms:modified xsi:type="dcterms:W3CDTF">2026-07-07T20:36:00.096Z</dcterms:modified>
</cp:coreProperties>
</file>

<file path=docProps/custom.xml><?xml version="1.0" encoding="utf-8"?>
<Properties xmlns="http://schemas.openxmlformats.org/officeDocument/2006/custom-properties" xmlns:vt="http://schemas.openxmlformats.org/officeDocument/2006/docPropsVTypes"/>
</file>