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Заказ принимается как обычно, файлы, которые относятся к заказу должны быть скопированы на сервер в папку заказа.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2. Дальше заказ должен быть помечен для экспорта, указан получатель заказа.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Отметка ставится в модуле экспорта, заказы выбираются по штрих-коду, дальше выбирается получатель. В шапке заказа ставится признак, что заказ должен быть обработан роботом.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Можно в справочнике услуг добавить признак автоматического экспорта, если в заказе будет хотя бы одна такая услуга, то сразу после сохранения заказ помечается для экспорта, исполнителя-получателя этой услуги можно указывать так же в справочнике услуг.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Но вариант с автоматическим экспортом может вызвать проблемы в том, что что то забыли добавить в заказ, открывают его, а он уже экспортировался и встал в статус “экспортировано”, в котором запрещено любое измеение заказа.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3. С интервалом в 5-ть минут робот, запущенный на сервере делает поиск заказов, отмеченных для экспорта.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Справочник получателей представляет из себя набор адресов ftp серверов с конечной папкой, в которой создается папка заказа с некоторой заложенной структурой, на пример: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rtl w:val="0"/>
        </w:rPr>
        <w:t xml:space="preserve">ЦОП 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Папка получателя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↳ 0100001234512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Номер заказа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↳ print 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Папка с услугами для печати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↳ 10x15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Папка с файлами для услуги 10х15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↳ 15x20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Папка с файлами для услуги 15Х20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↳ sfp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Папка с файлами для услуги ШФП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↳ edit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Папка с услугами для обработки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↳ red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Папка с файлами для услуги удаление красных глаз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↳ retush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Папка с файлами для услуги ретушь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↳ 0100001234512.txt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Файл с комментариями и описанием услуг и файлов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↳ 0100001234512.export  </w:t>
      </w: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← файл с описанием заказа, который формируется сейчас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4. В модуле приемке добавляется журнал экспорта, что бы приемщики могли проконтролировать, что заказы, которые они отметили действительно отправились или находятся в процессе отправки.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5. Если требуется автоматический импорт заказов, то в справочник получателей необходимо добавить параметр “локальная папка”, из которой будут забираться заказы, если этот параметр не заполнен, то эти заказы не импортируются в PSA.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