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NewSystem — Detailed ERD &amp; Data Dictionary v1.0</w:t>
      </w:r>
    </w:p>
    <w:p>
      <w:r>
        <w:rPr>
          <w:b/>
        </w:rPr>
        <w:t>Reference:</w:t>
      </w:r>
      <w:r>
        <w:t xml:space="preserve"> NewSystem Master PRD v1.0 | </w:t>
      </w:r>
      <w:r>
        <w:rPr>
          <w:b/>
        </w:rPr>
        <w:t>Date:</w:t>
      </w:r>
      <w:r>
        <w:t xml:space="preserve"> 10 Oktober 2026 | </w:t>
      </w:r>
      <w:r>
        <w:rPr>
          <w:b/>
        </w:rPr>
        <w:t>Status:</w:t>
      </w:r>
      <w:r>
        <w:t xml:space="preserve"> Conceptual/logical schema, not production DDL.</w:t>
      </w:r>
    </w:p>
    <w:p>
      <w:pPr>
        <w:pStyle w:val="Heading2"/>
      </w:pPr>
      <w:r>
        <w:t>1. Architecture and non-negotiable invariants</w:t>
      </w:r>
    </w:p>
    <w:p>
      <w:r>
        <w:t>PostgreSQL modular-monolith baseline. Shared DB is not shared ownership: each domain owns writes. Cross-domain references use stable UUIDs and policy-checked API/query contracts; foreign keys are enforced inside ownership boundaries and cross-context references are checked at command layer or through replicated read models. Database physical schema, partitions, and accounting policy require technical review before migration.</w:t>
      </w:r>
    </w:p>
    <w:p>
      <w:r>
        <w:t>Every tenant business row carries tenant_id/organization_id (except global platform metadata); legal entity scope determines financial books and payroll; plant scope determines operations. Use bigint/numeric for monetary and quantity arithmetic, never binary floating point. Times stored UTC with explicit plant timezone. Include created_at, updated_at, created_by, row_version, source_system where applicable.</w:t>
      </w:r>
    </w:p>
    <w:p>
      <w:pPr>
        <w:pStyle w:val="Heading2"/>
      </w:pPr>
      <w:r>
        <w:t>2. Conceptual ER diagrams (editable Mermaid)</w:t>
      </w:r>
    </w:p>
    <w:p>
      <w:pPr>
        <w:pStyle w:val="Heading3"/>
      </w:pPr>
      <w:r>
        <w:t>ERD-01: Core</w:t>
      </w:r>
    </w:p>
    <w:p>
      <w:r>
        <w:drawing>
          <wp:inline xmlns:a="http://schemas.openxmlformats.org/drawingml/2006/main" xmlns:pic="http://schemas.openxmlformats.org/drawingml/2006/picture">
            <wp:extent cx="6035040" cy="2357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57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ERD-02: Crm To Erp</w:t>
      </w:r>
    </w:p>
    <w:p>
      <w:r>
        <w:drawing>
          <wp:inline xmlns:a="http://schemas.openxmlformats.org/drawingml/2006/main" xmlns:pic="http://schemas.openxmlformats.org/drawingml/2006/picture">
            <wp:extent cx="6035040" cy="3307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rm_to_er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07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ERD-03: Inventory</w:t>
      </w:r>
    </w:p>
    <w:p>
      <w:r>
        <w:drawing>
          <wp:inline xmlns:a="http://schemas.openxmlformats.org/drawingml/2006/main" xmlns:pic="http://schemas.openxmlformats.org/drawingml/2006/picture">
            <wp:extent cx="6035040" cy="3349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inven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4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ERD-04: Production Quality</w:t>
      </w:r>
    </w:p>
    <w:p>
      <w:r>
        <w:drawing>
          <wp:inline xmlns:a="http://schemas.openxmlformats.org/drawingml/2006/main" xmlns:pic="http://schemas.openxmlformats.org/drawingml/2006/picture">
            <wp:extent cx="6035040" cy="167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production_qua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ERD-05: Hris Finance</w:t>
      </w:r>
    </w:p>
    <w:p>
      <w:r>
        <w:drawing>
          <wp:inline xmlns:a="http://schemas.openxmlformats.org/drawingml/2006/main" xmlns:pic="http://schemas.openxmlformats.org/drawingml/2006/picture">
            <wp:extent cx="6035040" cy="40417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hris_fi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4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3"/>
      </w:pPr>
      <w:r>
        <w:t>ERD-06: Workspace Ai</w:t>
      </w:r>
    </w:p>
    <w:p>
      <w:r>
        <w:drawing>
          <wp:inline xmlns:a="http://schemas.openxmlformats.org/drawingml/2006/main" xmlns:pic="http://schemas.openxmlformats.org/drawingml/2006/picture">
            <wp:extent cx="6035040" cy="52162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workspace_a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21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Diagram preview — editable Mermaid source included in package.</w:t>
      </w:r>
    </w:p>
    <w:p>
      <w:pPr>
        <w:pStyle w:val="Heading2"/>
      </w:pPr>
      <w:r>
        <w:t>Context: CORE — Organization, roles and tenancy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Entity/table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Required fields (not exhaustive)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Key constraints and rules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organization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name,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UNIQUE(slug); tenant root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legal_entity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organization_id, company_name, currency, tax_country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FK organization; accounting boundary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plant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legal_entity_id, code, timezone, mode_config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UNIQUE(entity_id,code)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department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plant_id, parent_id, code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recursive tree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membership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organization_id, user_id, employment_ref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UNIQUE(org,user)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role_assignment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membership_id, role_id, scope_type, scope_id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scope-bound grants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permission_policy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organization_id, resource, action, rule_version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explicit deny overrides grants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module_entitlement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organization_id, module_code, plan_code, effective_from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dependency validation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audit_event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organization_id, actor_id, resource, action, occurred_at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append only</w:t>
            </w:r>
          </w:p>
        </w:tc>
      </w:tr>
    </w:tbl>
    <w:p>
      <w:pPr>
        <w:spacing w:after="20"/>
      </w:pPr>
    </w:p>
    <w:p>
      <w:pPr>
        <w:pStyle w:val="Heading2"/>
      </w:pPr>
      <w:r>
        <w:t>Context: CRM — Customer-to-order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Entity/table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Required fields (not exhaustive)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Key constraints and rules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customer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organization_id, legal_entity_id, account_code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tenant-scoped customer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contact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customer_id, email, role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PII access policy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lead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customer_id?, owner_id, source,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customer nullable until conversion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opportunity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customer_id, stage, amount, probability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pipeline stages versioned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quotation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customer_id, version, status, currency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immutable approved version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quotation_line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quotation_id, item_id, qty, unit_price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FK quotation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sales_order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quotation_id?, customer_id, entity_id, version,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 official number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sales_order_line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sales_order_id, item_id, qty, promised_date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allocation by line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customer_case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customer_id, order_ref?, status, severity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tickets and RMA link</w:t>
            </w:r>
          </w:p>
        </w:tc>
      </w:tr>
    </w:tbl>
    <w:p>
      <w:pPr>
        <w:spacing w:after="20"/>
      </w:pPr>
    </w:p>
    <w:p>
      <w:pPr>
        <w:pStyle w:val="Heading2"/>
      </w:pPr>
      <w:r>
        <w:t>Context: ERP — Planning, procurement and warehouse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Entity/table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Required fields (not exhaustive)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Key constraints and rules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item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organization_id, sku, kind, base_uom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 SKU tenant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item_uom_conversion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item_id, from_uom, to_uom, factor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factor &gt; 0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bom_version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item_id, version, status, effective_from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approved snapshot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bom_line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bom_version_id, component_item_id, qty, scrap_pct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qty &gt; 0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routing_version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item_id, version,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approved routing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routing_operation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routing_version_id, work_center_type, sequence, standard_time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 sequence by routing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warehouse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plant_id, code, type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UNIQUE(plant,code)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stock_lot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item_id, lot_no, expiry_at?, qms_status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expiry optional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stock_balance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warehouse_id, item_id, lot_id?, quantity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derived/materialized only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inventory_movement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tenant_id, item_id, lot_id?, from_location?, to_location?, qty, txn_id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append-only posted ledger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inventory_reservation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demand_ref, item_id, lot_id?, qty,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cannot exceed allocatable stock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purchase_request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entity_id, requestor,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approved policy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purchase_order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entity_id, supplier_id, status, version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official sequence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goods_receipt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purchase_order_id, warehouse_id, received_at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no stock until posted</w:t>
            </w:r>
          </w:p>
        </w:tc>
      </w:tr>
    </w:tbl>
    <w:p>
      <w:pPr>
        <w:spacing w:after="20"/>
      </w:pPr>
    </w:p>
    <w:p>
      <w:pPr>
        <w:pStyle w:val="Heading2"/>
      </w:pPr>
      <w:r>
        <w:t>Context: MES — Production execution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Entity/table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Required fields (not exhaustive)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Key constraints and rules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production_order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plant_id, item_id, plan_qty, status, bom_snapshot, routing_snapshot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snapshot on release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work_center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plant_id, code, capacity_group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capacity calendar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operation_execution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work_order_id, routing_operation_ref, work_center_id, status, good_qty, reject_qty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qty &gt;=0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labor_entry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operation_id, employee_id, start_at, end_at, labor_minutes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link to HRIS identity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material_consumption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work_order_id, movement_id, item_id, lot_id, qty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FK inventory movement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production_output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work_order_id, item_id, lot_id, qty, candidate_status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QMS gate before available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equipment_downtime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equipment_id, operation_id?, begin_at, end_at?, reason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time validity</w:t>
            </w:r>
          </w:p>
        </w:tc>
      </w:tr>
    </w:tbl>
    <w:p>
      <w:pPr>
        <w:spacing w:after="20"/>
      </w:pPr>
    </w:p>
    <w:p>
      <w:pPr>
        <w:pStyle w:val="Heading2"/>
      </w:pPr>
      <w:r>
        <w:t>Context: QMS_CMMS — Quality &amp; maintenance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Entity/table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Required fields (not exhaustive)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Key constraints and rules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inspection_plan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item_id, revision, inspection_type, acceptance_rule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versioned plan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quality_inspection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plant_id, lot_ref, source_ref, status, inspector_id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independent disposition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inspection_result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inspection_id, characteristic, observed_value, passed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tolerance bound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quality_hold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item_id, lot_id, qty, placed_by,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locks inventory allocation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nonconformance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plant_id, source_ref, severity,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traceable NCR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capa_action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ncr_id, owner, due_at, effectiveness_status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approval and follow-up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equipment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plant_id, code, work_center_id?, condition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 plant equipment code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maintenance_order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equipment_id, type, status, released_by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safety release required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maintenance_part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maintenance_order_id, movement_ref, qty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inventory link</w:t>
            </w:r>
          </w:p>
        </w:tc>
      </w:tr>
    </w:tbl>
    <w:p>
      <w:pPr>
        <w:spacing w:after="20"/>
      </w:pPr>
    </w:p>
    <w:p>
      <w:pPr>
        <w:pStyle w:val="Heading2"/>
      </w:pPr>
      <w:r>
        <w:t>Context: HRIS — People &amp; payroll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Entity/table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Required fields (not exhaustive)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Key constraints and rules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employee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entity_id, employee_no, status, pii_ref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restricted PII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employment_contract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employee_id, version, effective_from, pay_grade_ref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restricted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shift_definition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plant_id, code, starts_at, ends_at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timezone aware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shift_assignment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employee_id, shift_id, scheduled_date,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competence check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attendance_entry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employee_id, clock_in, clock_out, source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approval for edit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leave_request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employee_id, leave_type, status, days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balance policy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overtime_request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employee_id, shift_ref, minutes, approval_id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approved minutes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payroll_batch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entity_id, period, status, journal_ref?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no silent recalc after finalized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payroll_line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batch_id, employee_id, gross, deductions, net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restricted; masked reporting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competency_record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employee_id, competency_code, expires_at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eligibility to work center</w:t>
            </w:r>
          </w:p>
        </w:tc>
      </w:tr>
    </w:tbl>
    <w:p>
      <w:pPr>
        <w:spacing w:after="20"/>
      </w:pPr>
    </w:p>
    <w:p>
      <w:pPr>
        <w:pStyle w:val="Heading2"/>
      </w:pPr>
      <w:r>
        <w:t>Context: ACCOUNTING — Financial system of record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Entity/table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Required fields (not exhaustive)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Key constraints and rules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chart_of_accounts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entity_id, code, account_type, active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 COA code entity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fiscal_period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entity_id, starts_at, ends_at, locked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closed prevents posting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journal_entry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entity_id, period_id, status, source_ref, posted_at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 source posting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journal_line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journal_id, account_id, debit, credit, cost_center_id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sum debit=sum credit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ar_invoice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sales_order_id?, entity_id, status, due_at, version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 invoice number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ap_bill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purchase_order_id?, supplier_id,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3-way-match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payment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entity_id, account_id, amount, state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bank reconcile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inventory_valuation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movement_id, item_id, value, valuation_method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reconcile to GL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cost_entry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work_order_id, cost_type, source_ref, amount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planned/actual/final status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fixed_asset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entity_id, cost, depreciation_policy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period close policy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tax_document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entity_id, invoice_ref, external_status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official provider integration</w:t>
            </w:r>
          </w:p>
        </w:tc>
      </w:tr>
    </w:tbl>
    <w:p>
      <w:pPr>
        <w:spacing w:after="20"/>
      </w:pPr>
    </w:p>
    <w:p>
      <w:pPr>
        <w:pStyle w:val="Heading2"/>
      </w:pPr>
      <w:r>
        <w:t>Context: WORKSPACE_CONNECT — Documents, automation &amp; external systems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Entity/table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Required fields (not exhaustive)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Key constraints and rules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workspace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organization_id, scope_type, scope_id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ACL shared/personal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document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workspace_id, business_ref?, classification,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authoritative document key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document_version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document_id, version_no, object_key, checksum, final_flag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final version immutable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file_object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tenant_id, storage_backend, object_key, mime_type, scan_status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ACL required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file_link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file_id, resource_type, resource_id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cross-domain pointer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workflow_definition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organization_id, name, latest_version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version controlled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workflow_version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definition_id, version, published_at?, config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validated schema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workflow_run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workflow_version_id, correlation_id,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retry/idempotent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approval_request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resource_ref, approver_scope,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SoD check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connector_connection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tenant_id, provider, scopes, secret_ref,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secrets outside DB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sync_job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connection_id, cursor_ref?, status, retry_count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checkpoint/duplicate defense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external_message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connection_id, provider_message_id, thread_ref, safe_content_ref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untrusted by default</w:t>
            </w:r>
          </w:p>
        </w:tc>
      </w:tr>
    </w:tbl>
    <w:p>
      <w:pPr>
        <w:spacing w:after="20"/>
      </w:pPr>
    </w:p>
    <w:p>
      <w:pPr>
        <w:pStyle w:val="Heading2"/>
      </w:pPr>
      <w:r>
        <w:t>Context: AI_ANALYTICS — Business intelligence and controlled AI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Entity/table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Required fields (not exhaustive)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Key constraints and rules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metric_definition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tenant_id, code, formula_version, grain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governed semantic layer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metric_snapshot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metric_id, scope_ref, as_of_at, value, source_watermark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explicit data freshness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knowledge_index_ref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source_file_id, acl_version, indexed_at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retrieval permission check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ai_conversation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tenant_id, user_id, scope_json, retention_policy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scoped access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ai_tool_call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conversation_id, tool, policy_decision, result_ref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audit and SoD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ai_proposal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conversation_id, command_type, payload_hash, risk_tier, 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approved execution only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forecast_run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metric_id, model_version, training_window, error_metric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baseline comparison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integration_outbox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producer_domain, aggregate_id, event_type, event_id, committed_at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atomic outbox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integration_inbox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id, consumer_domain, event_id, processed_at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UNIQUE(consumer,event_id)</w:t>
            </w:r>
          </w:p>
        </w:tc>
      </w:tr>
    </w:tbl>
    <w:p>
      <w:pPr>
        <w:spacing w:after="20"/>
      </w:pPr>
    </w:p>
    <w:p>
      <w:pPr>
        <w:pStyle w:val="Heading2"/>
      </w:pPr>
      <w:r>
        <w:t>3. Shared keys, references and cardinality</w:t>
      </w:r>
    </w:p>
    <w:p>
      <w:pPr>
        <w:pStyle w:val="ListBullet"/>
      </w:pPr>
      <w:r>
        <w:rPr>
          <w:rFonts w:ascii="Consolas" w:hAnsi="Consolas"/>
          <w:color w:val="0A6C67"/>
          <w:sz w:val="16"/>
        </w:rPr>
        <w:t>organization_id</w:t>
      </w:r>
      <w:r>
        <w:t xml:space="preserve"> is the tenant partition boundary. A </w:t>
      </w:r>
      <w:r>
        <w:rPr>
          <w:rFonts w:ascii="Consolas" w:hAnsi="Consolas"/>
          <w:color w:val="0A6C67"/>
          <w:sz w:val="16"/>
        </w:rPr>
        <w:t>legal_entity_id</w:t>
      </w:r>
      <w:r>
        <w:t xml:space="preserve"> belongs to exactly one organization; a plant belongs to one legal entity in a given effective period.</w:t>
      </w:r>
    </w:p>
    <w:p>
      <w:pPr>
        <w:pStyle w:val="ListBullet"/>
      </w:pPr>
      <w:r>
        <w:t xml:space="preserve">Document attachment uses </w:t>
      </w:r>
      <w:r>
        <w:rPr>
          <w:rFonts w:ascii="Consolas" w:hAnsi="Consolas"/>
          <w:color w:val="0A6C67"/>
          <w:sz w:val="16"/>
        </w:rPr>
        <w:t>file_link(resource_type, resource_id)</w:t>
      </w:r>
      <w:r>
        <w:t xml:space="preserve"> plus application-level validation; no unsafe cross-tenant references.</w:t>
      </w:r>
    </w:p>
    <w:p>
      <w:pPr>
        <w:pStyle w:val="ListBullet"/>
      </w:pPr>
      <w:r>
        <w:t xml:space="preserve">Production order has </w:t>
      </w:r>
      <w:r>
        <w:rPr>
          <w:rFonts w:ascii="Consolas" w:hAnsi="Consolas"/>
          <w:color w:val="0A6C67"/>
          <w:sz w:val="16"/>
        </w:rPr>
        <w:t>bom_snapshot_id</w:t>
      </w:r>
      <w:r>
        <w:t xml:space="preserve"> and </w:t>
      </w:r>
      <w:r>
        <w:rPr>
          <w:rFonts w:ascii="Consolas" w:hAnsi="Consolas"/>
          <w:color w:val="0A6C67"/>
          <w:sz w:val="16"/>
        </w:rPr>
        <w:t>routing_snapshot_id</w:t>
      </w:r>
      <w:r>
        <w:t xml:space="preserve"> (or embedded immutable snapshots) to avoid retroactive changes.</w:t>
      </w:r>
    </w:p>
    <w:p>
      <w:pPr>
        <w:pStyle w:val="ListBullet"/>
      </w:pPr>
      <w:r>
        <w:t xml:space="preserve">Source references on financial postings include </w:t>
      </w:r>
      <w:r>
        <w:rPr>
          <w:rFonts w:ascii="Consolas" w:hAnsi="Consolas"/>
          <w:color w:val="0A6C67"/>
          <w:sz w:val="16"/>
        </w:rPr>
        <w:t>source_type + source_id + source_line_id + posting_rule_version</w:t>
      </w:r>
      <w:r>
        <w:t>, with uniqueness preventing duplicate source posting.</w:t>
      </w:r>
    </w:p>
    <w:p>
      <w:pPr>
        <w:pStyle w:val="ListBullet"/>
      </w:pPr>
      <w:r>
        <w:t xml:space="preserve">Lots can be consumed into multiple output lots and output lots can use multiple input lots: maintain a dedicated </w:t>
      </w:r>
      <w:r>
        <w:rPr>
          <w:rFonts w:ascii="Consolas" w:hAnsi="Consolas"/>
          <w:color w:val="0A6C67"/>
          <w:sz w:val="16"/>
        </w:rPr>
        <w:t>lot_genealogy_edge(input_lot_id, output_lot_id, quantity, conversion_process_ref)</w:t>
      </w:r>
      <w:r>
        <w:t xml:space="preserve"> for N:M traceability.</w:t>
      </w:r>
    </w:p>
    <w:p>
      <w:pPr>
        <w:pStyle w:val="ListBullet"/>
      </w:pPr>
      <w:r>
        <w:t xml:space="preserve">Where </w:t>
      </w:r>
      <w:r>
        <w:rPr>
          <w:rFonts w:ascii="Consolas" w:hAnsi="Consolas"/>
          <w:color w:val="0A6C67"/>
          <w:sz w:val="16"/>
        </w:rPr>
        <w:t>stock_balance</w:t>
      </w:r>
      <w:r>
        <w:t xml:space="preserve"> exists, treat as derived/materialized state; stock ledger is authoritative. Use serialized movements or inventory availability locks for concurrent reservations.</w:t>
      </w:r>
    </w:p>
    <w:p>
      <w:pPr>
        <w:pStyle w:val="ListBullet"/>
      </w:pPr>
      <w:r>
        <w:t>Separate planned vs actual vs reconciled cost snapshots and never present provisional value as final.</w:t>
      </w:r>
    </w:p>
    <w:p>
      <w:pPr>
        <w:pStyle w:val="Heading2"/>
      </w:pPr>
      <w:r>
        <w:t>4. Ledger and posting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3264"/>
          </w:tcPr>
          <w:p>
            <w:r>
              <w:rPr>
                <w:b/>
                <w:sz w:val="16"/>
              </w:rPr>
              <w:t>Ledger / store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Immutable entry</w:t>
            </w:r>
          </w:p>
        </w:tc>
        <w:tc>
          <w:tcPr>
            <w:tcW w:type="dxa" w:w="3264"/>
          </w:tcPr>
          <w:p>
            <w:r>
              <w:rPr>
                <w:b/>
                <w:sz w:val="16"/>
              </w:rPr>
              <w:t>Reconciliation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Inventory movement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Signed quantity per item/lot/location/source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Location on-hand = sum movements; holds/reservations separate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Manufacturing costing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Cost source + allocation basis + revision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Work order cost and inventory valuation bridge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Journal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Balanced debit/credit lines; currency/fx/period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Debits = credits at journal, entity and period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Workflow execution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State transitions, retry, attempts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One logical job and at-most-one business mutation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Document versions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Binary hash + approved metadata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Finalized version byte hash stable</w:t>
            </w:r>
          </w:p>
        </w:tc>
      </w:tr>
      <w:tr>
        <w:trPr>
          <w:cantSplit/>
        </w:trPr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AI action ledger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Proposal, approval, typed tool, execution receipt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5"/>
              </w:rPr>
              <w:t>Action ties to approving human and business record</w:t>
            </w:r>
          </w:p>
        </w:tc>
      </w:tr>
    </w:tbl>
    <w:p>
      <w:pPr>
        <w:spacing w:after="20"/>
      </w:pPr>
    </w:p>
    <w:p>
      <w:pPr>
        <w:pStyle w:val="Heading2"/>
      </w:pPr>
      <w:r>
        <w:t>5. Critical constraints / indexes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-- Schematic; adapt schema names, partial indexes and permissions before execution.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CREATE UNIQUE INDEX ux_inbox_event ON integration_inbox(consumer_domain, event_id);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CREATE UNIQUE INDEX ux_business_idempotency ON command_receipt(organization_id, domain_code, idempotency_key);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CREATE UNIQUE INDEX ux_item_sku ON item(organization_id, sku);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CREATE UNIQUE INDEX ux_plant_code ON plant(legal_entity_id, code);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CREATE UNIQUE INDEX ux_document_version ON document_version(document_id, version_no);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-- Revenue / PO / payroll official number unique by legal entity + fiscal scope.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-- CHECK(quantity &gt;= 0) on operation reports, reservations and QC portions where applicable.</w:t>
      </w:r>
    </w:p>
    <w:p>
      <w:pPr>
        <w:spacing w:after="20"/>
        <w:ind w:left="230"/>
      </w:pPr>
      <w:r>
        <w:rPr>
          <w:rFonts w:ascii="Consolas" w:hAnsi="Consolas"/>
          <w:color w:val="34535B"/>
          <w:sz w:val="13"/>
        </w:rPr>
        <w:t>-- CHECK(debit &gt;= 0 AND credit &gt;= 0) on GL journal lines; sum debits/credits in atomic posting routine.</w:t>
      </w:r>
    </w:p>
    <w:p>
      <w:pPr>
        <w:pStyle w:val="Heading2"/>
      </w:pPr>
      <w:r>
        <w:t>6. Deletion, retention and privacy</w:t>
      </w:r>
    </w:p>
    <w:p>
      <w:r>
        <w:t>Soft deletion only for non-posted reference records; legal and financial records use policy-controlled retention and reversals. Payroll PII encryption and scoped access, audit and break-glass workflow. External file deletion must not invalidate official archived byte snapshot and checksum. For tenant deletion and portability, define export and legal hold prerequisites.</w:t>
      </w:r>
    </w:p>
    <w:p>
      <w:pPr>
        <w:pStyle w:val="Heading2"/>
      </w:pPr>
      <w:r>
        <w:t>7. Transaction boundary guidelines</w:t>
      </w:r>
    </w:p>
    <w:p>
      <w:pPr>
        <w:pStyle w:val="ListBullet"/>
      </w:pPr>
      <w:r>
        <w:t>ERP Inventory: stock posting atomic with quantity ledger and outbox record.</w:t>
      </w:r>
    </w:p>
    <w:p>
      <w:pPr>
        <w:pStyle w:val="ListBullet"/>
      </w:pPr>
      <w:r>
        <w:t>Accounting: journal posting atomic with journal lines, source uniqueness and outbox.</w:t>
      </w:r>
    </w:p>
    <w:p>
      <w:pPr>
        <w:pStyle w:val="ListBullet"/>
      </w:pPr>
      <w:r>
        <w:t>MES: operation completion and material issue may need distinct verified commands; do not assume distributed atomicity.</w:t>
      </w:r>
    </w:p>
    <w:p>
      <w:pPr>
        <w:pStyle w:val="ListBullet"/>
      </w:pPr>
      <w:r>
        <w:t>Workflow/AI: never directly update another domain's tables; send typed authorized commands.</w:t>
      </w:r>
    </w:p>
    <w:p>
      <w:pPr>
        <w:pStyle w:val="ListBullet"/>
      </w:pPr>
      <w:r>
        <w:t>Analytics: consume domain events with watermark, data freshness and reconciliation queries.</w:t>
      </w:r>
    </w:p>
    <w:p>
      <w:pPr>
        <w:pStyle w:val="Heading2"/>
      </w:pPr>
      <w:r>
        <w:t>8. Recommended migration and test plan</w:t>
      </w:r>
    </w:p>
    <w:p>
      <w:pPr>
        <w:pStyle w:val="ListNumber"/>
      </w:pPr>
      <w:r>
        <w:t>Create core tenant + company/plant and RBAC schemas with tenant isolation tests.</w:t>
      </w:r>
    </w:p>
    <w:p>
      <w:pPr>
        <w:pStyle w:val="ListNumber"/>
      </w:pPr>
      <w:r>
        <w:t>Create shared item/UOM and CRM order schemas.</w:t>
      </w:r>
    </w:p>
    <w:p>
      <w:pPr>
        <w:pStyle w:val="ListNumber"/>
      </w:pPr>
      <w:r>
        <w:t>Implement inventory and financial ledger constraints before any UX bulk mutation.</w:t>
      </w:r>
    </w:p>
    <w:p>
      <w:pPr>
        <w:pStyle w:val="ListNumber"/>
      </w:pPr>
      <w:r>
        <w:t>Implement MES production snapshots/lot genealogy and QMS disposition.</w:t>
      </w:r>
    </w:p>
    <w:p>
      <w:pPr>
        <w:pStyle w:val="ListNumber"/>
      </w:pPr>
      <w:r>
        <w:t>Introduce HR payroll and accounting clearing reconciliation tests.</w:t>
      </w:r>
    </w:p>
    <w:p>
      <w:pPr>
        <w:pStyle w:val="ListNumber"/>
      </w:pPr>
      <w:r>
        <w:t>Introduce DMS/Connect/Automation and idempotent outbox workers.</w:t>
      </w:r>
    </w:p>
    <w:p>
      <w:pPr>
        <w:pStyle w:val="ListNumber"/>
      </w:pPr>
      <w:r>
        <w:t>Introduce AI/BI semantic read models with row-level/attribute-level authorization and red-team tests.</w:t>
      </w:r>
    </w:p>
    <w:p>
      <w:pPr>
        <w:pStyle w:val="Heading2"/>
      </w:pPr>
      <w:r>
        <w:t>9. Open design decisions</w:t>
      </w:r>
    </w:p>
    <w:p>
      <w:pPr>
        <w:pStyle w:val="ListBullet"/>
      </w:pPr>
      <w:r>
        <w:t>PostgreSQL RLS + app RBAC combined policy design and DB role separation.</w:t>
      </w:r>
    </w:p>
    <w:p>
      <w:pPr>
        <w:pStyle w:val="ListBullet"/>
      </w:pPr>
      <w:r>
        <w:t>Lot/serial allocation grain per vertical and intercompany inventory ownership.</w:t>
      </w:r>
    </w:p>
    <w:p>
      <w:pPr>
        <w:pStyle w:val="ListBullet"/>
      </w:pPr>
      <w:r>
        <w:t>Costing policy (weighted average, FIFO, standard cost variance), valuation timing and overhead rates.</w:t>
      </w:r>
    </w:p>
    <w:p>
      <w:pPr>
        <w:pStyle w:val="ListBullet"/>
      </w:pPr>
      <w:r>
        <w:t>Consolidation multi-currency and legal entity tax reporting policy.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123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8999"/>
        <w:sz w:val="14"/>
      </w:rPr>
      <w:t>Founding Draft · 10 Oktober 2026     |     For product &amp; engineering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8999"/>
        <w:sz w:val="14"/>
      </w:rPr>
      <w:t>NewSystem   /  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B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49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75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D4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42E4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