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NewSystem — Detailed UML Specification v1.0</w:t>
      </w:r>
    </w:p>
    <w:p>
      <w:r>
        <w:rPr>
          <w:b/>
        </w:rPr>
        <w:t>Reference:</w:t>
      </w:r>
      <w:r>
        <w:t xml:space="preserve"> NewSystem Master PRD v1.0 | </w:t>
      </w:r>
      <w:r>
        <w:rPr>
          <w:b/>
        </w:rPr>
        <w:t>Date:</w:t>
      </w:r>
      <w:r>
        <w:t xml:space="preserve"> 10 Oktober 2026 | </w:t>
      </w:r>
      <w:r>
        <w:rPr>
          <w:b/>
        </w:rPr>
        <w:t>Status:</w:t>
      </w:r>
      <w:r>
        <w:t xml:space="preserve"> Pre-implementation design, subject to architecture sign-off.</w:t>
      </w:r>
    </w:p>
    <w:p>
      <w:pPr>
        <w:pStyle w:val="Heading2"/>
      </w:pPr>
      <w:r>
        <w:t>1. Design intent &amp; notation</w:t>
      </w:r>
    </w:p>
    <w:p>
      <w:r>
        <w:t>UML here is a modeling contract, not executable code. Diagrams use editable Mermaid syntax. Commands mutate the owning domain; events announce committed changes; queries are permission-filtered. All state transitions are server-authoritative. Trace IDs and tenant/entity/plant scopes must propagate end-to-end.</w:t>
      </w:r>
    </w:p>
    <w:p>
      <w:pPr>
        <w:pStyle w:val="Heading2"/>
      </w:pPr>
      <w:r>
        <w:t>2. Use-case catalogue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</w:trPr>
        <w:tc>
          <w:tcPr>
            <w:tcW w:type="dxa" w:w="1958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958"/>
          </w:tcPr>
          <w:p>
            <w:r>
              <w:rPr>
                <w:b/>
                <w:sz w:val="16"/>
              </w:rPr>
              <w:t>Actor</w:t>
            </w:r>
          </w:p>
        </w:tc>
        <w:tc>
          <w:tcPr>
            <w:tcW w:type="dxa" w:w="1958"/>
          </w:tcPr>
          <w:p>
            <w:r>
              <w:rPr>
                <w:b/>
                <w:sz w:val="16"/>
              </w:rPr>
              <w:t>Use case</w:t>
            </w:r>
          </w:p>
        </w:tc>
        <w:tc>
          <w:tcPr>
            <w:tcW w:type="dxa" w:w="1958"/>
          </w:tcPr>
          <w:p>
            <w:r>
              <w:rPr>
                <w:b/>
                <w:sz w:val="16"/>
              </w:rPr>
              <w:t>Owning suites</w:t>
            </w:r>
          </w:p>
        </w:tc>
        <w:tc>
          <w:tcPr>
            <w:tcW w:type="dxa" w:w="1958"/>
          </w:tcPr>
          <w:p>
            <w:r>
              <w:rPr>
                <w:b/>
                <w:sz w:val="16"/>
              </w:rPr>
              <w:t>Security / invariant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UC-01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Owner/CEO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Choose company/plant and view consolidated KPIs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Core, BI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Scope-filtered KPIs only; finance data by legal entity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Tenant Admin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Activate industry pack, production mode, and module entitlement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Core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Prerequisites met before activation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UC-03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Sales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Create quotation, request ATP/CTP, confirm order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CRM, ERP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Confirmation reserves approved commercial version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UC-04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PPIC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Net material requirements and release work orders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ERP, MES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BOM/routing snapshot immutable after release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Purchasing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Create PR, approve RFQ comparison, issue PO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ERP, Workflow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Maker-checker and spending limits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Warehouse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Receive, put away, reserve, transfer and issue lots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ERP Inventory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Posting exactly-once by idempotency key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UC-07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Operator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Start/pause/complete assigned job card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MES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Only assigned plant/work center; duplicate output rejected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QC Inspector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Inspect, hold, reject, release/rework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QMS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No shipment of held stock; SoD release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UC-09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Maintenance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Record breakdown, repair, test, release equipment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Maintenance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Safe machine release approval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HR Manager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Manage employment/shift/leave/payroll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HRIS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Confidential PII separated from MES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Finance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3-way-match AP, post GL, AR, close periods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Accounting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Balanced journals, locked periods immutable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Department Admin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Configure workflow rules/forms and publish versions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Simulate + approve before activation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Employee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Create or upload business documents/files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Workspace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DMS ACL, malware scan, versioning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UC-14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Document Approver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Approve and finalize official document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Workspace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Final version immutable; authority check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Integration Admin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Authorize email/Drive/OneDrive and map fields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Connect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Least-privilege OAuth; health/audit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Module Copilot User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Ask, analyze, simulate, create drafts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AI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Permission-aware retrieval and tool use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UC-17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CEO/Authorized Manager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Ask Company Copilot for cross-suite diagnosis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AI, BI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Entity scope, data freshness, auditable evidence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UC-18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Platform Ops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Provision tenant, monitor platform health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Control Center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5"/>
              </w:rPr>
              <w:t>No default tenant business-data access</w:t>
            </w:r>
          </w:p>
        </w:tc>
      </w:tr>
    </w:tbl>
    <w:p>
      <w:pPr>
        <w:spacing w:after="20"/>
      </w:pPr>
    </w:p>
    <w:p>
      <w:pPr>
        <w:pStyle w:val="Heading3"/>
      </w:pPr>
      <w:r>
        <w:t>UML actor-to-domain view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>flowchart LR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CEO[Owner / CEO] --&gt; BI[Company AI &amp; BI]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SALES[Sales] --&gt; CRM[CRM &amp; Sales Orders]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PPIC[PPIC] --&gt; ERP[ERP Planning / Inventory]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OP[Operator] --&gt; MES[MES Shop Floor]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QC[QC Officer] --&gt; QMS[QMS]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HR[HR Manager] --&gt; HRIS[HRIS]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FIN[Finance] --&gt; ACC[Accounting]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ADMIN[Org Admin] --&gt; CORE[Core &amp; Workflow]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ALL[Authorized Users] --&gt; DMS[Workspace &amp; Connect]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BI --&gt; CORE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CRM --&gt; ERP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ERP --&gt; MES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MES --&gt; QMS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QMS --&gt; ACC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HRIS --&gt; ACC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DMS --&gt; CORE</w:t>
      </w:r>
    </w:p>
    <w:p>
      <w:pPr>
        <w:pStyle w:val="Heading2"/>
      </w:pPr>
      <w:r>
        <w:t>3. Key UML class / aggregate diagram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>classDiagram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Organization {+uuid id; +string name; +status}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LegalEntity {+uuid id; +currency; +taxRegion}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Plant {+uuid id; +productionModes[]}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Item {+uuid id; +sku; +uom}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BOMVersion {+uuid id; +version; +approvalStatus}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RoutingVersion {+uuid id; +version; +operations}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SalesOrder {+uuid id; +status; +revision}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ProductionOrder {+uuid id; +status; +bomSnapshotId; +routingSnapshotId}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OperationExecution {+uuid id; +actualQty; +actualTime; +status}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InventoryMovement {+uuid id; +quantity; +lotId; +postingState}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Inspection {+uuid id; +disposition; +evidence}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CostEntry {+uuid id; +type; +amount; +sourceRef}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JournalEntry {+uuid id; +periodId; +postedAt}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class DocumentVersion {+uuid id; +sha256; +finalizedAt}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Organization "1" --&gt; "*" LegalEntity : controls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LegalEntity "1" --&gt; "*" Plant : operates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Item "1" --&gt; "*" BOMVersion : definedBy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Item "1" --&gt; "*" RoutingVersion : routedBy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SalesOrder "0..1" --&gt; "*" ProductionOrder : drives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ProductionOrder "1" --&gt; "*" OperationExecution : tracks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ProductionOrder "1" --&gt; "*" InventoryMovement : references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ProductionOrder "1" --&gt; "*" Inspection : checkedBy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ProductionOrder "1" --&gt; "*" CostEntry : accumulates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CostEntry "*" --&gt; "0..1" JournalEntry : accountedIn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SalesOrder "1" --&gt; "*" DocumentVersion : generatedDocs</w:t>
      </w:r>
    </w:p>
    <w:p>
      <w:pPr>
        <w:pStyle w:val="Heading2"/>
      </w:pPr>
      <w:r>
        <w:t>4. State models and guarded transitions</w:t>
      </w:r>
    </w:p>
    <w:p>
      <w:r>
        <w:t>Each transition requires explicit actor permission, expected resource version, validation, and audit. An event is published only after persistence succeeds.</w:t>
      </w:r>
    </w:p>
    <w:p>
      <w:pPr>
        <w:pStyle w:val="Heading3"/>
      </w:pPr>
      <w:r>
        <w:t>4.1 Sales Order</w:t>
      </w:r>
    </w:p>
    <w:p>
      <w:r>
        <w:drawing>
          <wp:inline xmlns:a="http://schemas.openxmlformats.org/drawingml/2006/main" xmlns:pic="http://schemas.openxmlformats.org/drawingml/2006/picture">
            <wp:extent cx="6035040" cy="1569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sales_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69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4.2 Purchase Order</w:t>
      </w:r>
    </w:p>
    <w:p>
      <w:r>
        <w:drawing>
          <wp:inline xmlns:a="http://schemas.openxmlformats.org/drawingml/2006/main" xmlns:pic="http://schemas.openxmlformats.org/drawingml/2006/picture">
            <wp:extent cx="6035040" cy="14700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purchase_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70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4.3 Production Order</w:t>
      </w:r>
    </w:p>
    <w:p>
      <w:r>
        <w:drawing>
          <wp:inline xmlns:a="http://schemas.openxmlformats.org/drawingml/2006/main" xmlns:pic="http://schemas.openxmlformats.org/drawingml/2006/picture">
            <wp:extent cx="6035040" cy="921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production_or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2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4.4 Invoice</w:t>
      </w:r>
    </w:p>
    <w:p>
      <w:r>
        <w:drawing>
          <wp:inline xmlns:a="http://schemas.openxmlformats.org/drawingml/2006/main" xmlns:pic="http://schemas.openxmlformats.org/drawingml/2006/picture">
            <wp:extent cx="6035040" cy="953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invo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53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4.5 Workflow Version</w:t>
      </w:r>
    </w:p>
    <w:p>
      <w:r>
        <w:drawing>
          <wp:inline xmlns:a="http://schemas.openxmlformats.org/drawingml/2006/main" xmlns:pic="http://schemas.openxmlformats.org/drawingml/2006/picture">
            <wp:extent cx="6035040" cy="9297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workflow_ver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29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4.6 Official Document</w:t>
      </w:r>
    </w:p>
    <w:p>
      <w:r>
        <w:drawing>
          <wp:inline xmlns:a="http://schemas.openxmlformats.org/drawingml/2006/main" xmlns:pic="http://schemas.openxmlformats.org/drawingml/2006/picture">
            <wp:extent cx="6035040" cy="9263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official_docu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2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4.7 Offline Transaction</w:t>
      </w:r>
    </w:p>
    <w:p>
      <w:r>
        <w:drawing>
          <wp:inline xmlns:a="http://schemas.openxmlformats.org/drawingml/2006/main" xmlns:pic="http://schemas.openxmlformats.org/drawingml/2006/picture">
            <wp:extent cx="6035040" cy="16668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offline_transa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6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2"/>
      </w:pPr>
      <w:r>
        <w:t>5. Sequence diagrams — boundary contracts</w:t>
      </w:r>
    </w:p>
    <w:p>
      <w:pPr>
        <w:pStyle w:val="Heading3"/>
      </w:pPr>
      <w:r>
        <w:t>SQ-01 Lead-to-Cash</w:t>
      </w:r>
    </w:p>
    <w:p>
      <w:r>
        <w:drawing>
          <wp:inline xmlns:a="http://schemas.openxmlformats.org/drawingml/2006/main" xmlns:pic="http://schemas.openxmlformats.org/drawingml/2006/picture">
            <wp:extent cx="6035040" cy="42813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8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SQ-02 Procure-to-Pay</w:t>
      </w:r>
    </w:p>
    <w:p>
      <w:r>
        <w:drawing>
          <wp:inline xmlns:a="http://schemas.openxmlformats.org/drawingml/2006/main" xmlns:pic="http://schemas.openxmlformats.org/drawingml/2006/picture">
            <wp:extent cx="6035040" cy="48521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5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SQ-03 Plan-to-Produce</w:t>
      </w:r>
    </w:p>
    <w:p>
      <w:r>
        <w:drawing>
          <wp:inline xmlns:a="http://schemas.openxmlformats.org/drawingml/2006/main" xmlns:pic="http://schemas.openxmlformats.org/drawingml/2006/picture">
            <wp:extent cx="6035040" cy="42567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-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5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SQ-04 Hire-to-Payroll-to-Cost</w:t>
      </w:r>
    </w:p>
    <w:p>
      <w:r>
        <w:drawing>
          <wp:inline xmlns:a="http://schemas.openxmlformats.org/drawingml/2006/main" xmlns:pic="http://schemas.openxmlformats.org/drawingml/2006/picture">
            <wp:extent cx="6035040" cy="33635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SQ-05 Official Document &amp; Email</w:t>
      </w:r>
    </w:p>
    <w:p>
      <w:r>
        <w:drawing>
          <wp:inline xmlns:a="http://schemas.openxmlformats.org/drawingml/2006/main" xmlns:pic="http://schemas.openxmlformats.org/drawingml/2006/picture">
            <wp:extent cx="6035040" cy="42567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-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5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SQ-06 Email-to-Draft</w:t>
      </w:r>
    </w:p>
    <w:p>
      <w:r>
        <w:drawing>
          <wp:inline xmlns:a="http://schemas.openxmlformats.org/drawingml/2006/main" xmlns:pic="http://schemas.openxmlformats.org/drawingml/2006/picture">
            <wp:extent cx="6035040" cy="3065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-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6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SQ-07 Company Copilot-to-Action</w:t>
      </w:r>
    </w:p>
    <w:p>
      <w:r>
        <w:drawing>
          <wp:inline xmlns:a="http://schemas.openxmlformats.org/drawingml/2006/main" xmlns:pic="http://schemas.openxmlformats.org/drawingml/2006/picture">
            <wp:extent cx="6035040" cy="39589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-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5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SQ-08 Offline Shop Floor Sync</w:t>
      </w:r>
    </w:p>
    <w:p>
      <w:r>
        <w:drawing>
          <wp:inline xmlns:a="http://schemas.openxmlformats.org/drawingml/2006/main" xmlns:pic="http://schemas.openxmlformats.org/drawingml/2006/picture">
            <wp:extent cx="6035040" cy="36612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-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1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SQ-09 Breakdown-to-Recovery</w:t>
      </w:r>
    </w:p>
    <w:p>
      <w:r>
        <w:drawing>
          <wp:inline xmlns:a="http://schemas.openxmlformats.org/drawingml/2006/main" xmlns:pic="http://schemas.openxmlformats.org/drawingml/2006/picture">
            <wp:extent cx="6035040" cy="33635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-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2"/>
      </w:pPr>
      <w:r>
        <w:t>6. Failure and compensation patterns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Failure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Required behavior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Owning service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Recovery check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Event delivered twice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Inbox/event_id de-dup; same business result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Consumer domain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Posted stock, invoice or labor entry appears once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Long-running saga fails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Persist state and compensating steps; no partial hidden success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Automate orchestrator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Human-visible failed/compensated status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QC hold after output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Prevent allocation/shipment of affected quantity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 + Inventory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ATP excludes held stock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Sales order changed after WO release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Version amendment and impact analysis; never mutate WO snapshot silently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 + PPIC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Reconciliation of previous material reservation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Provider upload/email fails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Retry with same logical job; escalation and dead-letter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Connect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Official document remains finalized independent of delivery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Offline client repeats POST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Same client_uuid + expected version; server authoritative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API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Single output event and movement ledger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Payroll vs MES hours disagree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Attendance and production time differentiated; create variance task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+ Finance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Clearing cost bridge reconciles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 tool suggests restricted action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Deny at gateway and owner command boundary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 + Core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Audit denied attempt; no mutation</w:t>
            </w:r>
          </w:p>
        </w:tc>
      </w:tr>
    </w:tbl>
    <w:p>
      <w:pPr>
        <w:spacing w:after="20"/>
      </w:pPr>
    </w:p>
    <w:p>
      <w:pPr>
        <w:pStyle w:val="Heading2"/>
      </w:pPr>
      <w:r>
        <w:t>7. Authorization sequence</w:t>
      </w:r>
    </w:p>
    <w:p>
      <w:r>
        <w:drawing>
          <wp:inline xmlns:a="http://schemas.openxmlformats.org/drawingml/2006/main" xmlns:pic="http://schemas.openxmlformats.org/drawingml/2006/picture">
            <wp:extent cx="6035040" cy="33635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-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2"/>
      </w:pPr>
      <w:r>
        <w:t>8. Implementation checks</w:t>
      </w:r>
    </w:p>
    <w:p>
      <w:pPr>
        <w:pStyle w:val="ListBullet"/>
      </w:pPr>
      <w:r>
        <w:t>No changes to inventory or GL through a UI-only field edit; require valid domain command.</w:t>
      </w:r>
    </w:p>
    <w:p>
      <w:pPr>
        <w:pStyle w:val="ListBullet"/>
      </w:pPr>
      <w:r>
        <w:t>Post-once invariant enforced with unique idempotency keys scoped by tenant and action.</w:t>
      </w:r>
    </w:p>
    <w:p>
      <w:pPr>
        <w:pStyle w:val="ListBullet"/>
      </w:pPr>
      <w:r>
        <w:t>Workflow and document versions never retroactively mutate approved resource snapshots.</w:t>
      </w:r>
    </w:p>
    <w:p>
      <w:pPr>
        <w:pStyle w:val="ListBullet"/>
      </w:pPr>
      <w:r>
        <w:t>All AI actions receive a policy decision separate from natural-language model suggestions.</w:t>
      </w:r>
    </w:p>
    <w:p>
      <w:pPr>
        <w:pStyle w:val="ListBullet"/>
      </w:pPr>
      <w:r>
        <w:t>Use-case coverage: UC-01..UC-18; end-to-end sequence coverage SQ-01..SQ-09; source process coverage BP-01..BP-10.</w:t>
      </w:r>
    </w:p>
    <w:p>
      <w:pPr>
        <w:pStyle w:val="Heading2"/>
      </w:pPr>
      <w:r>
        <w:t>9. Open decisions for sign-off</w:t>
      </w:r>
    </w:p>
    <w:p>
      <w:pPr>
        <w:pStyle w:val="ListBullet"/>
      </w:pPr>
      <w:r>
        <w:t>Precise states for production partial close and controlled cancellation (depends on costing policy).</w:t>
      </w:r>
    </w:p>
    <w:p>
      <w:pPr>
        <w:pStyle w:val="ListBullet"/>
      </w:pPr>
      <w:r>
        <w:t>Customer billing milestones and Indonesian tax integration provider/approval model.</w:t>
      </w:r>
    </w:p>
    <w:p>
      <w:pPr>
        <w:pStyle w:val="ListBullet"/>
      </w:pPr>
      <w:r>
        <w:t>Inventory valuation approach per legal entity and WIP reconciliation intervals.</w:t>
      </w:r>
    </w:p>
    <w:p>
      <w:pPr>
        <w:pStyle w:val="ListBullet"/>
      </w:pPr>
      <w:r>
        <w:t>Ability to execute hybrid batch and discrete steps within one work order vs linked orders.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123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8999"/>
        <w:sz w:val="14"/>
      </w:rPr>
      <w:t>Founding Draft · 10 Oktober 2026     |     For product &amp; engineering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8999"/>
        <w:sz w:val="14"/>
      </w:rPr>
      <w:t>NewSystem   /  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B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49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75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D4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42E4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