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0" w:after="0"/>
        <w:jc w:val="center"/>
      </w:pPr>
      <w:r>
        <w:rPr>
          <w:rFonts w:ascii="Times New Roman" w:hAnsi="Times New Roman" w:eastAsia="方正小标宋简体"/>
          <w:sz w:val="44"/>
        </w:rPr>
        <w:t>中交一航局秦沈高速公路总承包经理部</w:t>
      </w:r>
    </w:p>
    <w:p>
      <w:pPr>
        <w:spacing w:lineRule="exact" w:line="680" w:before="0" w:after="0"/>
        <w:jc w:val="center"/>
      </w:pPr>
      <w:r>
        <w:rPr>
          <w:rFonts w:ascii="Times New Roman" w:hAnsi="Times New Roman" w:eastAsia="方正小标宋简体"/>
          <w:sz w:val="44"/>
        </w:rPr>
        <w:t>关于《秦沈项目经济运行情况汇报》</w:t>
      </w:r>
    </w:p>
    <w:p>
      <w:pPr>
        <w:spacing w:lineRule="exact" w:line="680" w:before="0" w:after="320"/>
        <w:jc w:val="center"/>
      </w:pPr>
      <w:r>
        <w:rPr>
          <w:rFonts w:ascii="Times New Roman" w:hAnsi="Times New Roman" w:eastAsia="方正小标宋简体"/>
          <w:sz w:val="44"/>
        </w:rPr>
        <w:t>“开累总收入46,338万元”有关情况的复函</w:t>
      </w:r>
    </w:p>
    <w:p>
      <w:pPr>
        <w:spacing w:lineRule="exact" w:line="560" w:before="0" w:after="0"/>
      </w:pPr>
      <w:r>
        <w:rPr>
          <w:rFonts w:ascii="Times New Roman" w:hAnsi="Times New Roman" w:eastAsia="仿宋_GB2312"/>
          <w:sz w:val="32"/>
        </w:rPr>
        <w:t>×××××××（主送单位：按来文机关填写）：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贵部关于《秦沈项目经济运行情况汇报》（我部存档文件名：秦沈项目经济运行情况汇报_20260308.docx，封面落款2026年3月7日，以下简称《汇报》）中“开累总收入46,338万元”与贵部掌握的该项目月度跟踪数据存在明显出入、金额口径存疑的问询收悉。我部即组织对《汇报》原件及存档的月度跟踪上报文件逐项核查、复算，现将有关情况函复如下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sz w:val="32"/>
        </w:rPr>
        <w:t>一、关于“开累总收入46,338万元”的文件内表述与核查情况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一）数字出处与表述。《汇报》全文中，“开累总收入46,338万元”仅出现一处，位于第二部分“（三）开累效益情况”段首句，原文为：“截至2025年末，项目开累总收入46,338万元，开累总支出34,098万元，项目盈利金额12,240万元，利润率为26.42%，对应公司标后预算收入增加盈利金额172万元，较标后预算收入利润率提高0.56%”（依据：《汇报》第二部分（三））。经逐页核查，《汇报》未附收入明细表或计算底稿，该数字在文件内无直接支撑表格；第一部分（三）表格所载为产值、计量、收款类指标（开累完成产值53,000.50万元、开累批复计量金额50,384.03万元、开累业主支付金额61,207.80万元），与“收入”分属不同指标（依据：《汇报》第一部分（三）表第3、4、6行）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（二）文件内可复算关系的核查结果。同句算术自洽：46,338－34,098＝12,240万元，12,240÷46,338＝26.42%（我部复算，下同）。但以下三处在文件内无法闭合：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1.同句“增加盈利金额172万元、较标后预算收入利润率提高0.56%”：第二部分（一）载标后预算利润率为25.29%（依据：《汇报》第二部分（一）），按此推算提高幅度应为1.13个百分点；按172÷46,338复算为0.37%。两者均与“0.56%”不符，其基准定义无法用文件内数据复原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2.第三部分盈利点表所列11个子目的“已实现利润”合计为11,983.46万元（依据：《汇报》第三部分（一）表，合计为我部复算），与盈利金额12,240万元相差256.54万元；因该表系部分子目列示，差异能否由此解释，文件内无法定论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3.第四部分（五）载现场管理费累计2,881.34万元“占开累总收入4.9%”（依据：《汇报》第四部分（五））。按46,338万元为分母复算应为6.22%；按4.9%反算，分母约为58,802万元，与46,338万元不符。《汇报》内两处“开累总收入”的使用相互矛盾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三）时点口径不统一。《汇报》中产值、计量、收款、管理费等累计数据均标注“截至2026年2月底”（依据：《汇报》第一部分（三）、第四部分（一）1、（五）），唯独第二部分（三）效益数据标注“截至2025年末”，两者相差两个月。该组数字对应的截止时点需编制人确认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sz w:val="32"/>
        </w:rPr>
        <w:t>二、与月度跟踪数据的勾稽情况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一）跟踪数据来源。我部存档的月度跟踪上报文件为《中交一航局3月份重点项目跟踪分析平衡报告-三公司秦沈高速项目》（报告时间2026年4月份，数据截至2026年3月末，以下简称《平衡报告》），其中载明：截至3月末，开累上报产值59,457.28万元，开累实现营业收入41,348.32万元（依据：《平衡报告》第一部分（一）正文及“3月份产值营收情况表”第1行）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二）收入口径无法勾稽。开累营业收入为累计指标，同一口径下，后一时点数值不应小于前一时点。《平衡报告》2026年3月末开累实现营业收入41,348.32万元，小于《汇报》自称截至2025年末的开累总收入46,338万元，差额4,989.68万元。两者不可能是同一统计口径下的同一指标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三）效益口径同样无法建立勾稽。《平衡报告》载：截至3月末，账面累计利润总额2,562.89万元、账面利润率6.2%；“实际效益”线实际开累收入41,348.32万元、开累实现利润8,120.4万元、利润率19.64%（依据：《平衡报告》第一部分（二）第1、2段）。两线数值均低于《汇报》在更早时点（2025年末）所列盈利金额12,240万元、利润率26.42%，均无法与《汇报》数字对拢，相应口径定义需编制人说明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四）同口径指标可以正常对拢的对照。《汇报》第一部分（三）表第4行“开累批复计量金额50,384.03万元”（截至2026年2月底）与《平衡报告》第三部分（一）第1段“截至3月末开工累计结算50,384.03万元”完全一致（依据：两文件对应位置），说明我部跟踪上报数据与《汇报》在相同口径下可以直接勾稽；收入线不能勾稽，并非跟踪数据单方面的问题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楷体_GB2312"/>
          <w:sz w:val="32"/>
        </w:rPr>
        <w:t>（五）初步判断。基于以上文件证据：1.46,338万元不是月度跟踪线“营业收入”口径的数字；2.该数字的生产来源、统计口径与计算依据，以现有资料无法定论；3.该组数据须待《汇报》编制人提供取数底稿并明确定义后，方可与月度跟踪数据重新核定勾稽关系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sz w:val="32"/>
        </w:rPr>
        <w:t>三、现有资料无法定论、需编制人确认的问题清单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（一）“开累总收入46,338万元”的取数底稿：数据来源表册、计算过程、取数时点及编制人员；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（二）该数字的统计口径定义：与月度跟踪线“营业收入”的关系，是否含税，是否包含产值、计量、收款之外的其他收入项，属财务账面口径还是标后预算对口的效益口径；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（三）截止时点：“截至2025年末”是否应为“截至2026年2月底”（与《汇报》其余数据一致），并提供该指标截至2025年12月末及2026年1月、2月末的数值序列；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（四）同句“增加盈利金额172万元、提高0.56%”的基准利润率定义与计算基数；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（五）“开累总支出34,098万元、盈利金额12,240万元”的取数底稿，及与盈利点表已实现利润合计11,983.46万元相差256.54万元的构成；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（六）现场管理费“占开累总收入4.9%”的分母口径及其与46,338万元的关系；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（七）与《平衡报告》“实际效益”线（收入41,348.32万元、利润8,120.4万元、利润率19.64%）的衔接关系及差异原因；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（八）贵部所持《汇报》版本与我部存档版本（文件名20260308、封面落款2026年3月7日）是否为同一版本。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sz w:val="32"/>
        </w:rPr>
        <w:t>四、下一步工作安排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我部已将上述问题清单交《汇报》编制人员核实，待取得取数底稿及口径说明后，将逐项复核，并与贵部掌握的月度跟踪数据重新对拢，另行书面报告。为便于精确勾稽，请贵部提供所掌握月度跟踪数据的具体指标名称、统计期间及数值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_GB2312"/>
          <w:sz w:val="32"/>
        </w:rPr>
        <w:t>专此函复。</w:t>
      </w:r>
    </w:p>
    <w:p>
      <w:pPr>
        <w:spacing w:lineRule="exact" w:line="560" w:before="32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中交一航局秦沈高速公路总承包经理部</w:t>
      </w:r>
    </w:p>
    <w:p>
      <w:pPr>
        <w:spacing w:lineRule="exact" w:line="560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2026年10月2日</w:t>
      </w:r>
    </w:p>
    <w:p>
      <w:pPr>
        <w:keepNext/>
        <w:spacing w:lineRule="exact" w:line="440" w:before="480" w:after="0"/>
        <w:jc w:val="center"/>
      </w:pPr>
      <w:r>
        <w:rPr>
          <w:rFonts w:ascii="Times New Roman" w:hAnsi="Times New Roman" w:eastAsia="楷体_GB2312"/>
          <w:color w:val="606060"/>
          <w:sz w:val="28"/>
        </w:rPr>
        <w:t>―― 以下为起草说明（供起草人参考，非复函正文）――</w:t>
      </w:r>
    </w:p>
    <w:p>
      <w:pPr>
        <w:spacing w:lineRule="exact" w:line="440" w:before="0" w:after="0"/>
        <w:ind w:firstLine="560"/>
      </w:pPr>
      <w:r>
        <w:rPr>
          <w:rFonts w:ascii="Times New Roman" w:hAnsi="Times New Roman" w:eastAsia="楷体_GB2312"/>
          <w:color w:val="606060"/>
          <w:sz w:val="28"/>
        </w:rPr>
        <w:t>1.主送单位、来文文号及日期请按来文实际填写；如按单位惯例需编列发文字号，请自行补列。</w:t>
      </w:r>
    </w:p>
    <w:p>
      <w:pPr>
        <w:spacing w:lineRule="exact" w:line="440" w:before="0" w:after="0"/>
        <w:ind w:firstLine="560"/>
      </w:pPr>
      <w:r>
        <w:rPr>
          <w:rFonts w:ascii="Times New Roman" w:hAnsi="Times New Roman" w:eastAsia="楷体_GB2312"/>
          <w:color w:val="606060"/>
          <w:sz w:val="28"/>
        </w:rPr>
        <w:t>2.本复函全部引用数字已于2026年10月2日对以下两份源文件逐项复核：《秦沈项目经济运行情况汇报_20260308.docx》（MD5：d12e06ee4211fecb73ae7c6fb5f08762，与此前历次核查登记值一致；封面落款2026年3月7日，文件属性“修改时间”为2026年4月1日）；《中交一航局3月份重点项目跟踪分析平衡报告-三公司秦沈高速项目.docx》（报告时间2026年4月份）。标注“我部复算”者，均系对两文件所载数字作四则运算得出，未引入任何其他数据来源。</w:t>
      </w:r>
    </w:p>
    <w:p>
      <w:pPr>
        <w:spacing w:lineRule="exact" w:line="440" w:before="0" w:after="0"/>
        <w:ind w:firstLine="560"/>
      </w:pPr>
      <w:r>
        <w:rPr>
          <w:rFonts w:ascii="Times New Roman" w:hAnsi="Times New Roman" w:eastAsia="楷体_GB2312"/>
          <w:color w:val="606060"/>
          <w:sz w:val="28"/>
        </w:rPr>
        <w:t>3.该《汇报》此前已经过多轮内部核查（版本差异整理、三重复核、17项数据澄清函、18个问题族收尾清单，见工作区《收尾报告_秦沈0308数据核查_20261002.md》）。本复函第三部分清单为其中与“46,338万元”直接相关的子集；如需向编制人一并发出完整清单，可在此基础上并入此前《数据澄清函》的17项问题。</w:t>
      </w:r>
    </w:p>
    <w:p>
      <w:pPr>
        <w:spacing w:lineRule="exact" w:line="440" w:before="0" w:after="0"/>
        <w:ind w:firstLine="560"/>
      </w:pPr>
      <w:r>
        <w:rPr>
          <w:rFonts w:ascii="Times New Roman" w:hAnsi="Times New Roman" w:eastAsia="楷体_GB2312"/>
          <w:color w:val="606060"/>
          <w:sz w:val="28"/>
        </w:rPr>
        <w:t>4.本稿按GB/T 9704风格排版：标题二号方正小标宋，一级标题黑体、二级标题楷体、正文三号仿宋；如本机缺少相应字体，打开时将自动替换，可按单位模板统一调整。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